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6967F">
      <w:pPr>
        <w:pStyle w:val="2"/>
        <w:keepNext/>
        <w:keepLines/>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方正仿宋_GBK" w:cstheme="minorBidi"/>
          <w:kern w:val="2"/>
          <w:sz w:val="32"/>
          <w:szCs w:val="24"/>
          <w:lang w:val="en-US" w:eastAsia="zh-CN" w:bidi="ar-SA"/>
        </w:rPr>
      </w:pPr>
      <w:r>
        <w:rPr>
          <w:rFonts w:hint="eastAsia" w:ascii="Times New Roman" w:hAnsi="Times New Roman" w:eastAsia="方正仿宋_GBK" w:cstheme="minorBidi"/>
          <w:kern w:val="2"/>
          <w:sz w:val="32"/>
          <w:szCs w:val="24"/>
          <w:lang w:val="en-US" w:eastAsia="zh-CN" w:bidi="ar-SA"/>
        </w:rPr>
        <w:t>附件</w:t>
      </w:r>
      <w:r>
        <w:rPr>
          <w:rFonts w:hint="eastAsia" w:eastAsia="方正仿宋_GBK" w:cstheme="minorBidi"/>
          <w:kern w:val="2"/>
          <w:sz w:val="32"/>
          <w:szCs w:val="24"/>
          <w:lang w:val="en-US" w:eastAsia="zh-CN" w:bidi="ar-SA"/>
        </w:rPr>
        <w:t>1</w:t>
      </w:r>
    </w:p>
    <w:p w14:paraId="0C8E35CD">
      <w:pPr>
        <w:pStyle w:val="2"/>
        <w:keepNext/>
        <w:keepLines/>
        <w:pageBreakBefore w:val="0"/>
        <w:widowControl w:val="0"/>
        <w:kinsoku/>
        <w:wordWrap/>
        <w:overflowPunct/>
        <w:topLinePunct w:val="0"/>
        <w:autoSpaceDE/>
        <w:autoSpaceDN/>
        <w:bidi w:val="0"/>
        <w:adjustRightInd/>
        <w:snapToGrid/>
        <w:spacing w:before="157" w:beforeLines="50" w:after="313" w:afterLines="100"/>
        <w:textAlignment w:val="auto"/>
        <w:rPr>
          <w:rFonts w:hint="default"/>
          <w:lang w:val="en-US" w:eastAsia="zh-CN"/>
        </w:rPr>
      </w:pPr>
      <w:r>
        <w:rPr>
          <w:rFonts w:hint="eastAsia"/>
          <w:lang w:val="en-US" w:eastAsia="zh-CN"/>
        </w:rPr>
        <w:t>2026年</w:t>
      </w:r>
      <w:r>
        <w:rPr>
          <w:rFonts w:hint="eastAsia"/>
          <w:lang w:eastAsia="zh-CN"/>
        </w:rPr>
        <w:t>乌鲁木齐市门诊慢性病定点药店和“双通道”定点药店</w:t>
      </w:r>
      <w:r>
        <w:rPr>
          <w:rFonts w:hint="eastAsia"/>
          <w:lang w:val="en-US" w:eastAsia="zh-CN"/>
        </w:rPr>
        <w:t>遴选工作方案</w:t>
      </w:r>
    </w:p>
    <w:p w14:paraId="62A8E38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rPr>
      </w:pPr>
      <w:r>
        <w:rPr>
          <w:rFonts w:hint="eastAsia"/>
          <w:u w:val="none"/>
        </w:rPr>
        <w:t>为</w:t>
      </w:r>
      <w:r>
        <w:rPr>
          <w:rFonts w:hint="eastAsia"/>
          <w:u w:val="none"/>
          <w:lang w:val="en-US" w:eastAsia="zh-CN"/>
        </w:rPr>
        <w:t>进一步拓展参保人员购药渠道，更好满足人民群众用药需求</w:t>
      </w:r>
      <w:r>
        <w:rPr>
          <w:rFonts w:hint="eastAsia"/>
          <w:u w:val="none"/>
        </w:rPr>
        <w:t>，根</w:t>
      </w:r>
      <w:r>
        <w:rPr>
          <w:rFonts w:hint="eastAsia"/>
        </w:rPr>
        <w:t>据《零售药店医疗保障定点管理暂行办法》（国家医疗保障局令第3号）《关于印发〈自治区基本医疗保险门诊统筹（含门诊慢性病）定点零售药店遴选规程（试行）〉〈自治区国家医保谈判药品“双通道”定点零售药店遴选规程（试行）〉》（新医保规〔2023〕1号）</w:t>
      </w:r>
      <w:r>
        <w:rPr>
          <w:rFonts w:hint="eastAsia"/>
          <w:lang w:eastAsia="zh-CN"/>
        </w:rPr>
        <w:t>《乌鲁木齐市医疗保障定点医药机构资源配置规划方案（2025—2027）》</w:t>
      </w:r>
      <w:r>
        <w:rPr>
          <w:rFonts w:hint="eastAsia"/>
          <w:u w:val="none"/>
          <w:lang w:eastAsia="zh-CN"/>
        </w:rPr>
        <w:t>《</w:t>
      </w:r>
      <w:r>
        <w:rPr>
          <w:rFonts w:hint="eastAsia" w:ascii="Times New Roman" w:hAnsi="Times New Roman"/>
          <w:u w:val="none"/>
          <w:lang w:eastAsia="zh-CN"/>
        </w:rPr>
        <w:t>2025年</w:t>
      </w:r>
      <w:r>
        <w:rPr>
          <w:rFonts w:hint="eastAsia" w:ascii="Times New Roman" w:hAnsi="Times New Roman"/>
          <w:u w:val="none"/>
          <w:lang w:val="en-US" w:eastAsia="zh-CN"/>
        </w:rPr>
        <w:t>乌鲁木齐市</w:t>
      </w:r>
      <w:r>
        <w:rPr>
          <w:rFonts w:hint="eastAsia" w:ascii="Times New Roman" w:hAnsi="Times New Roman"/>
          <w:u w:val="none"/>
          <w:lang w:eastAsia="zh-CN"/>
        </w:rPr>
        <w:t>定点零售药店补充协议书</w:t>
      </w:r>
      <w:r>
        <w:rPr>
          <w:rFonts w:hint="eastAsia"/>
          <w:u w:val="none"/>
          <w:lang w:eastAsia="zh-CN"/>
        </w:rPr>
        <w:t>》</w:t>
      </w:r>
      <w:r>
        <w:rPr>
          <w:rFonts w:hint="eastAsia" w:ascii="Times New Roman" w:hAnsi="Times New Roman"/>
          <w:lang w:val="en-US" w:eastAsia="zh-CN"/>
        </w:rPr>
        <w:t>等</w:t>
      </w:r>
      <w:r>
        <w:rPr>
          <w:rFonts w:hint="eastAsia"/>
          <w:lang w:val="en-US" w:eastAsia="zh-CN"/>
        </w:rPr>
        <w:t>文件要求</w:t>
      </w:r>
      <w:r>
        <w:rPr>
          <w:rFonts w:hint="eastAsia" w:ascii="Times New Roman" w:hAnsi="Times New Roman" w:cs="Times New Roman"/>
          <w:szCs w:val="32"/>
          <w:highlight w:val="none"/>
          <w:lang w:val="en-US" w:eastAsia="zh-CN"/>
        </w:rPr>
        <w:t>，结合本市实际，</w:t>
      </w:r>
      <w:r>
        <w:rPr>
          <w:rFonts w:hint="eastAsia"/>
        </w:rPr>
        <w:t>制定本实施方案。</w:t>
      </w:r>
    </w:p>
    <w:p w14:paraId="5A04452E">
      <w:pPr>
        <w:pStyle w:val="3"/>
        <w:pageBreakBefore w:val="0"/>
        <w:numPr>
          <w:ilvl w:val="0"/>
          <w:numId w:val="0"/>
        </w:numPr>
        <w:kinsoku/>
        <w:wordWrap/>
        <w:overflowPunct/>
        <w:topLinePunct w:val="0"/>
        <w:autoSpaceDE/>
        <w:autoSpaceDN/>
        <w:bidi w:val="0"/>
        <w:adjustRightInd/>
        <w:snapToGrid/>
        <w:spacing w:line="560" w:lineRule="exact"/>
        <w:ind w:leftChars="200"/>
        <w:textAlignment w:val="auto"/>
        <w:rPr>
          <w:rFonts w:hint="default"/>
          <w:lang w:val="en-US" w:eastAsia="zh-CN"/>
        </w:rPr>
      </w:pPr>
      <w:r>
        <w:rPr>
          <w:rFonts w:hint="eastAsia"/>
          <w:lang w:val="en-US" w:eastAsia="zh-CN"/>
        </w:rPr>
        <w:t>一、指导思想与基本原则</w:t>
      </w:r>
    </w:p>
    <w:p w14:paraId="330004E8">
      <w:pPr>
        <w:pStyle w:val="4"/>
        <w:pageBreakBefore w:val="0"/>
        <w:kinsoku/>
        <w:wordWrap/>
        <w:overflowPunct/>
        <w:topLinePunct w:val="0"/>
        <w:autoSpaceDE/>
        <w:autoSpaceDN/>
        <w:bidi w:val="0"/>
        <w:adjustRightInd/>
        <w:snapToGrid/>
        <w:spacing w:line="560" w:lineRule="exact"/>
        <w:textAlignment w:val="auto"/>
        <w:rPr>
          <w:rFonts w:hint="eastAsia"/>
        </w:rPr>
      </w:pPr>
      <w:r>
        <w:rPr>
          <w:rFonts w:hint="eastAsia"/>
          <w:lang w:val="en-US" w:eastAsia="zh-CN"/>
        </w:rPr>
        <w:t>指导思想</w:t>
      </w:r>
    </w:p>
    <w:p w14:paraId="54AB0459">
      <w:pPr>
        <w:pageBreakBefore w:val="0"/>
        <w:kinsoku/>
        <w:wordWrap/>
        <w:overflowPunct/>
        <w:topLinePunct w:val="0"/>
        <w:autoSpaceDE/>
        <w:autoSpaceDN/>
        <w:bidi w:val="0"/>
        <w:adjustRightInd/>
        <w:snapToGrid/>
        <w:spacing w:line="560" w:lineRule="exact"/>
        <w:textAlignment w:val="auto"/>
        <w:rPr>
          <w:rFonts w:hint="default" w:eastAsia="方正仿宋_GBK"/>
          <w:lang w:val="en-US" w:eastAsia="zh-CN"/>
        </w:rPr>
      </w:pPr>
      <w:r>
        <w:rPr>
          <w:rFonts w:hint="eastAsia"/>
          <w:lang w:val="en-US" w:eastAsia="zh-CN"/>
        </w:rPr>
        <w:t>坚持以人民健康为中心的发展思想，坚持公开、公平、公正的遴选机制，引入优质零售药店资源，构建布局合理、服务规范、竞争有序、监管有力的慢性病、“双通道”药品用药服务保障体系，切实提升参保患者的获得感、幸福感和安全感。</w:t>
      </w:r>
    </w:p>
    <w:p w14:paraId="79FB96E5">
      <w:pPr>
        <w:pStyle w:val="4"/>
        <w:pageBreakBefore w:val="0"/>
        <w:kinsoku/>
        <w:wordWrap/>
        <w:overflowPunct/>
        <w:topLinePunct w:val="0"/>
        <w:autoSpaceDE/>
        <w:autoSpaceDN/>
        <w:bidi w:val="0"/>
        <w:adjustRightInd/>
        <w:snapToGrid/>
        <w:spacing w:line="560" w:lineRule="exact"/>
        <w:textAlignment w:val="auto"/>
        <w:rPr>
          <w:rFonts w:hint="eastAsia"/>
        </w:rPr>
      </w:pPr>
      <w:r>
        <w:rPr>
          <w:rFonts w:hint="eastAsia"/>
          <w:lang w:val="en-US" w:eastAsia="zh-CN"/>
        </w:rPr>
        <w:t>基本原则</w:t>
      </w:r>
    </w:p>
    <w:p w14:paraId="52807D1B">
      <w:pPr>
        <w:pStyle w:val="9"/>
        <w:pageBreakBefore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32" w:firstLineChars="200"/>
        <w:textAlignment w:val="auto"/>
        <w:rPr>
          <w:rFonts w:hint="eastAsia"/>
          <w:lang w:val="en-US" w:eastAsia="zh-CN"/>
        </w:rPr>
      </w:pPr>
      <w:r>
        <w:rPr>
          <w:rFonts w:hint="eastAsia" w:ascii="Times New Roman" w:hAnsi="Times New Roman" w:cs="Times New Roman"/>
          <w:sz w:val="32"/>
          <w:szCs w:val="32"/>
          <w:lang w:val="en-US" w:eastAsia="zh-CN"/>
        </w:rPr>
        <w:t>1.严把入口，合理调控。</w:t>
      </w:r>
      <w:r>
        <w:rPr>
          <w:rFonts w:hint="default" w:ascii="Times New Roman" w:hAnsi="Times New Roman" w:eastAsia="方正仿宋_GBK" w:cs="Times New Roman"/>
          <w:sz w:val="32"/>
          <w:szCs w:val="32"/>
        </w:rPr>
        <w:t>遵循医保基金</w:t>
      </w:r>
      <w:r>
        <w:rPr>
          <w:rFonts w:hint="eastAsia" w:cs="Times New Roman"/>
          <w:sz w:val="32"/>
          <w:szCs w:val="32"/>
          <w:lang w:eastAsia="zh-CN"/>
        </w:rPr>
        <w:t>“</w:t>
      </w:r>
      <w:r>
        <w:rPr>
          <w:rFonts w:hint="default" w:ascii="Times New Roman" w:hAnsi="Times New Roman" w:eastAsia="方正仿宋_GBK" w:cs="Times New Roman"/>
          <w:sz w:val="32"/>
          <w:szCs w:val="32"/>
        </w:rPr>
        <w:t>以收定支、收支平衡、略有结余</w:t>
      </w:r>
      <w:r>
        <w:rPr>
          <w:rFonts w:hint="eastAsia" w:cs="Times New Roman"/>
          <w:sz w:val="32"/>
          <w:szCs w:val="32"/>
          <w:lang w:eastAsia="zh-CN"/>
        </w:rPr>
        <w:t>”</w:t>
      </w:r>
      <w:r>
        <w:rPr>
          <w:rFonts w:hint="default" w:ascii="Times New Roman" w:hAnsi="Times New Roman" w:eastAsia="方正仿宋_GBK" w:cs="Times New Roman"/>
          <w:sz w:val="32"/>
          <w:szCs w:val="32"/>
        </w:rPr>
        <w:t>原则，合理调控</w:t>
      </w:r>
      <w:r>
        <w:rPr>
          <w:rFonts w:hint="eastAsia" w:ascii="Times New Roman" w:hAnsi="Times New Roman" w:eastAsia="方正仿宋_GBK" w:cs="Times New Roman"/>
          <w:sz w:val="32"/>
          <w:szCs w:val="32"/>
          <w:lang w:eastAsia="zh-CN"/>
        </w:rPr>
        <w:t>门诊慢性病</w:t>
      </w:r>
      <w:r>
        <w:rPr>
          <w:rFonts w:hint="eastAsia" w:cs="Times New Roman"/>
          <w:sz w:val="32"/>
          <w:szCs w:val="32"/>
          <w:lang w:eastAsia="zh-CN"/>
        </w:rPr>
        <w:t>（</w:t>
      </w:r>
      <w:r>
        <w:rPr>
          <w:rFonts w:hint="eastAsia" w:cs="Times New Roman"/>
          <w:sz w:val="32"/>
          <w:szCs w:val="32"/>
          <w:lang w:val="en-US" w:eastAsia="zh-CN"/>
        </w:rPr>
        <w:t>含门诊统筹）</w:t>
      </w:r>
      <w:r>
        <w:rPr>
          <w:rFonts w:hint="eastAsia" w:ascii="Times New Roman" w:hAnsi="Times New Roman" w:eastAsia="方正仿宋_GBK" w:cs="Times New Roman"/>
          <w:sz w:val="32"/>
          <w:szCs w:val="32"/>
          <w:lang w:eastAsia="zh-CN"/>
        </w:rPr>
        <w:t>定点药店和“双通道”定点药店</w:t>
      </w:r>
      <w:r>
        <w:rPr>
          <w:rFonts w:hint="default" w:ascii="Times New Roman" w:hAnsi="Times New Roman" w:eastAsia="方正仿宋_GBK" w:cs="Times New Roman"/>
          <w:sz w:val="32"/>
          <w:szCs w:val="32"/>
        </w:rPr>
        <w:t>总量和</w:t>
      </w:r>
      <w:r>
        <w:rPr>
          <w:rFonts w:hint="eastAsia" w:cs="Times New Roman"/>
          <w:sz w:val="32"/>
          <w:szCs w:val="32"/>
          <w:lang w:val="en-US" w:eastAsia="zh-CN"/>
        </w:rPr>
        <w:t>布局</w:t>
      </w:r>
      <w:r>
        <w:rPr>
          <w:rFonts w:hint="default" w:ascii="Times New Roman" w:hAnsi="Times New Roman" w:eastAsia="方正仿宋_GBK" w:cs="Times New Roman"/>
          <w:sz w:val="32"/>
          <w:szCs w:val="32"/>
        </w:rPr>
        <w:t>结构，在医保基金承受范围内，满足参保人的基本医疗需求。</w:t>
      </w:r>
    </w:p>
    <w:p w14:paraId="32D7A695">
      <w:pPr>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2.公开公平，竞争择优。公开发布</w:t>
      </w:r>
      <w:r>
        <w:rPr>
          <w:rFonts w:hint="eastAsia"/>
          <w:lang w:eastAsia="zh-CN"/>
        </w:rPr>
        <w:t>门诊慢性病（</w:t>
      </w:r>
      <w:r>
        <w:rPr>
          <w:rFonts w:hint="eastAsia"/>
          <w:lang w:val="en-US" w:eastAsia="zh-CN"/>
        </w:rPr>
        <w:t>含门诊统筹）</w:t>
      </w:r>
      <w:r>
        <w:rPr>
          <w:rFonts w:hint="eastAsia"/>
          <w:lang w:eastAsia="zh-CN"/>
        </w:rPr>
        <w:t>定点药店和“双通道”定点药店</w:t>
      </w:r>
      <w:r>
        <w:rPr>
          <w:rFonts w:hint="eastAsia"/>
          <w:lang w:val="en-US" w:eastAsia="zh-CN"/>
        </w:rPr>
        <w:t>遴选信息，严格遵循遴选标准和程序，择优选择服务质量好、价格合理、管理规范的零售药店。</w:t>
      </w:r>
    </w:p>
    <w:p w14:paraId="64C249CE">
      <w:pPr>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3.布局合理，方便可及。综合考虑区域分布、人口密度、交通条件等因素，优先填补服务空白区域，确保慢特病患者购药便利。</w:t>
      </w:r>
    </w:p>
    <w:p w14:paraId="3707AD19">
      <w:pPr>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4.服务规范，保障供应。确保入选定点零售药店能为慢特病患者提供专业的用药指导、规范的医保结算和稳定的药品供应，特别是国家谈判药、集采药品等。</w:t>
      </w:r>
    </w:p>
    <w:p w14:paraId="7F69085A">
      <w:pPr>
        <w:pStyle w:val="3"/>
        <w:pageBreakBefore w:val="0"/>
        <w:numPr>
          <w:ilvl w:val="0"/>
          <w:numId w:val="0"/>
        </w:numPr>
        <w:kinsoku/>
        <w:wordWrap/>
        <w:overflowPunct/>
        <w:topLinePunct w:val="0"/>
        <w:autoSpaceDE/>
        <w:autoSpaceDN/>
        <w:bidi w:val="0"/>
        <w:adjustRightInd/>
        <w:snapToGrid/>
        <w:spacing w:line="560" w:lineRule="exact"/>
        <w:ind w:leftChars="200"/>
        <w:textAlignment w:val="auto"/>
        <w:rPr>
          <w:rFonts w:hint="default"/>
          <w:lang w:val="en-US" w:eastAsia="zh-CN"/>
        </w:rPr>
      </w:pPr>
      <w:r>
        <w:rPr>
          <w:rFonts w:hint="eastAsia"/>
          <w:lang w:val="en-US" w:eastAsia="zh-CN"/>
        </w:rPr>
        <w:t>二、遴选数量</w:t>
      </w:r>
    </w:p>
    <w:p w14:paraId="1796CA86">
      <w:pPr>
        <w:pStyle w:val="3"/>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theme="minorBidi"/>
          <w:kern w:val="2"/>
          <w:sz w:val="32"/>
          <w:szCs w:val="24"/>
          <w:lang w:val="en-US" w:eastAsia="zh-CN" w:bidi="ar-SA"/>
        </w:rPr>
      </w:pPr>
      <w:r>
        <w:rPr>
          <w:rFonts w:hint="eastAsia" w:ascii="Times New Roman" w:hAnsi="Times New Roman" w:eastAsia="方正仿宋_GBK" w:cstheme="minorBidi"/>
          <w:kern w:val="2"/>
          <w:sz w:val="32"/>
          <w:szCs w:val="24"/>
          <w:lang w:val="en-US" w:eastAsia="zh-CN" w:bidi="ar-SA"/>
        </w:rPr>
        <w:t>根据《乌鲁木齐市医疗保障定点医药机构资源配置规划方案（2025—2027）》《关于2025年医药机构纳入乌鲁木齐市医保协议管理配置计划的请示》相关内容，我市2026年计划遴选54家慢性病定点药店、6家“双通道”定点药店。</w:t>
      </w:r>
    </w:p>
    <w:p w14:paraId="7BE1958E">
      <w:pPr>
        <w:pStyle w:val="3"/>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lang w:val="en-US" w:eastAsia="zh-CN"/>
        </w:rPr>
      </w:pPr>
      <w:r>
        <w:rPr>
          <w:rFonts w:hint="eastAsia"/>
          <w:lang w:val="en-US" w:eastAsia="zh-CN"/>
        </w:rPr>
        <w:t>三、遴选规则</w:t>
      </w:r>
    </w:p>
    <w:p w14:paraId="6855BD7F">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32"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Times New Roman" w:hAnsi="Times New Roman" w:eastAsia="方正仿宋_GBK" w:cstheme="minorBidi"/>
          <w:kern w:val="2"/>
          <w:sz w:val="32"/>
          <w:szCs w:val="24"/>
          <w:lang w:val="en-US" w:eastAsia="zh-CN" w:bidi="ar-SA"/>
        </w:rPr>
        <w:t>（一）</w:t>
      </w:r>
      <w:r>
        <w:rPr>
          <w:rFonts w:hint="default" w:ascii="Times New Roman" w:hAnsi="Times New Roman" w:eastAsia="方正仿宋_GBK" w:cstheme="minorBidi"/>
          <w:kern w:val="2"/>
          <w:sz w:val="32"/>
          <w:szCs w:val="24"/>
          <w:lang w:val="en-US" w:eastAsia="zh-CN" w:bidi="ar-SA"/>
        </w:rPr>
        <w:t>按照构建15分钟基本医疗卫生服务圈</w:t>
      </w:r>
      <w:r>
        <w:rPr>
          <w:rFonts w:hint="eastAsia" w:ascii="Times New Roman" w:hAnsi="Times New Roman" w:eastAsia="方正仿宋_GBK" w:cstheme="minorBidi"/>
          <w:kern w:val="2"/>
          <w:sz w:val="32"/>
          <w:szCs w:val="24"/>
          <w:lang w:val="en-US" w:eastAsia="zh-CN" w:bidi="ar-SA"/>
        </w:rPr>
        <w:t>（步行1公里范围内）</w:t>
      </w:r>
      <w:r>
        <w:rPr>
          <w:rFonts w:hint="default" w:ascii="Times New Roman" w:hAnsi="Times New Roman" w:eastAsia="方正仿宋_GBK" w:cstheme="minorBidi"/>
          <w:kern w:val="2"/>
          <w:sz w:val="32"/>
          <w:szCs w:val="24"/>
          <w:lang w:val="en-US" w:eastAsia="zh-CN" w:bidi="ar-SA"/>
        </w:rPr>
        <w:t>要求，实行总量控制、动态调整、择优定点</w:t>
      </w:r>
      <w:r>
        <w:rPr>
          <w:rFonts w:hint="eastAsia" w:ascii="Times New Roman" w:hAnsi="Times New Roman" w:eastAsia="方正仿宋_GBK" w:cstheme="minorBidi"/>
          <w:kern w:val="2"/>
          <w:sz w:val="32"/>
          <w:szCs w:val="24"/>
          <w:lang w:val="en-US" w:eastAsia="zh-CN" w:bidi="ar-SA"/>
        </w:rPr>
        <w:t>，并按本市行政区划分区域进行遴选。各区（县）在规划期内可新增门诊慢性病（含门诊统筹）或“双通道”定点零售药店的数量，根据全市规划总量、区县规划总量与实际数量确定。各区县遴选总量按区（县）人口密度划分，全市遴选总量为各区（县）遴选总量之和。</w:t>
      </w:r>
    </w:p>
    <w:p w14:paraId="15583A5F">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theme="minorBidi"/>
          <w:kern w:val="2"/>
          <w:sz w:val="32"/>
          <w:szCs w:val="24"/>
          <w:lang w:val="en-US" w:eastAsia="zh-CN" w:bidi="ar-SA"/>
        </w:rPr>
      </w:pPr>
      <w:r>
        <w:rPr>
          <w:rFonts w:hint="default" w:ascii="Times New Roman" w:hAnsi="Times New Roman" w:eastAsia="方正仿宋_GBK" w:cstheme="minorBidi"/>
          <w:kern w:val="2"/>
          <w:sz w:val="32"/>
          <w:szCs w:val="24"/>
          <w:lang w:val="en-US" w:eastAsia="zh-CN" w:bidi="ar-SA"/>
        </w:rPr>
        <w:t>（</w:t>
      </w:r>
      <w:r>
        <w:rPr>
          <w:rFonts w:hint="eastAsia" w:ascii="Times New Roman" w:hAnsi="Times New Roman" w:eastAsia="方正仿宋_GBK" w:cstheme="minorBidi"/>
          <w:kern w:val="2"/>
          <w:sz w:val="32"/>
          <w:szCs w:val="24"/>
          <w:lang w:val="en-US" w:eastAsia="zh-CN" w:bidi="ar-SA"/>
        </w:rPr>
        <w:t>二</w:t>
      </w:r>
      <w:r>
        <w:rPr>
          <w:rFonts w:hint="default" w:ascii="Times New Roman" w:hAnsi="Times New Roman" w:eastAsia="方正仿宋_GBK" w:cstheme="minorBidi"/>
          <w:kern w:val="2"/>
          <w:sz w:val="32"/>
          <w:szCs w:val="24"/>
          <w:lang w:val="en-US" w:eastAsia="zh-CN" w:bidi="ar-SA"/>
        </w:rPr>
        <w:t>）在无</w:t>
      </w:r>
      <w:r>
        <w:rPr>
          <w:rFonts w:hint="eastAsia" w:ascii="Times New Roman" w:hAnsi="Times New Roman" w:eastAsia="方正仿宋_GBK" w:cstheme="minorBidi"/>
          <w:kern w:val="2"/>
          <w:sz w:val="32"/>
          <w:szCs w:val="24"/>
          <w:lang w:val="en-US" w:eastAsia="zh-CN" w:bidi="ar-SA"/>
        </w:rPr>
        <w:t>门诊慢性病（含门诊统筹）或“双通道”</w:t>
      </w:r>
      <w:r>
        <w:rPr>
          <w:rFonts w:hint="default" w:ascii="Times New Roman" w:hAnsi="Times New Roman" w:eastAsia="方正仿宋_GBK" w:cstheme="minorBidi"/>
          <w:kern w:val="2"/>
          <w:sz w:val="32"/>
          <w:szCs w:val="24"/>
          <w:lang w:val="en-US" w:eastAsia="zh-CN" w:bidi="ar-SA"/>
        </w:rPr>
        <w:t>定点零售药店的空白区域，符合</w:t>
      </w:r>
      <w:r>
        <w:rPr>
          <w:rFonts w:hint="eastAsia" w:ascii="Times New Roman" w:hAnsi="Times New Roman" w:eastAsia="方正仿宋_GBK" w:cstheme="minorBidi"/>
          <w:kern w:val="2"/>
          <w:sz w:val="32"/>
          <w:szCs w:val="24"/>
          <w:lang w:val="en-US" w:eastAsia="zh-CN" w:bidi="ar-SA"/>
        </w:rPr>
        <w:t>遴选</w:t>
      </w:r>
      <w:r>
        <w:rPr>
          <w:rFonts w:hint="default" w:ascii="Times New Roman" w:hAnsi="Times New Roman" w:eastAsia="方正仿宋_GBK" w:cstheme="minorBidi"/>
          <w:kern w:val="2"/>
          <w:sz w:val="32"/>
          <w:szCs w:val="24"/>
          <w:lang w:val="en-US" w:eastAsia="zh-CN" w:bidi="ar-SA"/>
        </w:rPr>
        <w:t>要求的</w:t>
      </w:r>
      <w:r>
        <w:rPr>
          <w:rFonts w:hint="eastAsia" w:ascii="Times New Roman" w:hAnsi="Times New Roman" w:eastAsia="方正仿宋_GBK" w:cstheme="minorBidi"/>
          <w:kern w:val="2"/>
          <w:sz w:val="32"/>
          <w:szCs w:val="24"/>
          <w:lang w:val="en-US" w:eastAsia="zh-CN" w:bidi="ar-SA"/>
        </w:rPr>
        <w:t>定点</w:t>
      </w:r>
      <w:r>
        <w:rPr>
          <w:rFonts w:hint="default" w:ascii="Times New Roman" w:hAnsi="Times New Roman" w:eastAsia="方正仿宋_GBK" w:cstheme="minorBidi"/>
          <w:kern w:val="2"/>
          <w:sz w:val="32"/>
          <w:szCs w:val="24"/>
          <w:lang w:val="en-US" w:eastAsia="zh-CN" w:bidi="ar-SA"/>
        </w:rPr>
        <w:t>零售药店，可</w:t>
      </w:r>
      <w:r>
        <w:rPr>
          <w:rFonts w:hint="eastAsia" w:ascii="Times New Roman" w:hAnsi="Times New Roman" w:eastAsia="方正仿宋_GBK" w:cstheme="minorBidi"/>
          <w:kern w:val="2"/>
          <w:sz w:val="32"/>
          <w:szCs w:val="24"/>
          <w:lang w:val="en-US" w:eastAsia="zh-CN" w:bidi="ar-SA"/>
        </w:rPr>
        <w:t>优先</w:t>
      </w:r>
      <w:r>
        <w:rPr>
          <w:rFonts w:hint="default" w:ascii="Times New Roman" w:hAnsi="Times New Roman" w:eastAsia="方正仿宋_GBK" w:cstheme="minorBidi"/>
          <w:kern w:val="2"/>
          <w:sz w:val="32"/>
          <w:szCs w:val="24"/>
          <w:lang w:val="en-US" w:eastAsia="zh-CN" w:bidi="ar-SA"/>
        </w:rPr>
        <w:t>纳入</w:t>
      </w:r>
      <w:r>
        <w:rPr>
          <w:rFonts w:hint="eastAsia" w:ascii="Times New Roman" w:hAnsi="Times New Roman" w:eastAsia="方正仿宋_GBK" w:cstheme="minorBidi"/>
          <w:kern w:val="2"/>
          <w:sz w:val="32"/>
          <w:szCs w:val="24"/>
          <w:lang w:val="en-US" w:eastAsia="zh-CN" w:bidi="ar-SA"/>
        </w:rPr>
        <w:t>门诊慢性病（含门诊统筹）、“双通道”</w:t>
      </w:r>
      <w:r>
        <w:rPr>
          <w:rFonts w:hint="default" w:ascii="Times New Roman" w:hAnsi="Times New Roman" w:eastAsia="方正仿宋_GBK" w:cstheme="minorBidi"/>
          <w:kern w:val="2"/>
          <w:sz w:val="32"/>
          <w:szCs w:val="24"/>
          <w:lang w:val="en-US" w:eastAsia="zh-CN" w:bidi="ar-SA"/>
        </w:rPr>
        <w:t>定点</w:t>
      </w:r>
      <w:r>
        <w:rPr>
          <w:rFonts w:hint="eastAsia" w:ascii="Times New Roman" w:hAnsi="Times New Roman" w:eastAsia="方正仿宋_GBK" w:cstheme="minorBidi"/>
          <w:kern w:val="2"/>
          <w:sz w:val="32"/>
          <w:szCs w:val="24"/>
          <w:lang w:val="en-US" w:eastAsia="zh-CN" w:bidi="ar-SA"/>
        </w:rPr>
        <w:t>遴选</w:t>
      </w:r>
      <w:r>
        <w:rPr>
          <w:rFonts w:hint="default" w:ascii="Times New Roman" w:hAnsi="Times New Roman" w:eastAsia="方正仿宋_GBK" w:cstheme="minorBidi"/>
          <w:kern w:val="2"/>
          <w:sz w:val="32"/>
          <w:szCs w:val="24"/>
          <w:lang w:val="en-US" w:eastAsia="zh-CN" w:bidi="ar-SA"/>
        </w:rPr>
        <w:t>范围。</w:t>
      </w:r>
    </w:p>
    <w:p w14:paraId="03748706">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heme="minorBidi"/>
          <w:kern w:val="2"/>
          <w:sz w:val="32"/>
          <w:szCs w:val="24"/>
          <w:lang w:val="en-US" w:eastAsia="zh-CN" w:bidi="ar-SA"/>
        </w:rPr>
      </w:pPr>
      <w:r>
        <w:rPr>
          <w:rFonts w:hint="eastAsia" w:ascii="Times New Roman" w:hAnsi="Times New Roman" w:eastAsia="方正仿宋_GBK" w:cstheme="minorBidi"/>
          <w:kern w:val="2"/>
          <w:sz w:val="32"/>
          <w:szCs w:val="24"/>
          <w:lang w:val="en-US" w:eastAsia="zh-CN" w:bidi="ar-SA"/>
        </w:rPr>
        <w:t>（三）</w:t>
      </w:r>
      <w:r>
        <w:rPr>
          <w:rFonts w:hint="default" w:ascii="Times New Roman" w:hAnsi="Times New Roman" w:eastAsia="方正仿宋_GBK" w:cstheme="minorBidi"/>
          <w:kern w:val="2"/>
          <w:sz w:val="32"/>
          <w:szCs w:val="24"/>
          <w:lang w:val="en-US" w:eastAsia="zh-CN" w:bidi="ar-SA"/>
        </w:rPr>
        <w:t>定点零售药店相对不足区域，符合规划要求的</w:t>
      </w:r>
      <w:r>
        <w:rPr>
          <w:rFonts w:hint="eastAsia" w:ascii="Times New Roman" w:hAnsi="Times New Roman" w:eastAsia="方正仿宋_GBK" w:cstheme="minorBidi"/>
          <w:kern w:val="2"/>
          <w:sz w:val="32"/>
          <w:szCs w:val="24"/>
          <w:lang w:val="en-US" w:eastAsia="zh-CN" w:bidi="ar-SA"/>
        </w:rPr>
        <w:t>定点</w:t>
      </w:r>
      <w:r>
        <w:rPr>
          <w:rFonts w:hint="default" w:ascii="Times New Roman" w:hAnsi="Times New Roman" w:eastAsia="方正仿宋_GBK" w:cstheme="minorBidi"/>
          <w:kern w:val="2"/>
          <w:sz w:val="32"/>
          <w:szCs w:val="24"/>
          <w:lang w:val="en-US" w:eastAsia="zh-CN" w:bidi="ar-SA"/>
        </w:rPr>
        <w:t>零售药店，以拟新增</w:t>
      </w:r>
      <w:r>
        <w:rPr>
          <w:rFonts w:hint="eastAsia" w:ascii="Times New Roman" w:hAnsi="Times New Roman" w:eastAsia="方正仿宋_GBK" w:cstheme="minorBidi"/>
          <w:kern w:val="2"/>
          <w:sz w:val="32"/>
          <w:szCs w:val="24"/>
          <w:lang w:val="en-US" w:eastAsia="zh-CN" w:bidi="ar-SA"/>
        </w:rPr>
        <w:t>门诊慢性病（含门诊统筹）、“双通道”</w:t>
      </w:r>
      <w:r>
        <w:rPr>
          <w:rFonts w:hint="default" w:ascii="Times New Roman" w:hAnsi="Times New Roman" w:eastAsia="方正仿宋_GBK" w:cstheme="minorBidi"/>
          <w:kern w:val="2"/>
          <w:sz w:val="32"/>
          <w:szCs w:val="24"/>
          <w:lang w:val="en-US" w:eastAsia="zh-CN" w:bidi="ar-SA"/>
        </w:rPr>
        <w:t>定点零售药店为圆心，在15分钟医保服务圈内设置不</w:t>
      </w:r>
      <w:r>
        <w:rPr>
          <w:rFonts w:hint="eastAsia" w:ascii="Times New Roman" w:hAnsi="Times New Roman" w:eastAsia="方正仿宋_GBK" w:cstheme="minorBidi"/>
          <w:kern w:val="2"/>
          <w:sz w:val="32"/>
          <w:szCs w:val="24"/>
          <w:lang w:val="en-US" w:eastAsia="zh-CN" w:bidi="ar-SA"/>
        </w:rPr>
        <w:t>少于</w:t>
      </w:r>
      <w:r>
        <w:rPr>
          <w:rFonts w:hint="default" w:ascii="Times New Roman" w:hAnsi="Times New Roman" w:eastAsia="方正仿宋_GBK" w:cstheme="minorBidi"/>
          <w:kern w:val="2"/>
          <w:sz w:val="32"/>
          <w:szCs w:val="24"/>
          <w:lang w:val="en-US" w:eastAsia="zh-CN" w:bidi="ar-SA"/>
        </w:rPr>
        <w:t>1家定点零售药店，择优纳入</w:t>
      </w:r>
      <w:r>
        <w:rPr>
          <w:rFonts w:hint="eastAsia" w:ascii="Times New Roman" w:hAnsi="Times New Roman" w:eastAsia="方正仿宋_GBK" w:cstheme="minorBidi"/>
          <w:kern w:val="2"/>
          <w:sz w:val="32"/>
          <w:szCs w:val="24"/>
          <w:lang w:val="en-US" w:eastAsia="zh-CN" w:bidi="ar-SA"/>
        </w:rPr>
        <w:t>门诊慢性病（含门诊统筹）、“双通道”</w:t>
      </w:r>
      <w:r>
        <w:rPr>
          <w:rFonts w:hint="default" w:ascii="Times New Roman" w:hAnsi="Times New Roman" w:eastAsia="方正仿宋_GBK" w:cstheme="minorBidi"/>
          <w:kern w:val="2"/>
          <w:sz w:val="32"/>
          <w:szCs w:val="24"/>
          <w:lang w:val="en-US" w:eastAsia="zh-CN" w:bidi="ar-SA"/>
        </w:rPr>
        <w:t>定点</w:t>
      </w:r>
      <w:r>
        <w:rPr>
          <w:rFonts w:hint="eastAsia" w:ascii="Times New Roman" w:hAnsi="Times New Roman" w:eastAsia="方正仿宋_GBK" w:cstheme="minorBidi"/>
          <w:kern w:val="2"/>
          <w:sz w:val="32"/>
          <w:szCs w:val="24"/>
          <w:lang w:val="en-US" w:eastAsia="zh-CN" w:bidi="ar-SA"/>
        </w:rPr>
        <w:t>遴选</w:t>
      </w:r>
      <w:r>
        <w:rPr>
          <w:rFonts w:hint="default" w:ascii="Times New Roman" w:hAnsi="Times New Roman" w:eastAsia="方正仿宋_GBK" w:cstheme="minorBidi"/>
          <w:kern w:val="2"/>
          <w:sz w:val="32"/>
          <w:szCs w:val="24"/>
          <w:lang w:val="en-US" w:eastAsia="zh-CN" w:bidi="ar-SA"/>
        </w:rPr>
        <w:t>范围。</w:t>
      </w:r>
    </w:p>
    <w:p w14:paraId="7DC403D9">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heme="minorBidi"/>
          <w:kern w:val="2"/>
          <w:sz w:val="32"/>
          <w:szCs w:val="24"/>
          <w:lang w:val="en-US" w:eastAsia="zh-CN" w:bidi="ar-SA"/>
        </w:rPr>
      </w:pPr>
      <w:r>
        <w:rPr>
          <w:rFonts w:hint="default" w:ascii="Times New Roman" w:hAnsi="Times New Roman" w:eastAsia="方正仿宋_GBK" w:cstheme="minorBidi"/>
          <w:kern w:val="2"/>
          <w:sz w:val="32"/>
          <w:szCs w:val="24"/>
          <w:lang w:val="en-US" w:eastAsia="zh-CN" w:bidi="ar-SA"/>
        </w:rPr>
        <w:t>（</w:t>
      </w:r>
      <w:r>
        <w:rPr>
          <w:rFonts w:hint="eastAsia" w:ascii="Times New Roman" w:hAnsi="Times New Roman" w:eastAsia="方正仿宋_GBK" w:cstheme="minorBidi"/>
          <w:kern w:val="2"/>
          <w:sz w:val="32"/>
          <w:szCs w:val="24"/>
          <w:lang w:val="en-US" w:eastAsia="zh-CN" w:bidi="ar-SA"/>
        </w:rPr>
        <w:t>四</w:t>
      </w:r>
      <w:r>
        <w:rPr>
          <w:rFonts w:hint="default" w:ascii="Times New Roman" w:hAnsi="Times New Roman" w:eastAsia="方正仿宋_GBK" w:cstheme="minorBidi"/>
          <w:kern w:val="2"/>
          <w:sz w:val="32"/>
          <w:szCs w:val="24"/>
          <w:lang w:val="en-US" w:eastAsia="zh-CN" w:bidi="ar-SA"/>
        </w:rPr>
        <w:t>）对</w:t>
      </w:r>
      <w:r>
        <w:rPr>
          <w:rFonts w:hint="eastAsia" w:ascii="Times New Roman" w:hAnsi="Times New Roman" w:eastAsia="方正仿宋_GBK" w:cstheme="minorBidi"/>
          <w:kern w:val="2"/>
          <w:sz w:val="32"/>
          <w:szCs w:val="24"/>
          <w:lang w:val="en-US" w:eastAsia="zh-CN" w:bidi="ar-SA"/>
        </w:rPr>
        <w:t>门诊慢性病（含门诊统筹）、“双通道”</w:t>
      </w:r>
      <w:r>
        <w:rPr>
          <w:rFonts w:hint="default" w:ascii="Times New Roman" w:hAnsi="Times New Roman" w:eastAsia="方正仿宋_GBK" w:cstheme="minorBidi"/>
          <w:kern w:val="2"/>
          <w:sz w:val="32"/>
          <w:szCs w:val="24"/>
          <w:lang w:val="en-US" w:eastAsia="zh-CN" w:bidi="ar-SA"/>
        </w:rPr>
        <w:t>定点零售药店相对饱和的区域，暂停</w:t>
      </w:r>
      <w:r>
        <w:rPr>
          <w:rFonts w:hint="eastAsia" w:ascii="Times New Roman" w:hAnsi="Times New Roman" w:eastAsia="方正仿宋_GBK" w:cstheme="minorBidi"/>
          <w:kern w:val="2"/>
          <w:sz w:val="32"/>
          <w:szCs w:val="24"/>
          <w:lang w:val="en-US" w:eastAsia="zh-CN" w:bidi="ar-SA"/>
        </w:rPr>
        <w:t>门诊慢性病（含门诊统筹）、“双通道”</w:t>
      </w:r>
      <w:r>
        <w:rPr>
          <w:rFonts w:hint="default" w:ascii="Times New Roman" w:hAnsi="Times New Roman" w:eastAsia="方正仿宋_GBK" w:cstheme="minorBidi"/>
          <w:kern w:val="2"/>
          <w:sz w:val="32"/>
          <w:szCs w:val="24"/>
          <w:lang w:val="en-US" w:eastAsia="zh-CN" w:bidi="ar-SA"/>
        </w:rPr>
        <w:t>定点</w:t>
      </w:r>
      <w:r>
        <w:rPr>
          <w:rFonts w:hint="eastAsia" w:ascii="Times New Roman" w:hAnsi="Times New Roman" w:eastAsia="方正仿宋_GBK" w:cstheme="minorBidi"/>
          <w:kern w:val="2"/>
          <w:sz w:val="32"/>
          <w:szCs w:val="24"/>
          <w:lang w:val="en-US" w:eastAsia="zh-CN" w:bidi="ar-SA"/>
        </w:rPr>
        <w:t>新增</w:t>
      </w:r>
      <w:r>
        <w:rPr>
          <w:rFonts w:hint="default" w:ascii="Times New Roman" w:hAnsi="Times New Roman" w:eastAsia="方正仿宋_GBK" w:cstheme="minorBidi"/>
          <w:kern w:val="2"/>
          <w:sz w:val="32"/>
          <w:szCs w:val="24"/>
          <w:lang w:val="en-US" w:eastAsia="zh-CN" w:bidi="ar-SA"/>
        </w:rPr>
        <w:t>，规划期内逐步优化</w:t>
      </w:r>
      <w:r>
        <w:rPr>
          <w:rFonts w:hint="eastAsia" w:ascii="Times New Roman" w:hAnsi="Times New Roman" w:eastAsia="方正仿宋_GBK" w:cstheme="minorBidi"/>
          <w:kern w:val="2"/>
          <w:sz w:val="32"/>
          <w:szCs w:val="24"/>
          <w:lang w:val="en-US" w:eastAsia="zh-CN" w:bidi="ar-SA"/>
        </w:rPr>
        <w:t>诊慢性病（含门诊统筹）、“双通道”</w:t>
      </w:r>
      <w:r>
        <w:rPr>
          <w:rFonts w:hint="default" w:ascii="Times New Roman" w:hAnsi="Times New Roman" w:eastAsia="方正仿宋_GBK" w:cstheme="minorBidi"/>
          <w:kern w:val="2"/>
          <w:sz w:val="32"/>
          <w:szCs w:val="24"/>
          <w:lang w:val="en-US" w:eastAsia="zh-CN" w:bidi="ar-SA"/>
        </w:rPr>
        <w:t>定点零售药店的布局及密度。</w:t>
      </w:r>
    </w:p>
    <w:p w14:paraId="72F9AFDD">
      <w:pPr>
        <w:pStyle w:val="5"/>
        <w:keepNext w:val="0"/>
        <w:keepLines w:val="0"/>
        <w:pageBreakBefore w:val="0"/>
        <w:widowControl w:val="0"/>
        <w:kinsoku/>
        <w:wordWrap/>
        <w:overflowPunct/>
        <w:topLinePunct w:val="0"/>
        <w:autoSpaceDE/>
        <w:autoSpaceDN/>
        <w:bidi w:val="0"/>
        <w:adjustRightInd/>
        <w:snapToGrid/>
        <w:spacing w:after="0" w:afterLines="0" w:line="560" w:lineRule="exact"/>
        <w:ind w:firstLine="640"/>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cs="Times New Roman"/>
          <w:kern w:val="0"/>
          <w:sz w:val="32"/>
          <w:szCs w:val="32"/>
          <w:lang w:val="en-US" w:eastAsia="zh-CN" w:bidi="ar-SA"/>
        </w:rPr>
        <w:t>（</w:t>
      </w:r>
      <w:r>
        <w:rPr>
          <w:rFonts w:hint="eastAsia" w:cs="Times New Roman"/>
          <w:kern w:val="0"/>
          <w:sz w:val="32"/>
          <w:szCs w:val="32"/>
          <w:lang w:val="en-US" w:eastAsia="zh-CN" w:bidi="ar-SA"/>
        </w:rPr>
        <w:t>五</w:t>
      </w:r>
      <w:r>
        <w:rPr>
          <w:rFonts w:hint="eastAsia" w:ascii="Times New Roman" w:hAnsi="Times New Roman" w:cs="Times New Roman"/>
          <w:kern w:val="0"/>
          <w:sz w:val="32"/>
          <w:szCs w:val="32"/>
          <w:lang w:val="en-US" w:eastAsia="zh-CN" w:bidi="ar-SA"/>
        </w:rPr>
        <w:t>）定点零售药店</w:t>
      </w:r>
      <w:r>
        <w:rPr>
          <w:rFonts w:hint="eastAsia" w:ascii="Times New Roman" w:hAnsi="Times New Roman" w:eastAsia="方正仿宋_GBK" w:cs="Times New Roman"/>
          <w:kern w:val="0"/>
          <w:sz w:val="32"/>
          <w:szCs w:val="32"/>
          <w:lang w:val="en-US" w:eastAsia="zh-CN" w:bidi="ar-SA"/>
        </w:rPr>
        <w:t>评估成绩满60分，且数量在我市当年资源配置规划当期数量范围以内的，全部纳入</w:t>
      </w:r>
      <w:r>
        <w:rPr>
          <w:rFonts w:hint="eastAsia" w:ascii="Times New Roman" w:hAnsi="Times New Roman" w:cs="Times New Roman"/>
          <w:kern w:val="0"/>
          <w:sz w:val="32"/>
          <w:szCs w:val="32"/>
          <w:lang w:val="en-US" w:eastAsia="zh-CN" w:bidi="ar-SA"/>
        </w:rPr>
        <w:t>遴选</w:t>
      </w:r>
      <w:r>
        <w:rPr>
          <w:rFonts w:hint="eastAsia" w:ascii="Times New Roman" w:hAnsi="Times New Roman" w:eastAsia="方正仿宋_GBK" w:cs="Times New Roman"/>
          <w:kern w:val="0"/>
          <w:sz w:val="32"/>
          <w:szCs w:val="32"/>
          <w:lang w:val="en-US" w:eastAsia="zh-CN" w:bidi="ar-SA"/>
        </w:rPr>
        <w:t>范围。</w:t>
      </w:r>
    </w:p>
    <w:p w14:paraId="6784EBA4">
      <w:pPr>
        <w:pStyle w:val="5"/>
        <w:keepNext w:val="0"/>
        <w:keepLines w:val="0"/>
        <w:pageBreakBefore w:val="0"/>
        <w:widowControl w:val="0"/>
        <w:kinsoku/>
        <w:wordWrap/>
        <w:overflowPunct/>
        <w:topLinePunct w:val="0"/>
        <w:autoSpaceDE/>
        <w:autoSpaceDN/>
        <w:bidi w:val="0"/>
        <w:adjustRightInd/>
        <w:snapToGrid/>
        <w:spacing w:after="0" w:afterLines="0" w:line="560" w:lineRule="exact"/>
        <w:ind w:firstLine="640"/>
        <w:textAlignment w:val="auto"/>
        <w:rPr>
          <w:rFonts w:hint="eastAsia" w:cs="Times New Roman"/>
          <w:kern w:val="0"/>
          <w:sz w:val="32"/>
          <w:szCs w:val="32"/>
          <w:lang w:val="en-US" w:eastAsia="zh-CN" w:bidi="ar-SA"/>
        </w:rPr>
      </w:pPr>
      <w:r>
        <w:rPr>
          <w:rFonts w:hint="eastAsia" w:ascii="Times New Roman" w:hAnsi="Times New Roman" w:cs="Times New Roman"/>
          <w:kern w:val="0"/>
          <w:sz w:val="32"/>
          <w:szCs w:val="32"/>
          <w:lang w:val="en-US" w:eastAsia="zh-CN" w:bidi="ar-SA"/>
        </w:rPr>
        <w:t>（</w:t>
      </w:r>
      <w:r>
        <w:rPr>
          <w:rFonts w:hint="eastAsia" w:cs="Times New Roman"/>
          <w:kern w:val="0"/>
          <w:sz w:val="32"/>
          <w:szCs w:val="32"/>
          <w:lang w:val="en-US" w:eastAsia="zh-CN" w:bidi="ar-SA"/>
        </w:rPr>
        <w:t>六</w:t>
      </w:r>
      <w:r>
        <w:rPr>
          <w:rFonts w:hint="eastAsia" w:ascii="Times New Roman" w:hAnsi="Times New Roman" w:cs="Times New Roman"/>
          <w:kern w:val="0"/>
          <w:sz w:val="32"/>
          <w:szCs w:val="32"/>
          <w:lang w:val="en-US" w:eastAsia="zh-CN" w:bidi="ar-SA"/>
        </w:rPr>
        <w:t>）定点零售药店</w:t>
      </w:r>
      <w:r>
        <w:rPr>
          <w:rFonts w:hint="eastAsia" w:ascii="Times New Roman" w:hAnsi="Times New Roman" w:eastAsia="方正仿宋_GBK" w:cs="Times New Roman"/>
          <w:kern w:val="0"/>
          <w:sz w:val="32"/>
          <w:szCs w:val="32"/>
          <w:lang w:val="en-US" w:eastAsia="zh-CN" w:bidi="ar-SA"/>
        </w:rPr>
        <w:t>评估成绩满60分，但数量超出我市当年资源配置规划当期数量范围的</w:t>
      </w:r>
      <w:r>
        <w:rPr>
          <w:rFonts w:hint="eastAsia" w:cs="Times New Roman"/>
          <w:kern w:val="0"/>
          <w:sz w:val="32"/>
          <w:szCs w:val="32"/>
          <w:lang w:val="en-US" w:eastAsia="zh-CN" w:bidi="ar-SA"/>
        </w:rPr>
        <w:t>，按本条第二款、第三款、第四款遴选。</w:t>
      </w:r>
    </w:p>
    <w:p w14:paraId="543001B6">
      <w:pPr>
        <w:pStyle w:val="5"/>
        <w:keepNext w:val="0"/>
        <w:keepLines w:val="0"/>
        <w:pageBreakBefore w:val="0"/>
        <w:widowControl w:val="0"/>
        <w:kinsoku/>
        <w:wordWrap/>
        <w:overflowPunct/>
        <w:topLinePunct w:val="0"/>
        <w:autoSpaceDE/>
        <w:autoSpaceDN/>
        <w:bidi w:val="0"/>
        <w:adjustRightInd/>
        <w:snapToGrid/>
        <w:spacing w:after="0" w:afterLines="0" w:line="560" w:lineRule="exact"/>
        <w:ind w:firstLine="640"/>
        <w:textAlignment w:val="auto"/>
        <w:rPr>
          <w:rFonts w:hint="eastAsia" w:ascii="黑体" w:hAnsi="黑体" w:eastAsia="黑体" w:cs="黑体"/>
          <w:lang w:val="en-US" w:eastAsia="zh-CN"/>
        </w:rPr>
      </w:pPr>
      <w:r>
        <w:rPr>
          <w:rFonts w:hint="eastAsia" w:ascii="黑体" w:hAnsi="黑体" w:eastAsia="黑体" w:cs="黑体"/>
          <w:lang w:val="en-US" w:eastAsia="zh-CN"/>
        </w:rPr>
        <w:t>四、遴选范围</w:t>
      </w:r>
    </w:p>
    <w:p w14:paraId="18058E85">
      <w:pPr>
        <w:pStyle w:val="5"/>
        <w:keepNext w:val="0"/>
        <w:keepLines w:val="0"/>
        <w:pageBreakBefore w:val="0"/>
        <w:widowControl w:val="0"/>
        <w:kinsoku/>
        <w:wordWrap/>
        <w:overflowPunct/>
        <w:topLinePunct w:val="0"/>
        <w:autoSpaceDE/>
        <w:autoSpaceDN/>
        <w:bidi w:val="0"/>
        <w:adjustRightInd/>
        <w:snapToGrid/>
        <w:spacing w:after="0" w:afterLines="0" w:line="560" w:lineRule="exact"/>
        <w:ind w:firstLine="640"/>
        <w:textAlignment w:val="auto"/>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（一）同时满足以下条件的</w:t>
      </w:r>
      <w:r>
        <w:rPr>
          <w:rFonts w:hint="eastAsia" w:ascii="方正楷体_GBK" w:hAnsi="方正楷体_GBK" w:eastAsia="方正楷体_GBK" w:cs="方正楷体_GBK"/>
        </w:rPr>
        <w:t>定点零售药店</w:t>
      </w:r>
      <w:r>
        <w:rPr>
          <w:rFonts w:hint="eastAsia" w:ascii="方正楷体_GBK" w:hAnsi="方正楷体_GBK" w:eastAsia="方正楷体_GBK" w:cs="方正楷体_GBK"/>
          <w:lang w:val="en-US" w:eastAsia="zh-CN"/>
        </w:rPr>
        <w:t>可申报</w:t>
      </w:r>
      <w:r>
        <w:rPr>
          <w:rFonts w:hint="eastAsia" w:ascii="方正楷体_GBK" w:hAnsi="方正楷体_GBK" w:eastAsia="方正楷体_GBK" w:cs="方正楷体_GBK"/>
        </w:rPr>
        <w:t>门诊慢性病（含门诊统筹）</w:t>
      </w:r>
      <w:r>
        <w:rPr>
          <w:rFonts w:hint="eastAsia" w:ascii="方正楷体_GBK" w:hAnsi="方正楷体_GBK" w:eastAsia="方正楷体_GBK" w:cs="方正楷体_GBK"/>
          <w:lang w:val="en-US" w:eastAsia="zh-CN"/>
        </w:rPr>
        <w:t>定点药店</w:t>
      </w:r>
    </w:p>
    <w:p w14:paraId="7E4FCF7B">
      <w:pPr>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u w:val="none"/>
          <w:lang w:val="en-US" w:eastAsia="zh-CN"/>
        </w:rPr>
      </w:pPr>
      <w:r>
        <w:rPr>
          <w:rFonts w:hint="eastAsia"/>
          <w:u w:val="none"/>
          <w:lang w:val="en-US" w:eastAsia="zh-CN"/>
        </w:rPr>
        <w:t>1.在注册地已纳入乌鲁木齐医疗保障定点零售药店管理1年以上（含1年）的；</w:t>
      </w:r>
    </w:p>
    <w:p w14:paraId="3AE875BC">
      <w:pPr>
        <w:pageBreakBefore w:val="0"/>
        <w:numPr>
          <w:ilvl w:val="0"/>
          <w:numId w:val="0"/>
        </w:numPr>
        <w:kinsoku/>
        <w:wordWrap/>
        <w:overflowPunct/>
        <w:topLinePunct w:val="0"/>
        <w:autoSpaceDE/>
        <w:autoSpaceDN/>
        <w:bidi w:val="0"/>
        <w:adjustRightInd/>
        <w:snapToGrid/>
        <w:spacing w:line="560" w:lineRule="exact"/>
        <w:ind w:firstLine="676" w:firstLineChars="200"/>
        <w:textAlignment w:val="auto"/>
        <w:rPr>
          <w:rFonts w:hint="eastAsia"/>
          <w:u w:val="none"/>
          <w:lang w:val="en-US" w:eastAsia="zh-CN"/>
        </w:rPr>
      </w:pPr>
      <w:r>
        <w:rPr>
          <w:rFonts w:hint="eastAsia" w:ascii="Times New Roman" w:hAnsi="Times New Roman" w:cs="Times New Roman"/>
          <w:color w:val="auto"/>
          <w:spacing w:val="11"/>
          <w:kern w:val="0"/>
          <w:sz w:val="32"/>
          <w:szCs w:val="32"/>
          <w:u w:val="none"/>
          <w:lang w:val="en-US" w:eastAsia="zh-CN" w:bidi="ar-SA"/>
        </w:rPr>
        <w:t>2.</w:t>
      </w:r>
      <w:r>
        <w:rPr>
          <w:rFonts w:hint="eastAsia" w:ascii="Times New Roman" w:hAnsi="Times New Roman" w:eastAsia="方正仿宋_GBK" w:cs="Times New Roman"/>
          <w:color w:val="auto"/>
          <w:spacing w:val="11"/>
          <w:kern w:val="0"/>
          <w:sz w:val="32"/>
          <w:szCs w:val="32"/>
          <w:u w:val="none"/>
          <w:lang w:val="en-US" w:eastAsia="zh-CN" w:bidi="ar-SA"/>
        </w:rPr>
        <w:t>参与</w:t>
      </w:r>
      <w:r>
        <w:rPr>
          <w:rFonts w:hint="eastAsia" w:ascii="Times New Roman" w:hAnsi="Times New Roman" w:cs="Times New Roman"/>
          <w:color w:val="auto"/>
          <w:spacing w:val="11"/>
          <w:kern w:val="0"/>
          <w:sz w:val="32"/>
          <w:szCs w:val="32"/>
          <w:u w:val="none"/>
          <w:lang w:val="en-US" w:eastAsia="zh-CN" w:bidi="ar-SA"/>
        </w:rPr>
        <w:t>集采药品</w:t>
      </w:r>
      <w:r>
        <w:rPr>
          <w:rFonts w:hint="eastAsia" w:ascii="Times New Roman" w:hAnsi="Times New Roman" w:eastAsia="方正仿宋_GBK" w:cs="Times New Roman"/>
          <w:color w:val="auto"/>
          <w:spacing w:val="11"/>
          <w:kern w:val="0"/>
          <w:sz w:val="32"/>
          <w:szCs w:val="32"/>
          <w:u w:val="none"/>
          <w:lang w:val="en-US" w:eastAsia="zh-CN" w:bidi="ar-SA"/>
        </w:rPr>
        <w:t>报量</w:t>
      </w:r>
      <w:r>
        <w:rPr>
          <w:rFonts w:hint="eastAsia" w:ascii="Times New Roman" w:hAnsi="Times New Roman" w:cs="Times New Roman"/>
          <w:color w:val="auto"/>
          <w:spacing w:val="11"/>
          <w:kern w:val="0"/>
          <w:sz w:val="32"/>
          <w:szCs w:val="32"/>
          <w:u w:val="none"/>
          <w:lang w:val="en-US" w:eastAsia="zh-CN" w:bidi="ar-SA"/>
        </w:rPr>
        <w:t>并</w:t>
      </w:r>
      <w:r>
        <w:rPr>
          <w:rFonts w:hint="eastAsia" w:ascii="Times New Roman" w:hAnsi="Times New Roman" w:eastAsia="方正仿宋_GBK" w:cs="Times New Roman"/>
          <w:color w:val="auto"/>
          <w:spacing w:val="11"/>
          <w:kern w:val="0"/>
          <w:sz w:val="32"/>
          <w:szCs w:val="32"/>
          <w:u w:val="none"/>
          <w:lang w:val="en-US" w:eastAsia="zh-CN" w:bidi="ar-SA"/>
        </w:rPr>
        <w:t>通过自治区、兵团招采平台采购中选药品</w:t>
      </w:r>
      <w:r>
        <w:rPr>
          <w:rFonts w:hint="eastAsia" w:cs="Times New Roman"/>
          <w:color w:val="auto"/>
          <w:spacing w:val="11"/>
          <w:kern w:val="0"/>
          <w:sz w:val="32"/>
          <w:szCs w:val="32"/>
          <w:u w:val="none"/>
          <w:lang w:val="en-US" w:eastAsia="zh-CN" w:bidi="ar-SA"/>
        </w:rPr>
        <w:t>的</w:t>
      </w:r>
      <w:r>
        <w:rPr>
          <w:rFonts w:hint="eastAsia" w:ascii="Times New Roman" w:hAnsi="Times New Roman" w:cs="Times New Roman"/>
          <w:color w:val="auto"/>
          <w:spacing w:val="11"/>
          <w:kern w:val="0"/>
          <w:sz w:val="32"/>
          <w:szCs w:val="32"/>
          <w:u w:val="none"/>
          <w:lang w:val="en-US" w:eastAsia="zh-CN" w:bidi="ar-SA"/>
        </w:rPr>
        <w:t>；</w:t>
      </w:r>
    </w:p>
    <w:p w14:paraId="0893AF78">
      <w:pPr>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u w:val="none"/>
          <w:lang w:val="en-US" w:eastAsia="zh-CN"/>
        </w:rPr>
      </w:pPr>
      <w:r>
        <w:rPr>
          <w:rFonts w:hint="eastAsia"/>
          <w:u w:val="none"/>
          <w:lang w:val="en-US" w:eastAsia="zh-CN"/>
        </w:rPr>
        <w:t>3.自</w:t>
      </w:r>
      <w:r>
        <w:rPr>
          <w:rFonts w:hint="default"/>
          <w:u w:val="none"/>
          <w:lang w:val="en-US" w:eastAsia="zh-CN"/>
        </w:rPr>
        <w:t>2024</w:t>
      </w:r>
      <w:r>
        <w:rPr>
          <w:rFonts w:hint="eastAsia"/>
          <w:u w:val="none"/>
          <w:lang w:val="en-US" w:eastAsia="zh-CN"/>
        </w:rPr>
        <w:t>年</w:t>
      </w:r>
      <w:r>
        <w:rPr>
          <w:rFonts w:hint="default"/>
          <w:u w:val="none"/>
          <w:lang w:val="en-US" w:eastAsia="zh-CN"/>
        </w:rPr>
        <w:t>1</w:t>
      </w:r>
      <w:r>
        <w:rPr>
          <w:rFonts w:hint="eastAsia"/>
          <w:u w:val="none"/>
          <w:lang w:val="en-US" w:eastAsia="zh-CN"/>
        </w:rPr>
        <w:t>月起，无中止医保服务协议情形或因违反协议约定但未影响医保基金安全的。</w:t>
      </w:r>
    </w:p>
    <w:p w14:paraId="6194AAC5">
      <w:pPr>
        <w:pStyle w:val="4"/>
        <w:pageBreakBefore w:val="0"/>
        <w:kinsoku/>
        <w:wordWrap/>
        <w:overflowPunct/>
        <w:topLinePunct w:val="0"/>
        <w:autoSpaceDE/>
        <w:autoSpaceDN/>
        <w:bidi w:val="0"/>
        <w:adjustRightInd/>
        <w:snapToGrid/>
        <w:spacing w:line="560" w:lineRule="exact"/>
        <w:textAlignment w:val="auto"/>
        <w:rPr>
          <w:rFonts w:hint="eastAsia"/>
          <w:lang w:eastAsia="zh-CN"/>
        </w:rPr>
      </w:pPr>
      <w:r>
        <w:rPr>
          <w:rFonts w:hint="eastAsia"/>
          <w:lang w:val="en-US" w:eastAsia="zh-CN"/>
        </w:rPr>
        <w:t>同时满足以下条件的</w:t>
      </w:r>
      <w:r>
        <w:rPr>
          <w:rFonts w:hint="eastAsia"/>
        </w:rPr>
        <w:t>门诊慢性病（含门诊统筹）定点零售药店</w:t>
      </w:r>
      <w:r>
        <w:rPr>
          <w:rFonts w:hint="eastAsia"/>
          <w:lang w:val="en-US" w:eastAsia="zh-CN"/>
        </w:rPr>
        <w:t>可申报“双通道”定点药店</w:t>
      </w:r>
    </w:p>
    <w:p w14:paraId="07139117">
      <w:pPr>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u w:val="none"/>
          <w:lang w:val="en-US" w:eastAsia="zh-CN"/>
        </w:rPr>
      </w:pPr>
      <w:r>
        <w:rPr>
          <w:rFonts w:hint="eastAsia"/>
          <w:u w:val="none"/>
          <w:lang w:val="en-US" w:eastAsia="zh-CN"/>
        </w:rPr>
        <w:t>1.在注册地已纳入乌鲁木齐医疗保障定点零售药店管理1年以上（含1年）的；</w:t>
      </w:r>
    </w:p>
    <w:p w14:paraId="32591573">
      <w:pPr>
        <w:pageBreakBefore w:val="0"/>
        <w:numPr>
          <w:ilvl w:val="0"/>
          <w:numId w:val="0"/>
        </w:numPr>
        <w:kinsoku/>
        <w:wordWrap/>
        <w:overflowPunct/>
        <w:topLinePunct w:val="0"/>
        <w:autoSpaceDE/>
        <w:autoSpaceDN/>
        <w:bidi w:val="0"/>
        <w:adjustRightInd/>
        <w:snapToGrid/>
        <w:spacing w:line="560" w:lineRule="exact"/>
        <w:ind w:firstLine="676" w:firstLineChars="200"/>
        <w:textAlignment w:val="auto"/>
        <w:rPr>
          <w:rFonts w:hint="eastAsia" w:ascii="Times New Roman" w:hAnsi="Times New Roman" w:cs="Times New Roman"/>
          <w:color w:val="auto"/>
          <w:spacing w:val="11"/>
          <w:kern w:val="0"/>
          <w:sz w:val="32"/>
          <w:szCs w:val="32"/>
          <w:u w:val="none"/>
          <w:lang w:val="en-US" w:eastAsia="zh-CN" w:bidi="ar-SA"/>
        </w:rPr>
      </w:pPr>
      <w:r>
        <w:rPr>
          <w:rFonts w:hint="eastAsia" w:ascii="Times New Roman" w:hAnsi="Times New Roman" w:cs="Times New Roman"/>
          <w:color w:val="auto"/>
          <w:spacing w:val="11"/>
          <w:kern w:val="0"/>
          <w:sz w:val="32"/>
          <w:szCs w:val="32"/>
          <w:u w:val="none"/>
          <w:lang w:val="en-US" w:eastAsia="zh-CN" w:bidi="ar-SA"/>
        </w:rPr>
        <w:t>2.</w:t>
      </w:r>
      <w:r>
        <w:rPr>
          <w:rFonts w:hint="eastAsia" w:ascii="Times New Roman" w:hAnsi="Times New Roman" w:eastAsia="方正仿宋_GBK" w:cs="Times New Roman"/>
          <w:color w:val="auto"/>
          <w:spacing w:val="11"/>
          <w:kern w:val="0"/>
          <w:sz w:val="32"/>
          <w:szCs w:val="32"/>
          <w:u w:val="none"/>
          <w:lang w:val="en-US" w:eastAsia="zh-CN" w:bidi="ar-SA"/>
        </w:rPr>
        <w:t>参与</w:t>
      </w:r>
      <w:r>
        <w:rPr>
          <w:rFonts w:hint="eastAsia" w:ascii="Times New Roman" w:hAnsi="Times New Roman" w:cs="Times New Roman"/>
          <w:color w:val="auto"/>
          <w:spacing w:val="11"/>
          <w:kern w:val="0"/>
          <w:sz w:val="32"/>
          <w:szCs w:val="32"/>
          <w:u w:val="none"/>
          <w:lang w:val="en-US" w:eastAsia="zh-CN" w:bidi="ar-SA"/>
        </w:rPr>
        <w:t>集采药品</w:t>
      </w:r>
      <w:r>
        <w:rPr>
          <w:rFonts w:hint="eastAsia" w:ascii="Times New Roman" w:hAnsi="Times New Roman" w:eastAsia="方正仿宋_GBK" w:cs="Times New Roman"/>
          <w:color w:val="auto"/>
          <w:spacing w:val="11"/>
          <w:kern w:val="0"/>
          <w:sz w:val="32"/>
          <w:szCs w:val="32"/>
          <w:u w:val="none"/>
          <w:lang w:val="en-US" w:eastAsia="zh-CN" w:bidi="ar-SA"/>
        </w:rPr>
        <w:t>报量</w:t>
      </w:r>
      <w:r>
        <w:rPr>
          <w:rFonts w:hint="eastAsia" w:ascii="Times New Roman" w:hAnsi="Times New Roman" w:cs="Times New Roman"/>
          <w:color w:val="auto"/>
          <w:spacing w:val="11"/>
          <w:kern w:val="0"/>
          <w:sz w:val="32"/>
          <w:szCs w:val="32"/>
          <w:u w:val="none"/>
          <w:lang w:val="en-US" w:eastAsia="zh-CN" w:bidi="ar-SA"/>
        </w:rPr>
        <w:t>并</w:t>
      </w:r>
      <w:r>
        <w:rPr>
          <w:rFonts w:hint="eastAsia" w:ascii="Times New Roman" w:hAnsi="Times New Roman" w:eastAsia="方正仿宋_GBK" w:cs="Times New Roman"/>
          <w:color w:val="auto"/>
          <w:spacing w:val="11"/>
          <w:kern w:val="0"/>
          <w:sz w:val="32"/>
          <w:szCs w:val="32"/>
          <w:u w:val="none"/>
          <w:lang w:val="en-US" w:eastAsia="zh-CN" w:bidi="ar-SA"/>
        </w:rPr>
        <w:t>通过自治区、兵团招采平台采购中选药品</w:t>
      </w:r>
      <w:r>
        <w:rPr>
          <w:rFonts w:hint="eastAsia" w:cs="Times New Roman"/>
          <w:color w:val="auto"/>
          <w:spacing w:val="11"/>
          <w:kern w:val="0"/>
          <w:sz w:val="32"/>
          <w:szCs w:val="32"/>
          <w:u w:val="none"/>
          <w:lang w:val="en-US" w:eastAsia="zh-CN" w:bidi="ar-SA"/>
        </w:rPr>
        <w:t>的</w:t>
      </w:r>
      <w:r>
        <w:rPr>
          <w:rFonts w:hint="eastAsia" w:ascii="Times New Roman" w:hAnsi="Times New Roman" w:cs="Times New Roman"/>
          <w:color w:val="auto"/>
          <w:spacing w:val="11"/>
          <w:kern w:val="0"/>
          <w:sz w:val="32"/>
          <w:szCs w:val="32"/>
          <w:u w:val="none"/>
          <w:lang w:val="en-US" w:eastAsia="zh-CN" w:bidi="ar-SA"/>
        </w:rPr>
        <w:t>；</w:t>
      </w:r>
    </w:p>
    <w:p w14:paraId="0FD0E86D">
      <w:pPr>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u w:val="none"/>
          <w:lang w:val="en-US" w:eastAsia="zh-CN"/>
        </w:rPr>
      </w:pPr>
      <w:r>
        <w:rPr>
          <w:rFonts w:hint="eastAsia"/>
          <w:u w:val="none"/>
          <w:lang w:val="en-US" w:eastAsia="zh-CN"/>
        </w:rPr>
        <w:t>3.自</w:t>
      </w:r>
      <w:r>
        <w:rPr>
          <w:rFonts w:hint="default"/>
          <w:u w:val="none"/>
          <w:lang w:val="en-US" w:eastAsia="zh-CN"/>
        </w:rPr>
        <w:t>2024</w:t>
      </w:r>
      <w:r>
        <w:rPr>
          <w:rFonts w:hint="eastAsia"/>
          <w:u w:val="none"/>
          <w:lang w:val="en-US" w:eastAsia="zh-CN"/>
        </w:rPr>
        <w:t>年</w:t>
      </w:r>
      <w:r>
        <w:rPr>
          <w:rFonts w:hint="default"/>
          <w:u w:val="none"/>
          <w:lang w:val="en-US" w:eastAsia="zh-CN"/>
        </w:rPr>
        <w:t>1</w:t>
      </w:r>
      <w:r>
        <w:rPr>
          <w:rFonts w:hint="eastAsia"/>
          <w:u w:val="none"/>
          <w:lang w:val="en-US" w:eastAsia="zh-CN"/>
        </w:rPr>
        <w:t>月起，无中止医保服务协议情形或因违反协议约定但未影响医保基金安全的。</w:t>
      </w:r>
    </w:p>
    <w:p w14:paraId="04F365E0">
      <w:pPr>
        <w:pStyle w:val="3"/>
        <w:pageBreakBefore w:val="0"/>
        <w:numPr>
          <w:ilvl w:val="0"/>
          <w:numId w:val="0"/>
        </w:numPr>
        <w:kinsoku/>
        <w:wordWrap/>
        <w:overflowPunct/>
        <w:topLinePunct w:val="0"/>
        <w:autoSpaceDE/>
        <w:autoSpaceDN/>
        <w:bidi w:val="0"/>
        <w:adjustRightInd/>
        <w:snapToGrid/>
        <w:spacing w:line="560" w:lineRule="exact"/>
        <w:ind w:leftChars="200"/>
        <w:textAlignment w:val="auto"/>
        <w:rPr>
          <w:rFonts w:hint="eastAsia"/>
          <w:lang w:val="en-US" w:eastAsia="zh-CN"/>
        </w:rPr>
      </w:pPr>
      <w:r>
        <w:rPr>
          <w:rFonts w:hint="eastAsia"/>
          <w:lang w:val="en-US" w:eastAsia="zh-CN"/>
        </w:rPr>
        <w:t>五、遴选条件</w:t>
      </w:r>
    </w:p>
    <w:p w14:paraId="053608CF">
      <w:pPr>
        <w:pStyle w:val="4"/>
        <w:pageBreakBefore w:val="0"/>
        <w:numPr>
          <w:ilvl w:val="0"/>
          <w:numId w:val="0"/>
        </w:numPr>
        <w:kinsoku/>
        <w:wordWrap/>
        <w:overflowPunct/>
        <w:topLinePunct w:val="0"/>
        <w:autoSpaceDE/>
        <w:autoSpaceDN/>
        <w:bidi w:val="0"/>
        <w:adjustRightInd/>
        <w:snapToGrid/>
        <w:spacing w:line="560" w:lineRule="exact"/>
        <w:ind w:leftChars="200"/>
        <w:textAlignment w:val="auto"/>
        <w:rPr>
          <w:rFonts w:hint="eastAsia"/>
          <w:lang w:val="en-US" w:eastAsia="zh-CN"/>
        </w:rPr>
      </w:pPr>
      <w:r>
        <w:rPr>
          <w:rFonts w:hint="eastAsia"/>
          <w:lang w:val="en-US" w:eastAsia="zh-CN"/>
        </w:rPr>
        <w:t>（一）门诊慢性病（含门统筹）定点零售药店</w:t>
      </w:r>
    </w:p>
    <w:p w14:paraId="47642E57">
      <w:pPr>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u w:val="none"/>
          <w:lang w:val="en-US" w:eastAsia="zh-CN"/>
        </w:rPr>
      </w:pPr>
      <w:r>
        <w:rPr>
          <w:rFonts w:hint="default"/>
          <w:u w:val="none"/>
          <w:lang w:val="en-US" w:eastAsia="zh-CN"/>
        </w:rPr>
        <w:t>1</w:t>
      </w:r>
      <w:r>
        <w:rPr>
          <w:rFonts w:hint="eastAsia"/>
          <w:u w:val="none"/>
          <w:lang w:val="en-US" w:eastAsia="zh-CN"/>
        </w:rPr>
        <w:t>.在经营时间内至少有一名执业药师在岗，且执业药师相关信息已在国家医保信息业务编码标准数据库维护；</w:t>
      </w:r>
    </w:p>
    <w:p w14:paraId="6867A28B">
      <w:pPr>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u w:val="none"/>
          <w:lang w:val="en-US" w:eastAsia="zh-CN"/>
        </w:rPr>
      </w:pPr>
      <w:r>
        <w:rPr>
          <w:rFonts w:hint="default"/>
          <w:u w:val="none"/>
          <w:lang w:val="en-US" w:eastAsia="zh-CN"/>
        </w:rPr>
        <w:t>2</w:t>
      </w:r>
      <w:r>
        <w:rPr>
          <w:rFonts w:hint="eastAsia"/>
          <w:u w:val="none"/>
          <w:lang w:val="en-US" w:eastAsia="zh-CN"/>
        </w:rPr>
        <w:t>.设置门诊慢性病药品专区，主要用于药品存储、销售、药学服务、病人服务等，对所销售的药品设立明确的医保用药标识；</w:t>
      </w:r>
    </w:p>
    <w:p w14:paraId="55EF6587">
      <w:pPr>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u w:val="none"/>
          <w:lang w:val="en-US" w:eastAsia="zh-CN"/>
        </w:rPr>
      </w:pPr>
      <w:r>
        <w:rPr>
          <w:rFonts w:hint="default"/>
          <w:u w:val="none"/>
          <w:lang w:val="en-US" w:eastAsia="zh-CN"/>
        </w:rPr>
        <w:t>3</w:t>
      </w:r>
      <w:r>
        <w:rPr>
          <w:rFonts w:hint="eastAsia"/>
          <w:u w:val="none"/>
          <w:lang w:val="en-US" w:eastAsia="zh-CN"/>
        </w:rPr>
        <w:t>.符合国家GSP对于冷链药品管理要求，配备专用药品冷藏柜（医用冰箱）和有效的校准证书；</w:t>
      </w:r>
    </w:p>
    <w:p w14:paraId="0A3AD585">
      <w:pPr>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u w:val="none"/>
          <w:lang w:val="en-US" w:eastAsia="zh-CN"/>
        </w:rPr>
      </w:pPr>
      <w:r>
        <w:rPr>
          <w:rFonts w:hint="default"/>
          <w:u w:val="none"/>
          <w:lang w:val="en-US" w:eastAsia="zh-CN"/>
        </w:rPr>
        <w:t>4</w:t>
      </w:r>
      <w:r>
        <w:rPr>
          <w:rFonts w:hint="eastAsia"/>
          <w:u w:val="none"/>
          <w:lang w:val="en-US" w:eastAsia="zh-CN"/>
        </w:rPr>
        <w:t>.按照《国家医疗保障信息平台医保电子处方中心定点医药机构接入规范》要求，已</w:t>
      </w:r>
      <w:r>
        <w:rPr>
          <w:rFonts w:hint="eastAsia" w:ascii="方正仿宋_GBK" w:hAnsi="方正仿宋_GBK" w:eastAsia="方正仿宋_GBK" w:cs="方正仿宋_GBK"/>
          <w:sz w:val="32"/>
          <w:szCs w:val="32"/>
          <w:u w:val="none"/>
          <w:lang w:val="en-US" w:eastAsia="zh-CN"/>
        </w:rPr>
        <w:t>完成电子处方流转接口改造，</w:t>
      </w:r>
      <w:r>
        <w:rPr>
          <w:rFonts w:hint="eastAsia" w:ascii="方正仿宋_GBK" w:hAnsi="方正仿宋_GBK" w:cs="方正仿宋_GBK"/>
          <w:sz w:val="32"/>
          <w:szCs w:val="32"/>
          <w:u w:val="none"/>
          <w:lang w:val="en-US" w:eastAsia="zh-CN"/>
        </w:rPr>
        <w:t>可</w:t>
      </w:r>
      <w:r>
        <w:rPr>
          <w:rFonts w:hint="eastAsia" w:ascii="方正仿宋_GBK" w:hAnsi="方正仿宋_GBK" w:eastAsia="方正仿宋_GBK" w:cs="方正仿宋_GBK"/>
          <w:sz w:val="32"/>
          <w:szCs w:val="32"/>
          <w:u w:val="none"/>
          <w:lang w:val="en-US" w:eastAsia="zh-CN"/>
        </w:rPr>
        <w:t>通过</w:t>
      </w:r>
      <w:r>
        <w:rPr>
          <w:rFonts w:hint="eastAsia" w:ascii="方正仿宋_GBK" w:hAnsi="方正仿宋_GBK" w:cs="方正仿宋_GBK"/>
          <w:sz w:val="32"/>
          <w:szCs w:val="32"/>
          <w:u w:val="none"/>
          <w:lang w:val="en-US" w:eastAsia="zh-CN"/>
        </w:rPr>
        <w:t>医保</w:t>
      </w:r>
      <w:r>
        <w:rPr>
          <w:rFonts w:hint="eastAsia" w:ascii="方正仿宋_GBK" w:hAnsi="方正仿宋_GBK" w:eastAsia="方正仿宋_GBK" w:cs="方正仿宋_GBK"/>
          <w:sz w:val="32"/>
          <w:szCs w:val="32"/>
          <w:u w:val="none"/>
          <w:lang w:val="en-US" w:eastAsia="zh-CN"/>
        </w:rPr>
        <w:t>电子处方中心下载</w:t>
      </w:r>
      <w:r>
        <w:rPr>
          <w:rFonts w:hint="eastAsia" w:ascii="方正仿宋_GBK" w:hAnsi="方正仿宋_GBK" w:cs="方正仿宋_GBK"/>
          <w:sz w:val="32"/>
          <w:szCs w:val="32"/>
          <w:u w:val="none"/>
          <w:lang w:val="en-US" w:eastAsia="zh-CN"/>
        </w:rPr>
        <w:t>并</w:t>
      </w:r>
      <w:r>
        <w:rPr>
          <w:rFonts w:hint="eastAsia" w:ascii="方正仿宋_GBK" w:hAnsi="方正仿宋_GBK" w:eastAsia="方正仿宋_GBK" w:cs="方正仿宋_GBK"/>
          <w:sz w:val="32"/>
          <w:szCs w:val="32"/>
          <w:u w:val="none"/>
          <w:lang w:val="en-US" w:eastAsia="zh-CN"/>
        </w:rPr>
        <w:t>使用定点医疗机构电子处方结算</w:t>
      </w:r>
      <w:r>
        <w:rPr>
          <w:rFonts w:hint="eastAsia"/>
          <w:u w:val="none"/>
          <w:lang w:val="en-US" w:eastAsia="zh-CN"/>
        </w:rPr>
        <w:t>；</w:t>
      </w:r>
    </w:p>
    <w:p w14:paraId="511BC48B">
      <w:pPr>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u w:val="none"/>
          <w:lang w:val="en-US" w:eastAsia="zh-CN"/>
        </w:rPr>
      </w:pPr>
      <w:r>
        <w:rPr>
          <w:rFonts w:hint="default"/>
          <w:u w:val="none"/>
          <w:lang w:val="en-US" w:eastAsia="zh-CN"/>
        </w:rPr>
        <w:t>5</w:t>
      </w:r>
      <w:r>
        <w:rPr>
          <w:rFonts w:hint="eastAsia"/>
          <w:u w:val="none"/>
          <w:lang w:val="en-US" w:eastAsia="zh-CN"/>
        </w:rPr>
        <w:t>.</w:t>
      </w:r>
      <w:r>
        <w:rPr>
          <w:rFonts w:hint="eastAsia" w:ascii="方正仿宋_GBK" w:hAnsi="方正仿宋_GBK" w:eastAsia="方正仿宋_GBK" w:cs="方正仿宋_GBK"/>
          <w:b w:val="0"/>
          <w:bCs w:val="0"/>
          <w:sz w:val="32"/>
          <w:szCs w:val="32"/>
          <w:u w:val="none"/>
          <w:lang w:val="en-US" w:eastAsia="zh-CN"/>
        </w:rPr>
        <w:t>药品追溯码规范采集，实现</w:t>
      </w:r>
      <w:r>
        <w:rPr>
          <w:rFonts w:hint="eastAsia" w:ascii="方正仿宋_GBK" w:hAnsi="方正仿宋_GBK" w:cs="方正仿宋_GBK"/>
          <w:b w:val="0"/>
          <w:bCs w:val="0"/>
          <w:sz w:val="32"/>
          <w:szCs w:val="32"/>
          <w:u w:val="none"/>
          <w:lang w:val="en-US" w:eastAsia="zh-CN"/>
        </w:rPr>
        <w:t>“</w:t>
      </w:r>
      <w:r>
        <w:rPr>
          <w:rFonts w:hint="eastAsia" w:ascii="方正仿宋_GBK" w:hAnsi="方正仿宋_GBK" w:eastAsia="方正仿宋_GBK" w:cs="方正仿宋_GBK"/>
          <w:b w:val="0"/>
          <w:bCs w:val="0"/>
          <w:sz w:val="32"/>
          <w:szCs w:val="32"/>
          <w:u w:val="none"/>
          <w:lang w:val="en-US" w:eastAsia="zh-CN"/>
        </w:rPr>
        <w:t>应采尽采</w:t>
      </w:r>
      <w:r>
        <w:rPr>
          <w:rFonts w:hint="eastAsia" w:ascii="方正仿宋_GBK" w:hAnsi="方正仿宋_GBK" w:cs="方正仿宋_GBK"/>
          <w:b w:val="0"/>
          <w:bCs w:val="0"/>
          <w:sz w:val="32"/>
          <w:szCs w:val="32"/>
          <w:u w:val="none"/>
          <w:lang w:val="en-US" w:eastAsia="zh-CN"/>
        </w:rPr>
        <w:t>”；</w:t>
      </w:r>
    </w:p>
    <w:p w14:paraId="7B7CB4EF">
      <w:pPr>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u w:val="none"/>
          <w:lang w:val="en-US" w:eastAsia="zh-CN"/>
        </w:rPr>
      </w:pPr>
      <w:r>
        <w:rPr>
          <w:rFonts w:hint="default"/>
          <w:u w:val="none"/>
          <w:lang w:val="en-US" w:eastAsia="zh-CN"/>
        </w:rPr>
        <w:t>6</w:t>
      </w:r>
      <w:r>
        <w:rPr>
          <w:rFonts w:hint="eastAsia"/>
          <w:u w:val="none"/>
          <w:lang w:val="en-US" w:eastAsia="zh-CN"/>
        </w:rPr>
        <w:t>.符合法律法规和所在统筹地区医保行政部门规定的其他条件。</w:t>
      </w:r>
    </w:p>
    <w:p w14:paraId="4594229B">
      <w:pPr>
        <w:pStyle w:val="4"/>
        <w:pageBreakBefore w:val="0"/>
        <w:numPr>
          <w:ilvl w:val="0"/>
          <w:numId w:val="0"/>
        </w:numPr>
        <w:kinsoku/>
        <w:wordWrap/>
        <w:overflowPunct/>
        <w:topLinePunct w:val="0"/>
        <w:autoSpaceDE/>
        <w:autoSpaceDN/>
        <w:bidi w:val="0"/>
        <w:adjustRightInd/>
        <w:snapToGrid/>
        <w:spacing w:line="560" w:lineRule="exact"/>
        <w:ind w:leftChars="200"/>
        <w:textAlignment w:val="auto"/>
        <w:rPr>
          <w:rFonts w:hint="eastAsia"/>
          <w:lang w:val="en-US" w:eastAsia="zh-CN"/>
        </w:rPr>
      </w:pPr>
      <w:r>
        <w:rPr>
          <w:rFonts w:hint="eastAsia"/>
          <w:lang w:val="en-US" w:eastAsia="zh-CN"/>
        </w:rPr>
        <w:t>（二）“双通道”定点零售药店</w:t>
      </w:r>
    </w:p>
    <w:p w14:paraId="54D4C47C">
      <w:pPr>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u w:val="none"/>
          <w:lang w:val="en-US" w:eastAsia="zh-CN"/>
        </w:rPr>
      </w:pPr>
      <w:r>
        <w:rPr>
          <w:rFonts w:hint="default"/>
          <w:u w:val="none"/>
          <w:lang w:val="en-US" w:eastAsia="zh-CN"/>
        </w:rPr>
        <w:t>1</w:t>
      </w:r>
      <w:r>
        <w:rPr>
          <w:rFonts w:hint="eastAsia"/>
          <w:u w:val="none"/>
          <w:lang w:val="en-US" w:eastAsia="zh-CN"/>
        </w:rPr>
        <w:t>.在经营时间内至少有一名执业药师在岗，且执业药师相关信息已在国家医保信息业务编码标准数据库维护；</w:t>
      </w:r>
    </w:p>
    <w:p w14:paraId="4339CC28">
      <w:pPr>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u w:val="none"/>
          <w:lang w:val="en-US" w:eastAsia="zh-CN"/>
        </w:rPr>
      </w:pPr>
      <w:r>
        <w:rPr>
          <w:rFonts w:hint="default"/>
          <w:u w:val="none"/>
          <w:lang w:val="en-US" w:eastAsia="zh-CN"/>
        </w:rPr>
        <w:t>2</w:t>
      </w:r>
      <w:r>
        <w:rPr>
          <w:rFonts w:hint="eastAsia"/>
          <w:u w:val="none"/>
          <w:lang w:val="en-US" w:eastAsia="zh-CN"/>
        </w:rPr>
        <w:t>.设置谈判药专区，主要用于药品存储、销售、药学服务、病人服务等，对所售谈判药设立明确的医保用药标识；</w:t>
      </w:r>
    </w:p>
    <w:p w14:paraId="47ED325E">
      <w:pPr>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u w:val="none"/>
          <w:lang w:val="en-US" w:eastAsia="zh-CN"/>
        </w:rPr>
      </w:pPr>
      <w:r>
        <w:rPr>
          <w:rFonts w:hint="default"/>
          <w:u w:val="none"/>
          <w:lang w:val="en-US" w:eastAsia="zh-CN"/>
        </w:rPr>
        <w:t>3</w:t>
      </w:r>
      <w:r>
        <w:rPr>
          <w:rFonts w:hint="eastAsia"/>
          <w:u w:val="none"/>
          <w:lang w:val="en-US" w:eastAsia="zh-CN"/>
        </w:rPr>
        <w:t>.符合国家GSP对于冷链药品管理要求，配备专用药品冷藏柜（医用冰箱）和有效的校准证书；</w:t>
      </w:r>
    </w:p>
    <w:p w14:paraId="71F9ABD3">
      <w:pPr>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u w:val="none"/>
          <w:lang w:val="en-US" w:eastAsia="zh-CN"/>
        </w:rPr>
      </w:pPr>
      <w:r>
        <w:rPr>
          <w:rFonts w:hint="default"/>
          <w:u w:val="none"/>
          <w:lang w:val="en-US" w:eastAsia="zh-CN"/>
        </w:rPr>
        <w:t>4</w:t>
      </w:r>
      <w:r>
        <w:rPr>
          <w:rFonts w:hint="eastAsia"/>
          <w:u w:val="none"/>
          <w:lang w:val="en-US" w:eastAsia="zh-CN"/>
        </w:rPr>
        <w:t>.销售谈判药价格不得高于国家医保谈判约定的支付标准；</w:t>
      </w:r>
    </w:p>
    <w:p w14:paraId="768C99E5">
      <w:pPr>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u w:val="none"/>
          <w:lang w:val="en-US" w:eastAsia="zh-CN"/>
        </w:rPr>
      </w:pPr>
      <w:r>
        <w:rPr>
          <w:rFonts w:hint="default"/>
          <w:u w:val="none"/>
          <w:lang w:val="en-US" w:eastAsia="zh-CN"/>
        </w:rPr>
        <w:t>5</w:t>
      </w:r>
      <w:r>
        <w:rPr>
          <w:rFonts w:hint="eastAsia"/>
          <w:u w:val="none"/>
          <w:lang w:val="en-US" w:eastAsia="zh-CN"/>
        </w:rPr>
        <w:t>.按照《国家医疗保障信息平台医保电子处方中心定点医药机构接入规范》要求，</w:t>
      </w:r>
      <w:r>
        <w:rPr>
          <w:rFonts w:hint="eastAsia" w:ascii="方正仿宋_GBK" w:hAnsi="方正仿宋_GBK" w:eastAsia="方正仿宋_GBK" w:cs="方正仿宋_GBK"/>
          <w:sz w:val="32"/>
          <w:szCs w:val="32"/>
          <w:u w:val="none"/>
          <w:lang w:val="en-US" w:eastAsia="zh-CN"/>
        </w:rPr>
        <w:t>已完成电子处方流转接口改造，可通过电子处方中心下载并使用定点医疗机构电子处方结算</w:t>
      </w:r>
      <w:r>
        <w:rPr>
          <w:rFonts w:hint="eastAsia"/>
          <w:u w:val="none"/>
          <w:lang w:val="en-US" w:eastAsia="zh-CN"/>
        </w:rPr>
        <w:t>；</w:t>
      </w:r>
    </w:p>
    <w:p w14:paraId="661AA076">
      <w:pPr>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u w:val="none"/>
          <w:lang w:val="en-US" w:eastAsia="zh-CN"/>
        </w:rPr>
      </w:pPr>
      <w:r>
        <w:rPr>
          <w:rFonts w:hint="default"/>
          <w:u w:val="none"/>
          <w:lang w:val="en-US" w:eastAsia="zh-CN"/>
        </w:rPr>
        <w:t>6</w:t>
      </w:r>
      <w:r>
        <w:rPr>
          <w:rFonts w:hint="eastAsia"/>
          <w:u w:val="none"/>
          <w:lang w:val="en-US" w:eastAsia="zh-CN"/>
        </w:rPr>
        <w:t>.</w:t>
      </w:r>
      <w:r>
        <w:rPr>
          <w:rFonts w:hint="eastAsia" w:ascii="方正仿宋_GBK" w:hAnsi="方正仿宋_GBK" w:eastAsia="方正仿宋_GBK" w:cs="方正仿宋_GBK"/>
          <w:b w:val="0"/>
          <w:bCs w:val="0"/>
          <w:sz w:val="32"/>
          <w:szCs w:val="32"/>
          <w:u w:val="none"/>
          <w:lang w:val="en-US" w:eastAsia="zh-CN"/>
        </w:rPr>
        <w:t>药品追溯码规范采集，实现</w:t>
      </w:r>
      <w:r>
        <w:rPr>
          <w:rFonts w:hint="eastAsia" w:ascii="方正仿宋_GBK" w:hAnsi="方正仿宋_GBK" w:cs="方正仿宋_GBK"/>
          <w:b w:val="0"/>
          <w:bCs w:val="0"/>
          <w:sz w:val="32"/>
          <w:szCs w:val="32"/>
          <w:u w:val="none"/>
          <w:lang w:val="en-US" w:eastAsia="zh-CN"/>
        </w:rPr>
        <w:t>“</w:t>
      </w:r>
      <w:r>
        <w:rPr>
          <w:rFonts w:hint="eastAsia" w:ascii="方正仿宋_GBK" w:hAnsi="方正仿宋_GBK" w:eastAsia="方正仿宋_GBK" w:cs="方正仿宋_GBK"/>
          <w:b w:val="0"/>
          <w:bCs w:val="0"/>
          <w:sz w:val="32"/>
          <w:szCs w:val="32"/>
          <w:u w:val="none"/>
          <w:lang w:val="en-US" w:eastAsia="zh-CN"/>
        </w:rPr>
        <w:t>应采尽采</w:t>
      </w:r>
      <w:r>
        <w:rPr>
          <w:rFonts w:hint="eastAsia" w:ascii="方正仿宋_GBK" w:hAnsi="方正仿宋_GBK" w:cs="方正仿宋_GBK"/>
          <w:b w:val="0"/>
          <w:bCs w:val="0"/>
          <w:sz w:val="32"/>
          <w:szCs w:val="32"/>
          <w:u w:val="none"/>
          <w:lang w:val="en-US" w:eastAsia="zh-CN"/>
        </w:rPr>
        <w:t>”；</w:t>
      </w:r>
    </w:p>
    <w:p w14:paraId="1F2CFEC3">
      <w:pPr>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default"/>
          <w:lang w:val="en-US" w:eastAsia="zh-CN"/>
        </w:rPr>
        <w:t>7</w:t>
      </w:r>
      <w:r>
        <w:rPr>
          <w:rFonts w:hint="eastAsia"/>
          <w:lang w:val="en-US" w:eastAsia="zh-CN"/>
        </w:rPr>
        <w:t>.符合法律法规和所在统筹地区医保行政部门规定的其他条件。</w:t>
      </w:r>
    </w:p>
    <w:p w14:paraId="11FDDCB0">
      <w:pPr>
        <w:pStyle w:val="3"/>
        <w:pageBreakBefore w:val="0"/>
        <w:numPr>
          <w:ilvl w:val="0"/>
          <w:numId w:val="0"/>
        </w:numPr>
        <w:kinsoku/>
        <w:wordWrap/>
        <w:overflowPunct/>
        <w:topLinePunct w:val="0"/>
        <w:autoSpaceDE/>
        <w:autoSpaceDN/>
        <w:bidi w:val="0"/>
        <w:adjustRightInd/>
        <w:snapToGrid/>
        <w:spacing w:line="560" w:lineRule="exact"/>
        <w:ind w:leftChars="200"/>
        <w:textAlignment w:val="auto"/>
        <w:rPr>
          <w:rFonts w:hint="eastAsia"/>
          <w:lang w:val="en-US" w:eastAsia="zh-CN"/>
        </w:rPr>
      </w:pPr>
      <w:r>
        <w:rPr>
          <w:rFonts w:hint="eastAsia"/>
          <w:lang w:val="en-US" w:eastAsia="zh-CN"/>
        </w:rPr>
        <w:t>六、不予受理的情形</w:t>
      </w:r>
    </w:p>
    <w:p w14:paraId="105C40C4">
      <w:pPr>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（一）不符合门诊慢性病定点药店或“双通道”定点药店遴选范围的；</w:t>
      </w:r>
    </w:p>
    <w:p w14:paraId="0A9F55AA">
      <w:pPr>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（二）未依法履行行政处罚责任的；</w:t>
      </w:r>
    </w:p>
    <w:p w14:paraId="2F3FF393">
      <w:pPr>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（三）以弄虚作假等不正当手段申请门诊慢性病或“双通道”定点药店，自发现之日起未满3年的；</w:t>
      </w:r>
    </w:p>
    <w:p w14:paraId="05673180">
      <w:pPr>
        <w:pageBreakBefore w:val="0"/>
        <w:kinsoku/>
        <w:wordWrap/>
        <w:overflowPunct/>
        <w:topLinePunct w:val="0"/>
        <w:autoSpaceDE/>
        <w:autoSpaceDN/>
        <w:bidi w:val="0"/>
        <w:adjustRightInd/>
        <w:snapToGrid/>
        <w:spacing w:line="560" w:lineRule="exact"/>
        <w:textAlignment w:val="auto"/>
        <w:rPr>
          <w:rFonts w:hint="default"/>
          <w:u w:val="none"/>
          <w:lang w:val="en-US" w:eastAsia="zh-CN"/>
        </w:rPr>
      </w:pPr>
      <w:r>
        <w:rPr>
          <w:rFonts w:hint="eastAsia"/>
          <w:u w:val="none"/>
          <w:lang w:val="en-US" w:eastAsia="zh-CN"/>
        </w:rPr>
        <w:t>（四）无执业药师或存在执业药师挂证的；</w:t>
      </w:r>
    </w:p>
    <w:p w14:paraId="7CE25AEA">
      <w:pPr>
        <w:pageBreakBefore w:val="0"/>
        <w:kinsoku/>
        <w:wordWrap/>
        <w:overflowPunct/>
        <w:topLinePunct w:val="0"/>
        <w:autoSpaceDE/>
        <w:autoSpaceDN/>
        <w:bidi w:val="0"/>
        <w:adjustRightInd/>
        <w:snapToGrid/>
        <w:spacing w:line="560" w:lineRule="exact"/>
        <w:textAlignment w:val="auto"/>
        <w:rPr>
          <w:rFonts w:hint="eastAsia" w:ascii="Calibri" w:hAnsi="Calibri" w:eastAsia="方正仿宋_GBK" w:cs="Calibri"/>
          <w:i w:val="0"/>
          <w:iCs w:val="0"/>
          <w:color w:val="333333"/>
          <w:sz w:val="24"/>
          <w:szCs w:val="24"/>
          <w:lang w:eastAsia="zh-CN"/>
        </w:rPr>
      </w:pPr>
      <w:r>
        <w:rPr>
          <w:rFonts w:hint="eastAsia" w:cs="Times New Roman"/>
          <w:i w:val="0"/>
          <w:iCs w:val="0"/>
          <w:caps w:val="0"/>
          <w:color w:val="222222"/>
          <w:spacing w:val="8"/>
          <w:sz w:val="32"/>
          <w:szCs w:val="32"/>
          <w:shd w:val="clear" w:fill="FFFFFF"/>
          <w:lang w:val="en-US" w:eastAsia="zh-CN"/>
        </w:rPr>
        <w:t>（五）</w:t>
      </w:r>
      <w:r>
        <w:rPr>
          <w:rFonts w:hint="eastAsia" w:ascii="方正仿宋_GBK" w:hAnsi="方正仿宋_GBK" w:eastAsia="方正仿宋_GBK" w:cs="方正仿宋_GBK"/>
          <w:i w:val="0"/>
          <w:iCs w:val="0"/>
          <w:caps w:val="0"/>
          <w:color w:val="222222"/>
          <w:spacing w:val="8"/>
          <w:sz w:val="32"/>
          <w:szCs w:val="32"/>
          <w:shd w:val="clear" w:fill="FFFFFF"/>
        </w:rPr>
        <w:t>法定代表人、企业负责人或实际控制人被列入失信人名单的</w:t>
      </w:r>
      <w:r>
        <w:rPr>
          <w:rFonts w:hint="eastAsia" w:ascii="方正仿宋_GBK" w:hAnsi="方正仿宋_GBK" w:cs="方正仿宋_GBK"/>
          <w:i w:val="0"/>
          <w:iCs w:val="0"/>
          <w:caps w:val="0"/>
          <w:color w:val="222222"/>
          <w:spacing w:val="8"/>
          <w:sz w:val="32"/>
          <w:szCs w:val="32"/>
          <w:shd w:val="clear" w:fill="FFFFFF"/>
          <w:lang w:eastAsia="zh-CN"/>
        </w:rPr>
        <w:t>；</w:t>
      </w:r>
    </w:p>
    <w:p w14:paraId="60D36695">
      <w:pPr>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（六）法律法规规定的其他不予受理的情形。</w:t>
      </w:r>
    </w:p>
    <w:p w14:paraId="3682A443">
      <w:pPr>
        <w:pStyle w:val="3"/>
        <w:pageBreakBefore w:val="0"/>
        <w:numPr>
          <w:ilvl w:val="0"/>
          <w:numId w:val="0"/>
        </w:numPr>
        <w:kinsoku/>
        <w:wordWrap/>
        <w:overflowPunct/>
        <w:topLinePunct w:val="0"/>
        <w:autoSpaceDE/>
        <w:autoSpaceDN/>
        <w:bidi w:val="0"/>
        <w:adjustRightInd/>
        <w:snapToGrid/>
        <w:spacing w:line="560" w:lineRule="exact"/>
        <w:ind w:leftChars="200"/>
        <w:textAlignment w:val="auto"/>
        <w:rPr>
          <w:rFonts w:hint="eastAsia"/>
          <w:lang w:val="en-US" w:eastAsia="zh-CN"/>
        </w:rPr>
      </w:pPr>
      <w:r>
        <w:rPr>
          <w:rFonts w:hint="eastAsia"/>
          <w:lang w:val="en-US" w:eastAsia="zh-CN"/>
        </w:rPr>
        <w:t>七、申请材料</w:t>
      </w:r>
    </w:p>
    <w:p w14:paraId="79EA0BB7">
      <w:pPr>
        <w:pStyle w:val="4"/>
        <w:pageBreakBefore w:val="0"/>
        <w:numPr>
          <w:ilvl w:val="0"/>
          <w:numId w:val="0"/>
        </w:numPr>
        <w:kinsoku/>
        <w:wordWrap/>
        <w:overflowPunct/>
        <w:topLinePunct w:val="0"/>
        <w:autoSpaceDE/>
        <w:autoSpaceDN/>
        <w:bidi w:val="0"/>
        <w:adjustRightInd/>
        <w:snapToGrid/>
        <w:spacing w:line="560" w:lineRule="exact"/>
        <w:ind w:leftChars="200"/>
        <w:textAlignment w:val="auto"/>
        <w:rPr>
          <w:rFonts w:hint="eastAsia"/>
          <w:lang w:val="en-US" w:eastAsia="zh-CN"/>
        </w:rPr>
      </w:pPr>
      <w:r>
        <w:rPr>
          <w:rFonts w:hint="eastAsia"/>
          <w:lang w:val="en-US" w:eastAsia="zh-CN"/>
        </w:rPr>
        <w:t>（一）门诊慢性病（含门诊统筹）药店</w:t>
      </w:r>
    </w:p>
    <w:p w14:paraId="69A9B905">
      <w:pPr>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lang w:val="en-US" w:eastAsia="zh-CN"/>
        </w:rPr>
        <w:t>1.《乌鲁木齐市基本医疗保险门诊慢性病（含门诊统筹）定点零售药店申请表》；</w:t>
      </w:r>
    </w:p>
    <w:p w14:paraId="763D0923">
      <w:pPr>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lang w:val="en-US" w:eastAsia="zh-CN"/>
        </w:rPr>
        <w:t>2.《药品经营许可证》《营业执照》（正本、副本及变更页）复印件，法定代表人、主要负责人或实际控制人身份证复印件；</w:t>
      </w:r>
    </w:p>
    <w:p w14:paraId="366D9705">
      <w:pPr>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lang w:val="en-US" w:eastAsia="zh-CN"/>
        </w:rPr>
        <w:t>3.房屋权属证书或租房协议书，药店平面布局图；</w:t>
      </w:r>
    </w:p>
    <w:p w14:paraId="721AEFEB">
      <w:pPr>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lang w:val="en-US" w:eastAsia="zh-CN"/>
        </w:rPr>
        <w:t>4.职工花名册；执业药师资格证书及其劳动合同复印件；专职负责人、联络人的劳动合同复印件；</w:t>
      </w:r>
    </w:p>
    <w:p w14:paraId="67A71BC6">
      <w:pPr>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u w:val="none"/>
          <w:lang w:val="en-US" w:eastAsia="zh-CN"/>
        </w:rPr>
      </w:pPr>
      <w:r>
        <w:rPr>
          <w:rFonts w:hint="eastAsia"/>
          <w:lang w:val="en-US" w:eastAsia="zh-CN"/>
        </w:rPr>
        <w:t>5.药品采购发票及随货通行单据、独立的MIS系统、申报前3个月的视频</w:t>
      </w:r>
      <w:r>
        <w:rPr>
          <w:rFonts w:hint="eastAsia"/>
          <w:u w:val="none"/>
          <w:lang w:val="en-US" w:eastAsia="zh-CN"/>
        </w:rPr>
        <w:t>监控截图、专用药品冷藏柜（医用冰箱）</w:t>
      </w:r>
      <w:r>
        <w:rPr>
          <w:rFonts w:hint="eastAsia" w:ascii="Times New Roman" w:hAnsi="Times New Roman"/>
          <w:u w:val="none"/>
          <w:lang w:val="en-US" w:eastAsia="zh-CN"/>
        </w:rPr>
        <w:t>等符合申请条件的证明材料</w:t>
      </w:r>
      <w:r>
        <w:rPr>
          <w:rFonts w:hint="eastAsia"/>
          <w:u w:val="none"/>
          <w:lang w:val="en-US" w:eastAsia="zh-CN"/>
        </w:rPr>
        <w:t>；</w:t>
      </w:r>
    </w:p>
    <w:p w14:paraId="337538F7">
      <w:pPr>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u w:val="none"/>
          <w:lang w:val="en-US" w:eastAsia="zh-CN"/>
        </w:rPr>
      </w:pPr>
      <w:r>
        <w:rPr>
          <w:rFonts w:hint="eastAsia"/>
          <w:u w:val="none"/>
          <w:lang w:val="en-US" w:eastAsia="zh-CN"/>
        </w:rPr>
        <w:t>6</w:t>
      </w:r>
      <w:r>
        <w:rPr>
          <w:rFonts w:hint="eastAsia" w:ascii="Times New Roman" w:hAnsi="Times New Roman"/>
          <w:u w:val="none"/>
          <w:lang w:val="en-US" w:eastAsia="zh-CN"/>
        </w:rPr>
        <w:t>.</w:t>
      </w:r>
      <w:r>
        <w:rPr>
          <w:rFonts w:hint="eastAsia"/>
          <w:u w:val="none"/>
          <w:lang w:val="en-US" w:eastAsia="zh-CN"/>
        </w:rPr>
        <w:t>通过医保电子处方中心下载的处方，及使用该电子处方结算的单据；</w:t>
      </w:r>
    </w:p>
    <w:p w14:paraId="7C2A6B75">
      <w:pPr>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u w:val="none"/>
          <w:lang w:val="en-US" w:eastAsia="zh-CN"/>
        </w:rPr>
      </w:pPr>
      <w:r>
        <w:rPr>
          <w:rFonts w:hint="eastAsia"/>
          <w:u w:val="none"/>
          <w:lang w:val="en-US" w:eastAsia="zh-CN"/>
        </w:rPr>
        <w:t>7.门店周边15分钟服务圈（步行1公里范围内）的医药机构定位图；</w:t>
      </w:r>
    </w:p>
    <w:p w14:paraId="17A26625">
      <w:pPr>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u w:val="none"/>
          <w:lang w:val="en-US" w:eastAsia="zh-CN"/>
        </w:rPr>
      </w:pPr>
      <w:r>
        <w:rPr>
          <w:rFonts w:hint="eastAsia"/>
          <w:u w:val="none"/>
          <w:lang w:val="en-US" w:eastAsia="zh-CN"/>
        </w:rPr>
        <w:t>8.</w:t>
      </w:r>
      <w:r>
        <w:rPr>
          <w:rFonts w:hint="eastAsia" w:ascii="Times New Roman" w:hAnsi="Times New Roman"/>
          <w:u w:val="none"/>
          <w:lang w:val="en-US" w:eastAsia="zh-CN"/>
        </w:rPr>
        <w:t>申请门诊慢性病</w:t>
      </w:r>
      <w:r>
        <w:rPr>
          <w:rFonts w:hint="eastAsia"/>
          <w:u w:val="none"/>
          <w:lang w:val="en-US" w:eastAsia="zh-CN"/>
        </w:rPr>
        <w:t>（含门诊统筹）、“</w:t>
      </w:r>
      <w:r>
        <w:rPr>
          <w:rFonts w:hint="eastAsia" w:ascii="Times New Roman" w:hAnsi="Times New Roman"/>
          <w:u w:val="none"/>
          <w:lang w:val="en-US" w:eastAsia="zh-CN"/>
        </w:rPr>
        <w:t>双通道</w:t>
      </w:r>
      <w:r>
        <w:rPr>
          <w:rFonts w:hint="eastAsia"/>
          <w:u w:val="none"/>
          <w:lang w:val="en-US" w:eastAsia="zh-CN"/>
        </w:rPr>
        <w:t>”</w:t>
      </w:r>
      <w:r>
        <w:rPr>
          <w:rFonts w:hint="eastAsia" w:ascii="Times New Roman" w:hAnsi="Times New Roman"/>
          <w:u w:val="none"/>
          <w:lang w:val="en-US" w:eastAsia="zh-CN"/>
        </w:rPr>
        <w:t>定点零售药店基本信息汇总、承诺书</w:t>
      </w:r>
    </w:p>
    <w:p w14:paraId="33EC8635">
      <w:pPr>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u w:val="none"/>
          <w:lang w:val="en-US" w:eastAsia="zh-CN"/>
        </w:rPr>
      </w:pPr>
      <w:r>
        <w:rPr>
          <w:rFonts w:hint="eastAsia"/>
          <w:u w:val="none"/>
          <w:lang w:val="en-US" w:eastAsia="zh-CN"/>
        </w:rPr>
        <w:t>9.</w:t>
      </w:r>
      <w:r>
        <w:rPr>
          <w:rFonts w:hint="eastAsia" w:ascii="方正仿宋_GBK" w:hAnsi="方正仿宋_GBK" w:eastAsia="方正仿宋_GBK" w:cs="方正仿宋_GBK"/>
          <w:i w:val="0"/>
          <w:iCs w:val="0"/>
          <w:caps w:val="0"/>
          <w:color w:val="222222"/>
          <w:spacing w:val="8"/>
          <w:sz w:val="32"/>
          <w:szCs w:val="32"/>
          <w:u w:val="none"/>
          <w:shd w:val="clear" w:fill="FFFFFF"/>
        </w:rPr>
        <w:t>法定代表人、企业负责人或实际控制人</w:t>
      </w:r>
      <w:r>
        <w:rPr>
          <w:rFonts w:hint="eastAsia" w:ascii="方正仿宋_GBK" w:hAnsi="方正仿宋_GBK" w:cs="方正仿宋_GBK"/>
          <w:i w:val="0"/>
          <w:iCs w:val="0"/>
          <w:caps w:val="0"/>
          <w:color w:val="222222"/>
          <w:spacing w:val="8"/>
          <w:sz w:val="32"/>
          <w:szCs w:val="32"/>
          <w:u w:val="none"/>
          <w:shd w:val="clear" w:fill="FFFFFF"/>
          <w:lang w:val="en-US" w:eastAsia="zh-CN"/>
        </w:rPr>
        <w:t>在</w:t>
      </w:r>
      <w:r>
        <w:rPr>
          <w:rFonts w:hint="eastAsia"/>
          <w:u w:val="none"/>
        </w:rPr>
        <w:t>国家企业信用信息公示系统</w:t>
      </w:r>
      <w:r>
        <w:rPr>
          <w:rFonts w:hint="eastAsia"/>
          <w:u w:val="none"/>
          <w:lang w:val="en-US" w:eastAsia="zh-CN"/>
        </w:rPr>
        <w:t>内无失信记录的截图</w:t>
      </w:r>
      <w:r>
        <w:rPr>
          <w:rFonts w:hint="eastAsia" w:ascii="Times New Roman" w:hAnsi="Times New Roman"/>
          <w:u w:val="none"/>
          <w:lang w:val="en-US" w:eastAsia="zh-CN"/>
        </w:rPr>
        <w:t>。</w:t>
      </w:r>
    </w:p>
    <w:p w14:paraId="4CC901D1">
      <w:pPr>
        <w:pStyle w:val="4"/>
        <w:pageBreakBefore w:val="0"/>
        <w:numPr>
          <w:ilvl w:val="0"/>
          <w:numId w:val="0"/>
        </w:numPr>
        <w:kinsoku/>
        <w:wordWrap/>
        <w:overflowPunct/>
        <w:topLinePunct w:val="0"/>
        <w:autoSpaceDE/>
        <w:autoSpaceDN/>
        <w:bidi w:val="0"/>
        <w:adjustRightInd/>
        <w:snapToGrid/>
        <w:spacing w:line="560" w:lineRule="exact"/>
        <w:ind w:leftChars="200"/>
        <w:textAlignment w:val="auto"/>
        <w:rPr>
          <w:rFonts w:hint="default"/>
          <w:lang w:val="en-US" w:eastAsia="zh-CN"/>
        </w:rPr>
      </w:pPr>
      <w:r>
        <w:rPr>
          <w:rFonts w:hint="default"/>
          <w:lang w:val="en-US" w:eastAsia="zh-CN"/>
        </w:rPr>
        <w:t>（二）</w:t>
      </w:r>
      <w:r>
        <w:rPr>
          <w:rFonts w:hint="eastAsia"/>
          <w:lang w:val="en-US" w:eastAsia="zh-CN"/>
        </w:rPr>
        <w:t>“</w:t>
      </w:r>
      <w:r>
        <w:rPr>
          <w:rFonts w:hint="default"/>
          <w:lang w:val="en-US" w:eastAsia="zh-CN"/>
        </w:rPr>
        <w:t>双通道</w:t>
      </w:r>
      <w:r>
        <w:rPr>
          <w:rFonts w:hint="eastAsia"/>
          <w:lang w:val="en-US" w:eastAsia="zh-CN"/>
        </w:rPr>
        <w:t>”</w:t>
      </w:r>
      <w:r>
        <w:rPr>
          <w:rFonts w:hint="default"/>
          <w:lang w:val="en-US" w:eastAsia="zh-CN"/>
        </w:rPr>
        <w:t>药店</w:t>
      </w:r>
    </w:p>
    <w:p w14:paraId="078233B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75"/>
        <w:jc w:val="left"/>
        <w:textAlignment w:val="auto"/>
        <w:rPr>
          <w:rFonts w:hint="default" w:ascii="Times New Roman" w:hAnsi="Times New Roman" w:eastAsia="方正仿宋_GBK" w:cs="Times New Roman"/>
          <w:i w:val="0"/>
          <w:iCs w:val="0"/>
          <w:caps w:val="0"/>
          <w:color w:val="222222"/>
          <w:spacing w:val="8"/>
          <w:sz w:val="32"/>
          <w:szCs w:val="32"/>
          <w:shd w:val="clear" w:color="auto" w:fill="auto"/>
        </w:rPr>
      </w:pPr>
      <w:r>
        <w:rPr>
          <w:rFonts w:hint="default" w:ascii="Times New Roman" w:hAnsi="Times New Roman" w:cs="Times New Roman"/>
          <w:i w:val="0"/>
          <w:iCs w:val="0"/>
          <w:caps w:val="0"/>
          <w:color w:val="222222"/>
          <w:spacing w:val="8"/>
          <w:sz w:val="32"/>
          <w:szCs w:val="32"/>
          <w:shd w:val="clear" w:color="auto" w:fill="auto"/>
          <w:lang w:val="en-US" w:eastAsia="zh-CN"/>
        </w:rPr>
        <w:t>1.</w:t>
      </w:r>
      <w:r>
        <w:rPr>
          <w:rFonts w:hint="default" w:ascii="Times New Roman" w:hAnsi="Times New Roman" w:eastAsia="方正仿宋_GBK" w:cs="Times New Roman"/>
          <w:i w:val="0"/>
          <w:iCs w:val="0"/>
          <w:caps w:val="0"/>
          <w:color w:val="222222"/>
          <w:spacing w:val="8"/>
          <w:sz w:val="32"/>
          <w:szCs w:val="32"/>
          <w:shd w:val="clear" w:color="auto" w:fill="auto"/>
        </w:rPr>
        <w:t>《乌鲁木齐市基本医疗保险</w:t>
      </w:r>
      <w:r>
        <w:rPr>
          <w:rFonts w:hint="eastAsia" w:cs="Times New Roman"/>
          <w:i w:val="0"/>
          <w:iCs w:val="0"/>
          <w:caps w:val="0"/>
          <w:color w:val="222222"/>
          <w:spacing w:val="8"/>
          <w:sz w:val="32"/>
          <w:szCs w:val="32"/>
          <w:shd w:val="clear" w:color="auto" w:fill="auto"/>
          <w:lang w:eastAsia="zh-CN"/>
        </w:rPr>
        <w:t>“</w:t>
      </w:r>
      <w:r>
        <w:rPr>
          <w:rFonts w:hint="default" w:ascii="Times New Roman" w:hAnsi="Times New Roman" w:eastAsia="方正仿宋_GBK" w:cs="Times New Roman"/>
          <w:i w:val="0"/>
          <w:iCs w:val="0"/>
          <w:caps w:val="0"/>
          <w:color w:val="222222"/>
          <w:spacing w:val="8"/>
          <w:sz w:val="32"/>
          <w:szCs w:val="32"/>
          <w:shd w:val="clear" w:color="auto" w:fill="auto"/>
        </w:rPr>
        <w:t>双通道</w:t>
      </w:r>
      <w:r>
        <w:rPr>
          <w:rFonts w:hint="eastAsia" w:cs="Times New Roman"/>
          <w:i w:val="0"/>
          <w:iCs w:val="0"/>
          <w:caps w:val="0"/>
          <w:color w:val="222222"/>
          <w:spacing w:val="8"/>
          <w:sz w:val="32"/>
          <w:szCs w:val="32"/>
          <w:shd w:val="clear" w:color="auto" w:fill="auto"/>
          <w:lang w:eastAsia="zh-CN"/>
        </w:rPr>
        <w:t>”</w:t>
      </w:r>
      <w:r>
        <w:rPr>
          <w:rFonts w:hint="default" w:ascii="Times New Roman" w:hAnsi="Times New Roman" w:eastAsia="方正仿宋_GBK" w:cs="Times New Roman"/>
          <w:i w:val="0"/>
          <w:iCs w:val="0"/>
          <w:caps w:val="0"/>
          <w:color w:val="222222"/>
          <w:spacing w:val="8"/>
          <w:sz w:val="32"/>
          <w:szCs w:val="32"/>
          <w:shd w:val="clear" w:color="auto" w:fill="auto"/>
        </w:rPr>
        <w:t>定点零售药店</w:t>
      </w:r>
      <w:r>
        <w:rPr>
          <w:rFonts w:hint="eastAsia" w:cs="Times New Roman"/>
          <w:i w:val="0"/>
          <w:iCs w:val="0"/>
          <w:caps w:val="0"/>
          <w:color w:val="222222"/>
          <w:spacing w:val="8"/>
          <w:sz w:val="32"/>
          <w:szCs w:val="32"/>
          <w:shd w:val="clear" w:color="auto" w:fill="auto"/>
          <w:lang w:val="en-US" w:eastAsia="zh-CN"/>
        </w:rPr>
        <w:t>申请</w:t>
      </w:r>
      <w:r>
        <w:rPr>
          <w:rFonts w:hint="default" w:ascii="Times New Roman" w:hAnsi="Times New Roman" w:eastAsia="方正仿宋_GBK" w:cs="Times New Roman"/>
          <w:i w:val="0"/>
          <w:iCs w:val="0"/>
          <w:caps w:val="0"/>
          <w:color w:val="222222"/>
          <w:spacing w:val="8"/>
          <w:sz w:val="32"/>
          <w:szCs w:val="32"/>
          <w:shd w:val="clear" w:color="auto" w:fill="auto"/>
        </w:rPr>
        <w:t>表》；</w:t>
      </w:r>
    </w:p>
    <w:p w14:paraId="2A3E4CB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75"/>
        <w:jc w:val="left"/>
        <w:textAlignment w:val="auto"/>
        <w:rPr>
          <w:rFonts w:hint="default" w:ascii="Times New Roman" w:hAnsi="Times New Roman" w:eastAsia="方正仿宋_GBK" w:cs="Times New Roman"/>
          <w:i w:val="0"/>
          <w:iCs w:val="0"/>
          <w:caps w:val="0"/>
          <w:color w:val="222222"/>
          <w:spacing w:val="8"/>
          <w:sz w:val="32"/>
          <w:szCs w:val="32"/>
          <w:shd w:val="clear" w:color="auto" w:fill="auto"/>
          <w:lang w:val="en-US" w:eastAsia="zh-CN"/>
        </w:rPr>
      </w:pPr>
      <w:r>
        <w:rPr>
          <w:rFonts w:hint="eastAsia" w:cs="Times New Roman"/>
          <w:i w:val="0"/>
          <w:iCs w:val="0"/>
          <w:caps w:val="0"/>
          <w:color w:val="222222"/>
          <w:spacing w:val="8"/>
          <w:sz w:val="32"/>
          <w:szCs w:val="32"/>
          <w:shd w:val="clear" w:color="auto" w:fill="auto"/>
          <w:lang w:val="en-US" w:eastAsia="zh-CN"/>
        </w:rPr>
        <w:t>2.《药品经营许可证》《营业执照》（正本、副本及变更页）复印件，法定代表人、主要负责人或实际控制人身份证复印件；</w:t>
      </w:r>
    </w:p>
    <w:p w14:paraId="4AFCD04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75"/>
        <w:jc w:val="left"/>
        <w:textAlignment w:val="auto"/>
        <w:rPr>
          <w:rFonts w:hint="default" w:ascii="Times New Roman" w:hAnsi="Times New Roman" w:eastAsia="方正仿宋_GBK" w:cs="Times New Roman"/>
          <w:i w:val="0"/>
          <w:iCs w:val="0"/>
          <w:caps w:val="0"/>
          <w:color w:val="222222"/>
          <w:spacing w:val="8"/>
          <w:sz w:val="32"/>
          <w:szCs w:val="32"/>
          <w:shd w:val="clear" w:color="auto" w:fill="auto"/>
        </w:rPr>
      </w:pPr>
      <w:r>
        <w:rPr>
          <w:rFonts w:hint="eastAsia" w:cs="Times New Roman"/>
          <w:i w:val="0"/>
          <w:iCs w:val="0"/>
          <w:caps w:val="0"/>
          <w:color w:val="222222"/>
          <w:spacing w:val="8"/>
          <w:sz w:val="32"/>
          <w:szCs w:val="32"/>
          <w:shd w:val="clear" w:color="auto" w:fill="auto"/>
          <w:lang w:val="en-US" w:eastAsia="zh-CN"/>
        </w:rPr>
        <w:t>3.</w:t>
      </w:r>
      <w:r>
        <w:rPr>
          <w:rFonts w:hint="default" w:ascii="Times New Roman" w:hAnsi="Times New Roman" w:eastAsia="方正仿宋_GBK" w:cs="Times New Roman"/>
          <w:i w:val="0"/>
          <w:iCs w:val="0"/>
          <w:caps w:val="0"/>
          <w:color w:val="222222"/>
          <w:spacing w:val="8"/>
          <w:sz w:val="32"/>
          <w:szCs w:val="32"/>
          <w:shd w:val="clear" w:color="auto" w:fill="auto"/>
        </w:rPr>
        <w:t>房屋权属证书或租房协议书，药店平面布局图；</w:t>
      </w:r>
    </w:p>
    <w:p w14:paraId="7E465B0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75"/>
        <w:jc w:val="left"/>
        <w:textAlignment w:val="auto"/>
        <w:rPr>
          <w:rFonts w:hint="default" w:ascii="Times New Roman" w:hAnsi="Times New Roman" w:eastAsia="方正仿宋_GBK" w:cs="Times New Roman"/>
          <w:i w:val="0"/>
          <w:iCs w:val="0"/>
          <w:caps w:val="0"/>
          <w:color w:val="222222"/>
          <w:spacing w:val="8"/>
          <w:sz w:val="32"/>
          <w:szCs w:val="32"/>
          <w:shd w:val="clear" w:color="auto" w:fill="auto"/>
        </w:rPr>
      </w:pPr>
      <w:r>
        <w:rPr>
          <w:rFonts w:hint="eastAsia" w:cs="Times New Roman"/>
          <w:i w:val="0"/>
          <w:iCs w:val="0"/>
          <w:caps w:val="0"/>
          <w:color w:val="222222"/>
          <w:spacing w:val="8"/>
          <w:sz w:val="32"/>
          <w:szCs w:val="32"/>
          <w:shd w:val="clear" w:color="auto" w:fill="auto"/>
          <w:lang w:val="en-US" w:eastAsia="zh-CN"/>
        </w:rPr>
        <w:t>4.</w:t>
      </w:r>
      <w:r>
        <w:rPr>
          <w:rFonts w:hint="default" w:ascii="Times New Roman" w:hAnsi="Times New Roman" w:eastAsia="方正仿宋_GBK" w:cs="Times New Roman"/>
          <w:i w:val="0"/>
          <w:iCs w:val="0"/>
          <w:caps w:val="0"/>
          <w:color w:val="222222"/>
          <w:spacing w:val="8"/>
          <w:sz w:val="32"/>
          <w:szCs w:val="32"/>
          <w:shd w:val="clear" w:color="auto" w:fill="auto"/>
        </w:rPr>
        <w:t>职工花名册；执业药师资格证书其劳动合同复印件；专职负责人、联络人的劳动合同复印件；</w:t>
      </w:r>
    </w:p>
    <w:p w14:paraId="6B56955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75"/>
        <w:jc w:val="left"/>
        <w:textAlignment w:val="auto"/>
        <w:rPr>
          <w:rFonts w:hint="default" w:ascii="Times New Roman" w:hAnsi="Times New Roman" w:eastAsia="方正仿宋_GBK" w:cs="Times New Roman"/>
          <w:i w:val="0"/>
          <w:iCs w:val="0"/>
          <w:caps w:val="0"/>
          <w:color w:val="222222"/>
          <w:spacing w:val="8"/>
          <w:sz w:val="32"/>
          <w:szCs w:val="32"/>
          <w:shd w:val="clear" w:color="auto" w:fill="auto"/>
        </w:rPr>
      </w:pPr>
      <w:r>
        <w:rPr>
          <w:rFonts w:hint="eastAsia" w:cs="Times New Roman"/>
          <w:i w:val="0"/>
          <w:iCs w:val="0"/>
          <w:caps w:val="0"/>
          <w:color w:val="222222"/>
          <w:spacing w:val="8"/>
          <w:sz w:val="32"/>
          <w:szCs w:val="32"/>
          <w:shd w:val="clear" w:color="auto" w:fill="auto"/>
          <w:lang w:val="en-US" w:eastAsia="zh-CN"/>
        </w:rPr>
        <w:t>5.</w:t>
      </w:r>
      <w:r>
        <w:rPr>
          <w:rFonts w:hint="default" w:ascii="Times New Roman" w:hAnsi="Times New Roman" w:eastAsia="方正仿宋_GBK" w:cs="Times New Roman"/>
          <w:i w:val="0"/>
          <w:iCs w:val="0"/>
          <w:caps w:val="0"/>
          <w:color w:val="222222"/>
          <w:spacing w:val="8"/>
          <w:sz w:val="32"/>
          <w:szCs w:val="32"/>
          <w:shd w:val="clear" w:color="auto" w:fill="auto"/>
        </w:rPr>
        <w:t>谈判药品价格及供应清单；</w:t>
      </w:r>
    </w:p>
    <w:p w14:paraId="1634285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75"/>
        <w:jc w:val="left"/>
        <w:textAlignment w:val="auto"/>
        <w:rPr>
          <w:rFonts w:hint="eastAsia" w:ascii="Times New Roman" w:hAnsi="Times New Roman" w:eastAsia="方正仿宋_GBK" w:cs="Times New Roman"/>
          <w:i w:val="0"/>
          <w:iCs w:val="0"/>
          <w:caps w:val="0"/>
          <w:color w:val="222222"/>
          <w:spacing w:val="8"/>
          <w:sz w:val="32"/>
          <w:szCs w:val="32"/>
          <w:u w:val="none"/>
          <w:shd w:val="clear" w:color="auto" w:fill="auto"/>
          <w:lang w:eastAsia="zh-CN"/>
        </w:rPr>
      </w:pPr>
      <w:r>
        <w:rPr>
          <w:rFonts w:hint="eastAsia" w:cs="Times New Roman"/>
          <w:i w:val="0"/>
          <w:iCs w:val="0"/>
          <w:caps w:val="0"/>
          <w:color w:val="222222"/>
          <w:spacing w:val="8"/>
          <w:sz w:val="32"/>
          <w:szCs w:val="32"/>
          <w:shd w:val="clear" w:color="auto" w:fill="auto"/>
          <w:lang w:val="en-US" w:eastAsia="zh-CN"/>
        </w:rPr>
        <w:t>6.</w:t>
      </w:r>
      <w:r>
        <w:rPr>
          <w:rFonts w:hint="default" w:ascii="Times New Roman" w:hAnsi="Times New Roman" w:eastAsia="方正仿宋_GBK" w:cs="Times New Roman"/>
          <w:i w:val="0"/>
          <w:iCs w:val="0"/>
          <w:caps w:val="0"/>
          <w:color w:val="222222"/>
          <w:spacing w:val="8"/>
          <w:sz w:val="32"/>
          <w:szCs w:val="32"/>
          <w:shd w:val="clear" w:color="auto" w:fill="auto"/>
        </w:rPr>
        <w:t>谈判药品</w:t>
      </w:r>
      <w:r>
        <w:rPr>
          <w:rFonts w:hint="eastAsia" w:ascii="Times New Roman" w:hAnsi="Times New Roman" w:eastAsia="方正仿宋_GBK" w:cs="Times New Roman"/>
          <w:i w:val="0"/>
          <w:iCs w:val="0"/>
          <w:caps w:val="0"/>
          <w:color w:val="222222"/>
          <w:spacing w:val="8"/>
          <w:sz w:val="32"/>
          <w:szCs w:val="32"/>
          <w:shd w:val="clear" w:color="auto" w:fill="auto"/>
          <w:lang w:val="en-US" w:eastAsia="zh-CN"/>
        </w:rPr>
        <w:t>采购发票及随货通行单据、独立的MIS系统、申报前3个月</w:t>
      </w:r>
      <w:r>
        <w:rPr>
          <w:rFonts w:hint="eastAsia" w:ascii="Times New Roman" w:hAnsi="Times New Roman" w:eastAsia="方正仿宋_GBK" w:cs="Times New Roman"/>
          <w:i w:val="0"/>
          <w:iCs w:val="0"/>
          <w:caps w:val="0"/>
          <w:color w:val="222222"/>
          <w:spacing w:val="8"/>
          <w:sz w:val="32"/>
          <w:szCs w:val="32"/>
          <w:u w:val="none"/>
          <w:shd w:val="clear" w:color="auto" w:fill="auto"/>
          <w:lang w:val="en-US" w:eastAsia="zh-CN"/>
        </w:rPr>
        <w:t>的视频监控、全程冷链物流</w:t>
      </w:r>
      <w:r>
        <w:rPr>
          <w:rFonts w:hint="eastAsia" w:cs="Times New Roman"/>
          <w:i w:val="0"/>
          <w:iCs w:val="0"/>
          <w:caps w:val="0"/>
          <w:color w:val="222222"/>
          <w:spacing w:val="8"/>
          <w:sz w:val="32"/>
          <w:szCs w:val="32"/>
          <w:u w:val="none"/>
          <w:shd w:val="clear" w:color="auto" w:fill="auto"/>
          <w:lang w:val="en-US" w:eastAsia="zh-CN"/>
        </w:rPr>
        <w:t>及</w:t>
      </w:r>
      <w:r>
        <w:rPr>
          <w:rFonts w:hint="eastAsia" w:ascii="Times New Roman" w:hAnsi="Times New Roman" w:eastAsia="方正仿宋_GBK" w:cs="Times New Roman"/>
          <w:i w:val="0"/>
          <w:iCs w:val="0"/>
          <w:caps w:val="0"/>
          <w:color w:val="222222"/>
          <w:spacing w:val="8"/>
          <w:sz w:val="32"/>
          <w:szCs w:val="32"/>
          <w:u w:val="none"/>
          <w:shd w:val="clear" w:color="auto" w:fill="auto"/>
          <w:lang w:val="en-US" w:eastAsia="zh-CN"/>
        </w:rPr>
        <w:t>专用药品冷藏柜（医用冰箱）等符合申请条件的证明材料</w:t>
      </w:r>
      <w:r>
        <w:rPr>
          <w:rFonts w:hint="eastAsia" w:ascii="Times New Roman" w:hAnsi="Times New Roman" w:eastAsia="方正仿宋_GBK" w:cs="Times New Roman"/>
          <w:i w:val="0"/>
          <w:iCs w:val="0"/>
          <w:caps w:val="0"/>
          <w:color w:val="222222"/>
          <w:spacing w:val="8"/>
          <w:sz w:val="32"/>
          <w:szCs w:val="32"/>
          <w:u w:val="none"/>
          <w:shd w:val="clear" w:color="auto" w:fill="auto"/>
          <w:lang w:eastAsia="zh-CN"/>
        </w:rPr>
        <w:t>；</w:t>
      </w:r>
    </w:p>
    <w:p w14:paraId="2804FEBA">
      <w:pPr>
        <w:pageBreakBefore w:val="0"/>
        <w:kinsoku/>
        <w:wordWrap/>
        <w:overflowPunct/>
        <w:topLinePunct w:val="0"/>
        <w:autoSpaceDE/>
        <w:autoSpaceDN/>
        <w:bidi w:val="0"/>
        <w:adjustRightInd/>
        <w:snapToGrid/>
        <w:spacing w:line="560" w:lineRule="exact"/>
        <w:textAlignment w:val="auto"/>
        <w:rPr>
          <w:rFonts w:hint="eastAsia" w:ascii="Times New Roman" w:hAnsi="Times New Roman"/>
          <w:u w:val="none"/>
          <w:lang w:val="en-US" w:eastAsia="zh-CN"/>
        </w:rPr>
      </w:pPr>
      <w:r>
        <w:rPr>
          <w:rFonts w:hint="eastAsia"/>
          <w:u w:val="none"/>
          <w:lang w:val="en-US" w:eastAsia="zh-CN"/>
        </w:rPr>
        <w:t>7</w:t>
      </w:r>
      <w:r>
        <w:rPr>
          <w:rFonts w:hint="eastAsia" w:ascii="Times New Roman" w:hAnsi="Times New Roman"/>
          <w:u w:val="none"/>
          <w:lang w:val="en-US" w:eastAsia="zh-CN"/>
        </w:rPr>
        <w:t>.</w:t>
      </w:r>
      <w:r>
        <w:rPr>
          <w:rFonts w:hint="eastAsia"/>
          <w:u w:val="none"/>
          <w:lang w:val="en-US" w:eastAsia="zh-CN"/>
        </w:rPr>
        <w:t>门店周边15分钟服务圈（步行1公里范围内）的医药机构定位图；</w:t>
      </w:r>
    </w:p>
    <w:p w14:paraId="33C8109A">
      <w:pPr>
        <w:pageBreakBefore w:val="0"/>
        <w:kinsoku/>
        <w:wordWrap/>
        <w:overflowPunct/>
        <w:topLinePunct w:val="0"/>
        <w:autoSpaceDE/>
        <w:autoSpaceDN/>
        <w:bidi w:val="0"/>
        <w:adjustRightInd/>
        <w:snapToGrid/>
        <w:spacing w:line="560" w:lineRule="exact"/>
        <w:textAlignment w:val="auto"/>
        <w:rPr>
          <w:rFonts w:hint="default"/>
          <w:u w:val="none"/>
          <w:lang w:val="en-US" w:eastAsia="zh-CN"/>
        </w:rPr>
      </w:pPr>
      <w:r>
        <w:rPr>
          <w:rFonts w:hint="eastAsia"/>
          <w:u w:val="none"/>
          <w:lang w:val="en-US" w:eastAsia="zh-CN"/>
        </w:rPr>
        <w:t>8.</w:t>
      </w:r>
      <w:r>
        <w:rPr>
          <w:rFonts w:hint="eastAsia" w:ascii="Times New Roman" w:hAnsi="Times New Roman"/>
          <w:u w:val="none"/>
          <w:lang w:val="en-US" w:eastAsia="zh-CN"/>
        </w:rPr>
        <w:t>申请门诊慢性病</w:t>
      </w:r>
      <w:r>
        <w:rPr>
          <w:rFonts w:hint="eastAsia"/>
          <w:u w:val="none"/>
          <w:lang w:val="en-US" w:eastAsia="zh-CN"/>
        </w:rPr>
        <w:t>、“</w:t>
      </w:r>
      <w:r>
        <w:rPr>
          <w:rFonts w:hint="eastAsia" w:ascii="Times New Roman" w:hAnsi="Times New Roman"/>
          <w:u w:val="none"/>
          <w:lang w:val="en-US" w:eastAsia="zh-CN"/>
        </w:rPr>
        <w:t>双通道</w:t>
      </w:r>
      <w:r>
        <w:rPr>
          <w:rFonts w:hint="eastAsia"/>
          <w:u w:val="none"/>
          <w:lang w:val="en-US" w:eastAsia="zh-CN"/>
        </w:rPr>
        <w:t>”</w:t>
      </w:r>
      <w:r>
        <w:rPr>
          <w:rFonts w:hint="eastAsia" w:ascii="Times New Roman" w:hAnsi="Times New Roman"/>
          <w:u w:val="none"/>
          <w:lang w:val="en-US" w:eastAsia="zh-CN"/>
        </w:rPr>
        <w:t>定点零售药店基本信息汇总</w:t>
      </w:r>
      <w:r>
        <w:rPr>
          <w:rFonts w:hint="eastAsia"/>
          <w:u w:val="none"/>
          <w:lang w:val="en-US" w:eastAsia="zh-CN"/>
        </w:rPr>
        <w:t>表</w:t>
      </w:r>
      <w:r>
        <w:rPr>
          <w:rFonts w:hint="eastAsia" w:ascii="Times New Roman" w:hAnsi="Times New Roman"/>
          <w:u w:val="none"/>
          <w:lang w:val="en-US" w:eastAsia="zh-CN"/>
        </w:rPr>
        <w:t>、承诺书</w:t>
      </w:r>
      <w:r>
        <w:rPr>
          <w:rFonts w:hint="eastAsia"/>
          <w:u w:val="none"/>
          <w:lang w:val="en-US" w:eastAsia="zh-CN"/>
        </w:rPr>
        <w:t xml:space="preserve">；          </w:t>
      </w:r>
    </w:p>
    <w:p w14:paraId="0AF7A420">
      <w:pPr>
        <w:pageBreakBefore w:val="0"/>
        <w:kinsoku/>
        <w:wordWrap/>
        <w:overflowPunct/>
        <w:topLinePunct w:val="0"/>
        <w:autoSpaceDE/>
        <w:autoSpaceDN/>
        <w:bidi w:val="0"/>
        <w:adjustRightInd/>
        <w:snapToGrid/>
        <w:spacing w:line="560" w:lineRule="exact"/>
        <w:textAlignment w:val="auto"/>
        <w:rPr>
          <w:rFonts w:hint="eastAsia" w:ascii="Times New Roman" w:hAnsi="Times New Roman"/>
          <w:u w:val="none"/>
          <w:lang w:val="en-US" w:eastAsia="zh-CN"/>
        </w:rPr>
      </w:pPr>
      <w:r>
        <w:rPr>
          <w:rFonts w:hint="eastAsia"/>
          <w:u w:val="none"/>
          <w:lang w:val="en-US" w:eastAsia="zh-CN"/>
        </w:rPr>
        <w:t>9.</w:t>
      </w:r>
      <w:r>
        <w:rPr>
          <w:rFonts w:hint="eastAsia" w:ascii="方正仿宋_GBK" w:hAnsi="方正仿宋_GBK" w:eastAsia="方正仿宋_GBK" w:cs="方正仿宋_GBK"/>
          <w:i w:val="0"/>
          <w:iCs w:val="0"/>
          <w:caps w:val="0"/>
          <w:color w:val="222222"/>
          <w:spacing w:val="8"/>
          <w:sz w:val="32"/>
          <w:szCs w:val="32"/>
          <w:u w:val="none"/>
          <w:shd w:val="clear" w:fill="FFFFFF"/>
        </w:rPr>
        <w:t>法定代表人、企业负责人或实际控制人</w:t>
      </w:r>
      <w:r>
        <w:rPr>
          <w:rFonts w:hint="eastAsia" w:ascii="方正仿宋_GBK" w:hAnsi="方正仿宋_GBK" w:cs="方正仿宋_GBK"/>
          <w:i w:val="0"/>
          <w:iCs w:val="0"/>
          <w:caps w:val="0"/>
          <w:color w:val="222222"/>
          <w:spacing w:val="8"/>
          <w:sz w:val="32"/>
          <w:szCs w:val="32"/>
          <w:u w:val="none"/>
          <w:shd w:val="clear" w:fill="FFFFFF"/>
          <w:lang w:val="en-US" w:eastAsia="zh-CN"/>
        </w:rPr>
        <w:t>在</w:t>
      </w:r>
      <w:r>
        <w:rPr>
          <w:rFonts w:hint="eastAsia"/>
          <w:u w:val="none"/>
        </w:rPr>
        <w:t>国家企业信用信息公示系统</w:t>
      </w:r>
      <w:r>
        <w:rPr>
          <w:rFonts w:hint="eastAsia"/>
          <w:u w:val="none"/>
          <w:lang w:val="en-US" w:eastAsia="zh-CN"/>
        </w:rPr>
        <w:t>内无失信记录的截图</w:t>
      </w:r>
      <w:r>
        <w:rPr>
          <w:rFonts w:hint="eastAsia" w:ascii="Times New Roman" w:hAnsi="Times New Roman"/>
          <w:u w:val="none"/>
          <w:lang w:val="en-US" w:eastAsia="zh-CN"/>
        </w:rPr>
        <w:t>。</w:t>
      </w:r>
    </w:p>
    <w:p w14:paraId="755A4107">
      <w:pPr>
        <w:pStyle w:val="3"/>
        <w:pageBreakBefore w:val="0"/>
        <w:numPr>
          <w:ilvl w:val="0"/>
          <w:numId w:val="0"/>
        </w:numPr>
        <w:kinsoku/>
        <w:wordWrap/>
        <w:overflowPunct/>
        <w:topLinePunct w:val="0"/>
        <w:autoSpaceDE/>
        <w:autoSpaceDN/>
        <w:bidi w:val="0"/>
        <w:adjustRightInd/>
        <w:snapToGrid/>
        <w:spacing w:line="560" w:lineRule="exact"/>
        <w:ind w:leftChars="200"/>
        <w:textAlignment w:val="auto"/>
        <w:rPr>
          <w:rFonts w:hint="eastAsia"/>
          <w:lang w:val="en-US" w:eastAsia="zh-CN"/>
        </w:rPr>
      </w:pPr>
      <w:r>
        <w:rPr>
          <w:rFonts w:hint="eastAsia"/>
          <w:lang w:val="en-US" w:eastAsia="zh-CN"/>
        </w:rPr>
        <w:t>八、遴选</w:t>
      </w:r>
      <w:r>
        <w:rPr>
          <w:rFonts w:hint="eastAsia"/>
        </w:rPr>
        <w:t>流程</w:t>
      </w:r>
    </w:p>
    <w:p w14:paraId="0E3EB72B">
      <w:pPr>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（一）</w:t>
      </w:r>
      <w:r>
        <w:rPr>
          <w:rFonts w:hint="eastAsia" w:ascii="方正楷体_GBK" w:hAnsi="方正楷体_GBK" w:eastAsia="方正楷体_GBK" w:cs="方正楷体_GBK"/>
          <w:lang w:val="en-US" w:eastAsia="zh-CN"/>
        </w:rPr>
        <w:t>发布公告</w:t>
      </w:r>
    </w:p>
    <w:p w14:paraId="7ED6FA75">
      <w:pPr>
        <w:pageBreakBefore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lang w:val="en-US" w:eastAsia="zh-CN"/>
        </w:rPr>
        <w:t>由市医疗保障事业发展中心负责起草遴选公告和评分细则，并通过乌鲁木齐市人民政府网站医疗保障局网页向社会公开发布，明确遴选条件、程序、时间和所需材料。</w:t>
      </w:r>
    </w:p>
    <w:p w14:paraId="1C774400">
      <w:pPr>
        <w:pageBreakBefore w:val="0"/>
        <w:kinsoku/>
        <w:wordWrap/>
        <w:overflowPunct/>
        <w:topLinePunct w:val="0"/>
        <w:autoSpaceDE/>
        <w:autoSpaceDN/>
        <w:bidi w:val="0"/>
        <w:adjustRightInd/>
        <w:snapToGrid/>
        <w:spacing w:line="560" w:lineRule="exact"/>
        <w:textAlignment w:val="auto"/>
        <w:rPr>
          <w:rFonts w:hint="default" w:ascii="方正楷体_GBK" w:hAnsi="方正楷体_GBK" w:eastAsia="方正楷体_GBK" w:cs="方正楷体_GBK"/>
          <w:lang w:val="en-US" w:eastAsia="zh-CN"/>
        </w:rPr>
      </w:pPr>
      <w:r>
        <w:rPr>
          <w:rFonts w:hint="eastAsia" w:ascii="Times New Roman" w:hAnsi="Times New Roman" w:eastAsia="方正楷体_GBK" w:cs="Times New Roman"/>
          <w:lang w:val="en-US" w:eastAsia="zh-CN"/>
        </w:rPr>
        <w:t>（二）</w:t>
      </w:r>
      <w:r>
        <w:rPr>
          <w:rFonts w:hint="eastAsia" w:ascii="方正楷体_GBK" w:hAnsi="方正楷体_GBK" w:eastAsia="方正楷体_GBK" w:cs="方正楷体_GBK"/>
          <w:lang w:val="en-US" w:eastAsia="zh-CN"/>
        </w:rPr>
        <w:t>材料受理及资格审核</w:t>
      </w:r>
    </w:p>
    <w:p w14:paraId="027CE839">
      <w:pPr>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定点零售药店</w:t>
      </w:r>
      <w:r>
        <w:rPr>
          <w:rFonts w:hint="default"/>
          <w:lang w:val="en-US" w:eastAsia="zh-CN"/>
        </w:rPr>
        <w:t>向</w:t>
      </w:r>
      <w:r>
        <w:rPr>
          <w:rFonts w:hint="eastAsia"/>
          <w:lang w:val="en-US" w:eastAsia="zh-CN"/>
        </w:rPr>
        <w:t>乌鲁木齐市医疗保障事业发展中心</w:t>
      </w:r>
      <w:r>
        <w:rPr>
          <w:rFonts w:hint="default"/>
          <w:lang w:val="en-US" w:eastAsia="zh-CN"/>
        </w:rPr>
        <w:t>提出纳入</w:t>
      </w:r>
      <w:r>
        <w:rPr>
          <w:rFonts w:hint="eastAsia"/>
          <w:lang w:val="en-US" w:eastAsia="zh-CN"/>
        </w:rPr>
        <w:t>门诊慢性病（含门诊统筹）、“双通道”定点</w:t>
      </w:r>
      <w:r>
        <w:rPr>
          <w:rFonts w:hint="default"/>
          <w:lang w:val="en-US" w:eastAsia="zh-CN"/>
        </w:rPr>
        <w:t>协议管理申请</w:t>
      </w:r>
      <w:r>
        <w:rPr>
          <w:rFonts w:hint="eastAsia"/>
          <w:lang w:val="en-US" w:eastAsia="zh-CN"/>
        </w:rPr>
        <w:t>，市医疗保障事业发展中心即时受理，并通过国家企业信用信息公示系统查询、稽查审核信息反馈等方式，核查定点零售药店违规处罚情况。符合申报条件且材料齐全的，接收申请材料并进行登记；对申报材料不全的，自收到材料之日起5个工作日内一次性告知需要补充的材料。不符合申请条件的，应将材料及时退回并告知。</w:t>
      </w:r>
    </w:p>
    <w:p w14:paraId="46B6279D">
      <w:pPr>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定点零售药店要严格依照通知要求准备相关材料（详见附件），认真填写各类申报表格、加盖公章，并依照“材料清单”按序排列、装订成册，于规定时限内提交至乌鲁木齐市医疗保障事业发展中心定点医药机构管理科，逾期不再受理。</w:t>
      </w:r>
    </w:p>
    <w:p w14:paraId="6B5331B4">
      <w:pPr>
        <w:pageBreakBefore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lang w:val="en-US" w:eastAsia="zh-CN"/>
        </w:rPr>
      </w:pPr>
      <w:r>
        <w:rPr>
          <w:rFonts w:hint="eastAsia" w:ascii="Times New Roman" w:hAnsi="Times New Roman" w:eastAsia="方正楷体_GBK" w:cs="Times New Roman"/>
          <w:lang w:val="en-US" w:eastAsia="zh-CN"/>
        </w:rPr>
        <w:t>（三）</w:t>
      </w:r>
      <w:r>
        <w:rPr>
          <w:rFonts w:hint="eastAsia" w:ascii="方正楷体_GBK" w:hAnsi="方正楷体_GBK" w:eastAsia="方正楷体_GBK" w:cs="方正楷体_GBK"/>
          <w:lang w:val="en-US" w:eastAsia="zh-CN"/>
        </w:rPr>
        <w:t>现场评估</w:t>
      </w:r>
    </w:p>
    <w:p w14:paraId="3DB4A150">
      <w:pPr>
        <w:pageBreakBefore w:val="0"/>
        <w:kinsoku/>
        <w:wordWrap/>
        <w:overflowPunct/>
        <w:topLinePunct w:val="0"/>
        <w:autoSpaceDE/>
        <w:autoSpaceDN/>
        <w:bidi w:val="0"/>
        <w:adjustRightInd/>
        <w:snapToGrid/>
        <w:spacing w:line="560" w:lineRule="exact"/>
        <w:textAlignment w:val="auto"/>
        <w:rPr>
          <w:rFonts w:hint="default" w:eastAsia="方正仿宋_GBK"/>
          <w:lang w:val="en-US" w:eastAsia="zh-CN"/>
        </w:rPr>
      </w:pPr>
      <w:r>
        <w:rPr>
          <w:rFonts w:hint="eastAsia"/>
        </w:rPr>
        <w:t>市医疗保障事业发展中心根据申请材料受理情况，将符合条件的定点零售药店纳入现场评估范围，按照自受理申请材料之日起，评估时间不超过3个月的原则（</w:t>
      </w:r>
      <w:r>
        <w:rPr>
          <w:rFonts w:hint="eastAsia"/>
          <w:lang w:val="en-US" w:eastAsia="zh-CN"/>
        </w:rPr>
        <w:t>零售药店</w:t>
      </w:r>
      <w:r>
        <w:rPr>
          <w:rFonts w:hint="eastAsia"/>
        </w:rPr>
        <w:t>补充材料时间不计入评估期限），开展书面、现场等形式评估。</w:t>
      </w:r>
      <w:r>
        <w:rPr>
          <w:rFonts w:hint="eastAsia"/>
          <w:lang w:val="en-US" w:eastAsia="zh-CN"/>
        </w:rPr>
        <w:t>现场评估人员按照“双盲”原则从</w:t>
      </w:r>
      <w:r>
        <w:rPr>
          <w:rFonts w:hint="eastAsia" w:ascii="Times New Roman" w:hAnsi="Times New Roman" w:eastAsia="方正仿宋_GBK" w:cs="Times New Roman"/>
          <w:kern w:val="0"/>
          <w:sz w:val="32"/>
          <w:szCs w:val="32"/>
          <w:lang w:val="en-US" w:eastAsia="zh-CN" w:bidi="ar-SA"/>
        </w:rPr>
        <w:t>评估小组人员库</w:t>
      </w:r>
      <w:r>
        <w:rPr>
          <w:rFonts w:hint="eastAsia" w:ascii="Times New Roman" w:hAnsi="Times New Roman" w:cs="Times New Roman"/>
          <w:kern w:val="0"/>
          <w:sz w:val="32"/>
          <w:szCs w:val="32"/>
          <w:lang w:val="en-US" w:eastAsia="zh-CN" w:bidi="ar-SA"/>
        </w:rPr>
        <w:t>中</w:t>
      </w:r>
      <w:r>
        <w:rPr>
          <w:rFonts w:hint="eastAsia" w:cs="Times New Roman"/>
          <w:kern w:val="0"/>
          <w:sz w:val="32"/>
          <w:szCs w:val="32"/>
          <w:lang w:val="en-US" w:eastAsia="zh-CN" w:bidi="ar-SA"/>
        </w:rPr>
        <w:t>随机</w:t>
      </w:r>
      <w:r>
        <w:rPr>
          <w:rFonts w:hint="eastAsia" w:ascii="Times New Roman" w:hAnsi="Times New Roman" w:cs="Times New Roman"/>
          <w:kern w:val="0"/>
          <w:sz w:val="32"/>
          <w:szCs w:val="32"/>
          <w:lang w:val="en-US" w:eastAsia="zh-CN" w:bidi="ar-SA"/>
        </w:rPr>
        <w:t>抽取</w:t>
      </w:r>
      <w:r>
        <w:rPr>
          <w:rFonts w:hint="eastAsia" w:ascii="Times New Roman" w:hAnsi="Times New Roman" w:eastAsia="方正仿宋_GBK" w:cs="Times New Roman"/>
          <w:kern w:val="0"/>
          <w:sz w:val="32"/>
          <w:szCs w:val="32"/>
          <w:lang w:val="en-US" w:eastAsia="zh-CN" w:bidi="ar-SA"/>
        </w:rPr>
        <w:t>。</w:t>
      </w:r>
    </w:p>
    <w:p w14:paraId="6CF45570">
      <w:pPr>
        <w:pageBreakBefore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lang w:val="en-US" w:eastAsia="zh-CN"/>
        </w:rPr>
      </w:pPr>
      <w:r>
        <w:rPr>
          <w:rFonts w:hint="eastAsia" w:ascii="Times New Roman" w:hAnsi="Times New Roman" w:eastAsia="方正楷体_GBK" w:cs="Times New Roman"/>
          <w:lang w:val="en-US" w:eastAsia="zh-CN"/>
        </w:rPr>
        <w:t>（四）</w:t>
      </w:r>
      <w:r>
        <w:rPr>
          <w:rFonts w:hint="eastAsia" w:ascii="方正楷体_GBK" w:hAnsi="方正楷体_GBK" w:eastAsia="方正楷体_GBK" w:cs="方正楷体_GBK"/>
          <w:lang w:val="en-US" w:eastAsia="zh-CN"/>
        </w:rPr>
        <w:t>集中评审</w:t>
      </w:r>
    </w:p>
    <w:p w14:paraId="5CFE319D">
      <w:pPr>
        <w:pageBreakBefore w:val="0"/>
        <w:kinsoku/>
        <w:wordWrap/>
        <w:overflowPunct/>
        <w:topLinePunct w:val="0"/>
        <w:autoSpaceDE/>
        <w:autoSpaceDN/>
        <w:bidi w:val="0"/>
        <w:adjustRightInd/>
        <w:snapToGrid/>
        <w:spacing w:line="560" w:lineRule="exact"/>
        <w:textAlignment w:val="auto"/>
        <w:rPr>
          <w:rFonts w:hint="eastAsia"/>
        </w:rPr>
      </w:pPr>
      <w:r>
        <w:rPr>
          <w:rFonts w:hint="eastAsia"/>
        </w:rPr>
        <w:t>根据现场评估情况，由乌鲁木齐市医疗保障事业发展中心组织统一评审，确定</w:t>
      </w:r>
      <w:r>
        <w:rPr>
          <w:rFonts w:hint="eastAsia"/>
          <w:lang w:val="en-US" w:eastAsia="zh-CN"/>
        </w:rPr>
        <w:t>拟纳入</w:t>
      </w:r>
      <w:r>
        <w:rPr>
          <w:rFonts w:hint="eastAsia"/>
        </w:rPr>
        <w:t>门诊慢</w:t>
      </w:r>
      <w:r>
        <w:rPr>
          <w:rFonts w:hint="eastAsia"/>
          <w:lang w:val="en-US" w:eastAsia="zh-CN"/>
        </w:rPr>
        <w:t>性</w:t>
      </w:r>
      <w:r>
        <w:rPr>
          <w:rFonts w:hint="eastAsia"/>
        </w:rPr>
        <w:t>病</w:t>
      </w:r>
      <w:r>
        <w:rPr>
          <w:rFonts w:hint="eastAsia"/>
          <w:lang w:eastAsia="zh-CN"/>
        </w:rPr>
        <w:t>（</w:t>
      </w:r>
      <w:r>
        <w:rPr>
          <w:rFonts w:hint="eastAsia"/>
          <w:lang w:val="en-US" w:eastAsia="zh-CN"/>
        </w:rPr>
        <w:t>含门诊统筹</w:t>
      </w:r>
      <w:r>
        <w:rPr>
          <w:rFonts w:hint="eastAsia"/>
          <w:lang w:eastAsia="zh-CN"/>
        </w:rPr>
        <w:t>）、“</w:t>
      </w:r>
      <w:r>
        <w:rPr>
          <w:rFonts w:hint="eastAsia"/>
          <w:lang w:val="en-US" w:eastAsia="zh-CN"/>
        </w:rPr>
        <w:t>双通道</w:t>
      </w:r>
      <w:r>
        <w:rPr>
          <w:rFonts w:hint="eastAsia"/>
          <w:lang w:eastAsia="zh-CN"/>
        </w:rPr>
        <w:t>”</w:t>
      </w:r>
      <w:r>
        <w:rPr>
          <w:rFonts w:hint="eastAsia"/>
        </w:rPr>
        <w:t>协议管理范围</w:t>
      </w:r>
      <w:r>
        <w:rPr>
          <w:rFonts w:hint="eastAsia"/>
          <w:lang w:val="en-US" w:eastAsia="zh-CN"/>
        </w:rPr>
        <w:t>的定点零售药店名单</w:t>
      </w:r>
      <w:r>
        <w:rPr>
          <w:rFonts w:hint="eastAsia"/>
        </w:rPr>
        <w:t>。对于</w:t>
      </w:r>
      <w:r>
        <w:rPr>
          <w:rFonts w:hint="eastAsia"/>
          <w:lang w:val="en-US" w:eastAsia="zh-CN"/>
        </w:rPr>
        <w:t>评审</w:t>
      </w:r>
      <w:r>
        <w:rPr>
          <w:rFonts w:hint="eastAsia"/>
        </w:rPr>
        <w:t>不合格的，予以及时告知理由。</w:t>
      </w:r>
    </w:p>
    <w:p w14:paraId="0BA3A589">
      <w:pPr>
        <w:pageBreakBefore w:val="0"/>
        <w:kinsoku/>
        <w:wordWrap/>
        <w:overflowPunct/>
        <w:topLinePunct w:val="0"/>
        <w:autoSpaceDE/>
        <w:autoSpaceDN/>
        <w:bidi w:val="0"/>
        <w:adjustRightInd/>
        <w:snapToGrid/>
        <w:spacing w:line="560" w:lineRule="exact"/>
        <w:textAlignment w:val="auto"/>
        <w:rPr>
          <w:rFonts w:hint="default" w:ascii="方正楷体_GBK" w:hAnsi="方正楷体_GBK" w:eastAsia="方正楷体_GBK" w:cs="方正楷体_GBK"/>
          <w:lang w:val="en-US" w:eastAsia="zh-CN"/>
        </w:rPr>
      </w:pPr>
      <w:r>
        <w:rPr>
          <w:rFonts w:hint="eastAsia" w:ascii="Times New Roman" w:hAnsi="Times New Roman" w:eastAsia="方正楷体_GBK" w:cs="Times New Roman"/>
          <w:lang w:val="en-US" w:eastAsia="zh-CN"/>
        </w:rPr>
        <w:t>（五）</w:t>
      </w:r>
      <w:r>
        <w:rPr>
          <w:rFonts w:hint="eastAsia" w:ascii="方正楷体_GBK" w:hAnsi="方正楷体_GBK" w:eastAsia="方正楷体_GBK" w:cs="方正楷体_GBK"/>
          <w:lang w:val="en-US" w:eastAsia="zh-CN"/>
        </w:rPr>
        <w:t>行政备案</w:t>
      </w:r>
    </w:p>
    <w:p w14:paraId="3A60201A">
      <w:pPr>
        <w:pageBreakBefore w:val="0"/>
        <w:kinsoku/>
        <w:wordWrap/>
        <w:overflowPunct/>
        <w:topLinePunct w:val="0"/>
        <w:autoSpaceDE/>
        <w:autoSpaceDN/>
        <w:bidi w:val="0"/>
        <w:adjustRightInd/>
        <w:snapToGrid/>
        <w:spacing w:line="560" w:lineRule="exact"/>
        <w:textAlignment w:val="auto"/>
        <w:rPr>
          <w:rFonts w:hint="eastAsia"/>
        </w:rPr>
      </w:pPr>
      <w:r>
        <w:rPr>
          <w:rFonts w:hint="eastAsia"/>
          <w:lang w:val="en-US" w:eastAsia="zh-CN"/>
        </w:rPr>
        <w:t>由市医疗保障事业发展中心对拟纳入</w:t>
      </w:r>
      <w:r>
        <w:rPr>
          <w:rFonts w:hint="eastAsia"/>
        </w:rPr>
        <w:t>门诊慢</w:t>
      </w:r>
      <w:r>
        <w:rPr>
          <w:rFonts w:hint="eastAsia"/>
          <w:lang w:val="en-US" w:eastAsia="zh-CN"/>
        </w:rPr>
        <w:t>性</w:t>
      </w:r>
      <w:r>
        <w:rPr>
          <w:rFonts w:hint="eastAsia"/>
        </w:rPr>
        <w:t>病</w:t>
      </w:r>
      <w:r>
        <w:rPr>
          <w:rFonts w:hint="eastAsia"/>
          <w:lang w:eastAsia="zh-CN"/>
        </w:rPr>
        <w:t>（</w:t>
      </w:r>
      <w:r>
        <w:rPr>
          <w:rFonts w:hint="eastAsia"/>
          <w:lang w:val="en-US" w:eastAsia="zh-CN"/>
        </w:rPr>
        <w:t>含门诊统筹</w:t>
      </w:r>
      <w:r>
        <w:rPr>
          <w:rFonts w:hint="eastAsia"/>
          <w:lang w:eastAsia="zh-CN"/>
        </w:rPr>
        <w:t>）、“</w:t>
      </w:r>
      <w:r>
        <w:rPr>
          <w:rFonts w:hint="eastAsia"/>
          <w:lang w:val="en-US" w:eastAsia="zh-CN"/>
        </w:rPr>
        <w:t>双通道</w:t>
      </w:r>
      <w:r>
        <w:rPr>
          <w:rFonts w:hint="eastAsia"/>
          <w:lang w:eastAsia="zh-CN"/>
        </w:rPr>
        <w:t>”</w:t>
      </w:r>
      <w:r>
        <w:rPr>
          <w:rFonts w:hint="eastAsia"/>
        </w:rPr>
        <w:t>协议管理范围</w:t>
      </w:r>
      <w:r>
        <w:rPr>
          <w:rFonts w:hint="eastAsia"/>
          <w:lang w:val="en-US" w:eastAsia="zh-CN"/>
        </w:rPr>
        <w:t>的定点零售药店名单报市医保行政部门备案</w:t>
      </w:r>
      <w:r>
        <w:rPr>
          <w:rFonts w:hint="eastAsia"/>
        </w:rPr>
        <w:t>；</w:t>
      </w:r>
      <w:r>
        <w:rPr>
          <w:rFonts w:hint="eastAsia"/>
          <w:lang w:val="en-US" w:eastAsia="zh-CN"/>
        </w:rPr>
        <w:t>由市医保行政部门</w:t>
      </w:r>
      <w:r>
        <w:rPr>
          <w:rFonts w:hint="eastAsia"/>
        </w:rPr>
        <w:t>向</w:t>
      </w:r>
      <w:r>
        <w:rPr>
          <w:rFonts w:hint="eastAsia"/>
          <w:lang w:val="en-US" w:eastAsia="zh-CN"/>
        </w:rPr>
        <w:t>自治区医保部门</w:t>
      </w:r>
      <w:r>
        <w:rPr>
          <w:rFonts w:hint="eastAsia"/>
        </w:rPr>
        <w:t>报备。</w:t>
      </w:r>
    </w:p>
    <w:p w14:paraId="3664407B">
      <w:pPr>
        <w:pageBreakBefore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lang w:val="en-US" w:eastAsia="zh-CN"/>
        </w:rPr>
      </w:pPr>
      <w:r>
        <w:rPr>
          <w:rFonts w:hint="eastAsia" w:ascii="Times New Roman" w:hAnsi="Times New Roman" w:eastAsia="方正楷体_GBK" w:cs="Times New Roman"/>
          <w:lang w:val="en-US" w:eastAsia="zh-CN"/>
        </w:rPr>
        <w:t>（六）</w:t>
      </w:r>
      <w:r>
        <w:rPr>
          <w:rFonts w:hint="eastAsia" w:ascii="方正楷体_GBK" w:hAnsi="方正楷体_GBK" w:eastAsia="方正楷体_GBK" w:cs="方正楷体_GBK"/>
          <w:lang w:val="en-US" w:eastAsia="zh-CN"/>
        </w:rPr>
        <w:t>对外公示</w:t>
      </w:r>
    </w:p>
    <w:p w14:paraId="2088C5CF">
      <w:pPr>
        <w:pageBreakBefore w:val="0"/>
        <w:kinsoku/>
        <w:wordWrap/>
        <w:overflowPunct/>
        <w:topLinePunct w:val="0"/>
        <w:autoSpaceDE/>
        <w:autoSpaceDN/>
        <w:bidi w:val="0"/>
        <w:adjustRightInd/>
        <w:snapToGrid/>
        <w:spacing w:line="560" w:lineRule="exact"/>
        <w:textAlignment w:val="auto"/>
        <w:rPr>
          <w:rFonts w:hint="eastAsia"/>
        </w:rPr>
      </w:pPr>
      <w:r>
        <w:rPr>
          <w:rFonts w:hint="eastAsia"/>
        </w:rPr>
        <w:t>对评</w:t>
      </w:r>
      <w:r>
        <w:rPr>
          <w:rFonts w:hint="eastAsia"/>
          <w:lang w:val="en-US" w:eastAsia="zh-CN"/>
        </w:rPr>
        <w:t>审</w:t>
      </w:r>
      <w:r>
        <w:rPr>
          <w:rFonts w:hint="eastAsia"/>
        </w:rPr>
        <w:t>合格的</w:t>
      </w:r>
      <w:r>
        <w:rPr>
          <w:rFonts w:hint="eastAsia"/>
          <w:lang w:val="en-US" w:eastAsia="zh-CN"/>
        </w:rPr>
        <w:t>门诊慢性病</w:t>
      </w:r>
      <w:r>
        <w:rPr>
          <w:rFonts w:hint="eastAsia"/>
        </w:rPr>
        <w:t>定点药店</w:t>
      </w:r>
      <w:r>
        <w:rPr>
          <w:rFonts w:hint="eastAsia"/>
          <w:lang w:eastAsia="zh-CN"/>
        </w:rPr>
        <w:t>、“</w:t>
      </w:r>
      <w:r>
        <w:rPr>
          <w:rFonts w:hint="eastAsia"/>
          <w:lang w:val="en-US" w:eastAsia="zh-CN"/>
        </w:rPr>
        <w:t>双通道</w:t>
      </w:r>
      <w:r>
        <w:rPr>
          <w:rFonts w:hint="eastAsia"/>
          <w:lang w:eastAsia="zh-CN"/>
        </w:rPr>
        <w:t>”</w:t>
      </w:r>
      <w:r>
        <w:rPr>
          <w:rFonts w:hint="eastAsia"/>
          <w:lang w:val="en-US" w:eastAsia="zh-CN"/>
        </w:rPr>
        <w:t>定点药店</w:t>
      </w:r>
      <w:r>
        <w:rPr>
          <w:rFonts w:hint="eastAsia"/>
        </w:rPr>
        <w:t>在乌鲁木齐市</w:t>
      </w:r>
      <w:r>
        <w:rPr>
          <w:rFonts w:hint="eastAsia"/>
          <w:lang w:val="en-US" w:eastAsia="zh-CN"/>
        </w:rPr>
        <w:t>人民政府</w:t>
      </w:r>
      <w:r>
        <w:rPr>
          <w:rFonts w:hint="eastAsia"/>
        </w:rPr>
        <w:t>网向社会公示，公示期为10日。公示期间被举报不符合申请条件的，经核实情况属实的，取消申请资格。</w:t>
      </w:r>
    </w:p>
    <w:p w14:paraId="59F61A58">
      <w:pPr>
        <w:pageBreakBefore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lang w:val="en-US" w:eastAsia="zh-CN"/>
        </w:rPr>
      </w:pPr>
      <w:r>
        <w:rPr>
          <w:rFonts w:hint="eastAsia" w:ascii="Times New Roman" w:hAnsi="Times New Roman" w:eastAsia="方正楷体_GBK" w:cs="Times New Roman"/>
          <w:lang w:val="en-US" w:eastAsia="zh-CN"/>
        </w:rPr>
        <w:t>（七）</w:t>
      </w:r>
      <w:r>
        <w:rPr>
          <w:rFonts w:hint="eastAsia" w:ascii="方正楷体_GBK" w:hAnsi="方正楷体_GBK" w:eastAsia="方正楷体_GBK" w:cs="方正楷体_GBK"/>
          <w:lang w:val="en-US" w:eastAsia="zh-CN"/>
        </w:rPr>
        <w:t>开通资格</w:t>
      </w:r>
    </w:p>
    <w:p w14:paraId="7877778C">
      <w:pPr>
        <w:pageBreakBefore w:val="0"/>
        <w:kinsoku/>
        <w:wordWrap/>
        <w:overflowPunct/>
        <w:topLinePunct w:val="0"/>
        <w:autoSpaceDE/>
        <w:autoSpaceDN/>
        <w:bidi w:val="0"/>
        <w:adjustRightInd/>
        <w:snapToGrid/>
        <w:spacing w:line="560" w:lineRule="exact"/>
        <w:textAlignment w:val="auto"/>
        <w:rPr>
          <w:rFonts w:hint="eastAsia"/>
        </w:rPr>
      </w:pPr>
      <w:r>
        <w:rPr>
          <w:rFonts w:hint="eastAsia"/>
        </w:rPr>
        <w:t>公示期满后，市医疗保障事业发展中心及时对公示合格的</w:t>
      </w:r>
      <w:r>
        <w:rPr>
          <w:rFonts w:hint="eastAsia"/>
          <w:lang w:val="en-US" w:eastAsia="zh-CN"/>
        </w:rPr>
        <w:t>门诊慢性病</w:t>
      </w:r>
      <w:r>
        <w:rPr>
          <w:rFonts w:hint="eastAsia"/>
        </w:rPr>
        <w:t>定点药店</w:t>
      </w:r>
      <w:r>
        <w:rPr>
          <w:rFonts w:hint="eastAsia"/>
          <w:lang w:eastAsia="zh-CN"/>
        </w:rPr>
        <w:t>、“</w:t>
      </w:r>
      <w:r>
        <w:rPr>
          <w:rFonts w:hint="eastAsia"/>
          <w:lang w:val="en-US" w:eastAsia="zh-CN"/>
        </w:rPr>
        <w:t>双通道</w:t>
      </w:r>
      <w:r>
        <w:rPr>
          <w:rFonts w:hint="eastAsia"/>
          <w:lang w:eastAsia="zh-CN"/>
        </w:rPr>
        <w:t>”</w:t>
      </w:r>
      <w:r>
        <w:rPr>
          <w:rFonts w:hint="eastAsia"/>
          <w:lang w:val="en-US" w:eastAsia="zh-CN"/>
        </w:rPr>
        <w:t>定点药店分别</w:t>
      </w:r>
      <w:r>
        <w:rPr>
          <w:rFonts w:hint="eastAsia"/>
        </w:rPr>
        <w:t>开通</w:t>
      </w:r>
      <w:r>
        <w:rPr>
          <w:rFonts w:hint="eastAsia"/>
          <w:lang w:val="en-US" w:eastAsia="zh-CN"/>
        </w:rPr>
        <w:t>相应的</w:t>
      </w:r>
      <w:r>
        <w:rPr>
          <w:rFonts w:hint="eastAsia"/>
        </w:rPr>
        <w:t>门诊慢特病购药资格。</w:t>
      </w:r>
    </w:p>
    <w:p w14:paraId="10E98CFD">
      <w:pPr>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u w:val="none"/>
          <w:lang w:val="en-US" w:eastAsia="zh-CN"/>
        </w:rPr>
      </w:pPr>
      <w:r>
        <w:rPr>
          <w:rFonts w:hint="eastAsia" w:ascii="黑体" w:hAnsi="黑体" w:eastAsia="黑体" w:cs="黑体"/>
          <w:u w:val="none"/>
          <w:lang w:val="en-US" w:eastAsia="zh-CN"/>
        </w:rPr>
        <w:t>九、动态管理</w:t>
      </w:r>
    </w:p>
    <w:p w14:paraId="6606D86B">
      <w:pPr>
        <w:numPr>
          <w:ilvl w:val="0"/>
          <w:numId w:val="0"/>
        </w:numPr>
        <w:ind w:firstLine="631"/>
        <w:rPr>
          <w:rFonts w:hint="eastAsia"/>
          <w:u w:val="none"/>
          <w:lang w:val="en-US" w:eastAsia="zh-CN"/>
        </w:rPr>
      </w:pPr>
      <w:r>
        <w:rPr>
          <w:rFonts w:hint="eastAsia"/>
          <w:u w:val="none"/>
          <w:lang w:val="en-US" w:eastAsia="zh-CN"/>
        </w:rPr>
        <w:t>（一）对新纳入门诊慢性病或“双通道”定点的零售药店设立6个月政策辅导期，有针对性指导定点零售药店落实医保管理及支付相关政策要求。政策辅导期内出现违规问题，情节较轻的，政策辅导期延长6个月，延长期内整改不到位的不予延续门诊慢性病或“双通道”定点支付资格；情节严重的，予以解除医保协议。</w:t>
      </w:r>
    </w:p>
    <w:p w14:paraId="623129AF">
      <w:pPr>
        <w:numPr>
          <w:ilvl w:val="0"/>
          <w:numId w:val="0"/>
        </w:numPr>
        <w:ind w:firstLine="631"/>
        <w:rPr>
          <w:rFonts w:hint="default"/>
          <w:u w:val="none"/>
          <w:lang w:val="en-US" w:eastAsia="zh-CN"/>
        </w:rPr>
      </w:pPr>
      <w:r>
        <w:rPr>
          <w:rFonts w:hint="eastAsia"/>
          <w:u w:val="none"/>
          <w:lang w:val="en-US" w:eastAsia="zh-CN"/>
        </w:rPr>
        <w:t>（二）对已纳入门诊慢性病（含门诊统筹）或“双通道”管理1年及以上的定点零售药店，按照协议约定不定期开展“回头看”，存在协议履行期间不再符合门诊慢性病或“双通道”确定的基本条件和评估要求的，予以终止门诊慢性病或“双通道”定点支付资格。</w:t>
      </w:r>
    </w:p>
    <w:p w14:paraId="62E34378">
      <w:pPr>
        <w:pStyle w:val="3"/>
        <w:pageBreakBefore w:val="0"/>
        <w:numPr>
          <w:ilvl w:val="0"/>
          <w:numId w:val="0"/>
        </w:numPr>
        <w:kinsoku/>
        <w:wordWrap/>
        <w:overflowPunct/>
        <w:topLinePunct w:val="0"/>
        <w:autoSpaceDE/>
        <w:autoSpaceDN/>
        <w:bidi w:val="0"/>
        <w:adjustRightInd/>
        <w:snapToGrid/>
        <w:spacing w:line="560" w:lineRule="exact"/>
        <w:ind w:leftChars="200"/>
        <w:textAlignment w:val="auto"/>
        <w:rPr>
          <w:rFonts w:hint="default"/>
          <w:lang w:val="en-US" w:eastAsia="zh-CN"/>
        </w:rPr>
      </w:pPr>
      <w:r>
        <w:rPr>
          <w:rFonts w:hint="eastAsia"/>
          <w:lang w:val="en-US" w:eastAsia="zh-CN"/>
        </w:rPr>
        <w:t>十、其他事项</w:t>
      </w:r>
    </w:p>
    <w:p w14:paraId="27965136">
      <w:pPr>
        <w:pStyle w:val="4"/>
        <w:pageBreakBefore w:val="0"/>
        <w:numPr>
          <w:ilvl w:val="0"/>
          <w:numId w:val="0"/>
        </w:numPr>
        <w:kinsoku/>
        <w:wordWrap/>
        <w:overflowPunct/>
        <w:topLinePunct w:val="0"/>
        <w:autoSpaceDE/>
        <w:autoSpaceDN/>
        <w:bidi w:val="0"/>
        <w:adjustRightInd/>
        <w:snapToGrid/>
        <w:spacing w:line="560" w:lineRule="exact"/>
        <w:ind w:leftChars="200"/>
        <w:textAlignment w:val="auto"/>
        <w:rPr>
          <w:rFonts w:hint="eastAsia"/>
          <w:lang w:val="en-US" w:eastAsia="zh-CN"/>
        </w:rPr>
      </w:pPr>
      <w:r>
        <w:rPr>
          <w:rFonts w:hint="eastAsia"/>
          <w:lang w:val="en-US" w:eastAsia="zh-CN"/>
        </w:rPr>
        <w:t>（一）组织培训</w:t>
      </w:r>
    </w:p>
    <w:p w14:paraId="60CE55CB">
      <w:pPr>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由市医保中心组织申报</w:t>
      </w:r>
      <w:r>
        <w:rPr>
          <w:rFonts w:hint="eastAsia" w:cs="Times New Roman"/>
          <w:kern w:val="0"/>
          <w:sz w:val="32"/>
          <w:szCs w:val="32"/>
          <w:lang w:val="en-US" w:eastAsia="zh-CN" w:bidi="ar-SA"/>
        </w:rPr>
        <w:t>药店</w:t>
      </w:r>
      <w:r>
        <w:rPr>
          <w:rFonts w:hint="eastAsia" w:ascii="Times New Roman" w:hAnsi="Times New Roman" w:eastAsia="方正仿宋_GBK" w:cs="Times New Roman"/>
          <w:kern w:val="0"/>
          <w:sz w:val="32"/>
          <w:szCs w:val="32"/>
          <w:lang w:val="en-US" w:eastAsia="zh-CN" w:bidi="ar-SA"/>
        </w:rPr>
        <w:t>、评估小组人员对申报</w:t>
      </w:r>
      <w:r>
        <w:rPr>
          <w:rFonts w:hint="eastAsia" w:cs="Times New Roman"/>
          <w:kern w:val="0"/>
          <w:sz w:val="32"/>
          <w:szCs w:val="32"/>
          <w:lang w:val="en-US" w:eastAsia="zh-CN" w:bidi="ar-SA"/>
        </w:rPr>
        <w:t>门诊慢特病定点</w:t>
      </w:r>
      <w:r>
        <w:rPr>
          <w:rFonts w:hint="eastAsia" w:ascii="Times New Roman" w:hAnsi="Times New Roman" w:eastAsia="方正仿宋_GBK" w:cs="Times New Roman"/>
          <w:kern w:val="0"/>
          <w:sz w:val="32"/>
          <w:szCs w:val="32"/>
          <w:lang w:val="en-US" w:eastAsia="zh-CN" w:bidi="ar-SA"/>
        </w:rPr>
        <w:t>协议管理政策、经办流程、现场</w:t>
      </w:r>
      <w:r>
        <w:rPr>
          <w:rFonts w:hint="eastAsia" w:cs="Times New Roman"/>
          <w:kern w:val="0"/>
          <w:sz w:val="32"/>
          <w:szCs w:val="32"/>
          <w:lang w:val="en-US" w:eastAsia="zh-CN" w:bidi="ar-SA"/>
        </w:rPr>
        <w:t>评估</w:t>
      </w:r>
      <w:r>
        <w:rPr>
          <w:rFonts w:hint="eastAsia" w:ascii="Times New Roman" w:hAnsi="Times New Roman" w:eastAsia="方正仿宋_GBK" w:cs="Times New Roman"/>
          <w:kern w:val="0"/>
          <w:sz w:val="32"/>
          <w:szCs w:val="32"/>
          <w:lang w:val="en-US" w:eastAsia="zh-CN" w:bidi="ar-SA"/>
        </w:rPr>
        <w:t>内容等进行现场培训，做好培训人员签到和答疑工作。</w:t>
      </w:r>
    </w:p>
    <w:p w14:paraId="0C5FE1FF">
      <w:pPr>
        <w:pStyle w:val="4"/>
        <w:pageBreakBefore w:val="0"/>
        <w:numPr>
          <w:ilvl w:val="0"/>
          <w:numId w:val="0"/>
        </w:numPr>
        <w:kinsoku/>
        <w:wordWrap/>
        <w:overflowPunct/>
        <w:topLinePunct w:val="0"/>
        <w:autoSpaceDE/>
        <w:autoSpaceDN/>
        <w:bidi w:val="0"/>
        <w:adjustRightInd/>
        <w:snapToGrid/>
        <w:spacing w:line="560" w:lineRule="exact"/>
        <w:ind w:leftChars="200"/>
        <w:textAlignment w:val="auto"/>
        <w:rPr>
          <w:rFonts w:hint="default"/>
          <w:u w:val="single"/>
          <w:lang w:val="en-US" w:eastAsia="zh-CN"/>
        </w:rPr>
      </w:pPr>
      <w:r>
        <w:rPr>
          <w:rFonts w:hint="eastAsia"/>
          <w:lang w:val="en-US" w:eastAsia="zh-CN"/>
        </w:rPr>
        <w:t>（二）监督管理</w:t>
      </w:r>
    </w:p>
    <w:p w14:paraId="1DCC2F97">
      <w:pPr>
        <w:pageBreakBefore w:val="0"/>
        <w:kinsoku/>
        <w:wordWrap/>
        <w:overflowPunct/>
        <w:topLinePunct w:val="0"/>
        <w:autoSpaceDE/>
        <w:autoSpaceDN/>
        <w:bidi w:val="0"/>
        <w:adjustRightInd/>
        <w:snapToGrid/>
        <w:spacing w:line="560" w:lineRule="exact"/>
        <w:textAlignment w:val="auto"/>
        <w:rPr>
          <w:rFonts w:hint="eastAsia"/>
        </w:rPr>
      </w:pPr>
      <w:r>
        <w:rPr>
          <w:rFonts w:hint="eastAsia" w:cs="Times New Roman"/>
          <w:kern w:val="0"/>
          <w:sz w:val="32"/>
          <w:szCs w:val="32"/>
          <w:u w:val="none"/>
          <w:lang w:val="en-US" w:eastAsia="zh-CN" w:bidi="ar-SA"/>
        </w:rPr>
        <w:t>医保局</w:t>
      </w:r>
      <w:r>
        <w:rPr>
          <w:rFonts w:hint="eastAsia" w:ascii="Times New Roman" w:hAnsi="Times New Roman" w:eastAsia="方正仿宋_GBK" w:cs="Times New Roman"/>
          <w:kern w:val="0"/>
          <w:sz w:val="32"/>
          <w:szCs w:val="32"/>
          <w:u w:val="none"/>
          <w:lang w:val="en-US" w:eastAsia="zh-CN" w:bidi="ar-SA"/>
        </w:rPr>
        <w:t>纪检监察</w:t>
      </w:r>
      <w:r>
        <w:rPr>
          <w:rFonts w:hint="eastAsia" w:cs="Times New Roman"/>
          <w:kern w:val="0"/>
          <w:sz w:val="32"/>
          <w:szCs w:val="32"/>
          <w:u w:val="none"/>
          <w:lang w:val="en-US" w:eastAsia="zh-CN" w:bidi="ar-SA"/>
        </w:rPr>
        <w:t>及医保中心内控科</w:t>
      </w:r>
      <w:r>
        <w:rPr>
          <w:rFonts w:hint="eastAsia"/>
        </w:rPr>
        <w:t>负责对本统筹区医保经办机构在门诊慢特病定点</w:t>
      </w:r>
      <w:r>
        <w:rPr>
          <w:rFonts w:hint="eastAsia"/>
          <w:lang w:val="en-US" w:eastAsia="zh-CN"/>
        </w:rPr>
        <w:t>零售药店</w:t>
      </w:r>
      <w:r>
        <w:rPr>
          <w:rFonts w:hint="eastAsia"/>
        </w:rPr>
        <w:t>申</w:t>
      </w:r>
      <w:bookmarkStart w:id="0" w:name="_GoBack"/>
      <w:bookmarkEnd w:id="0"/>
      <w:r>
        <w:rPr>
          <w:rFonts w:hint="eastAsia"/>
        </w:rPr>
        <w:t>请受理、</w:t>
      </w:r>
      <w:r>
        <w:rPr>
          <w:rFonts w:hint="eastAsia"/>
          <w:lang w:val="en-US" w:eastAsia="zh-CN"/>
        </w:rPr>
        <w:t>现场</w:t>
      </w:r>
      <w:r>
        <w:rPr>
          <w:rFonts w:hint="eastAsia"/>
        </w:rPr>
        <w:t>评估、协商谈判、</w:t>
      </w:r>
      <w:r>
        <w:rPr>
          <w:rFonts w:hint="eastAsia"/>
          <w:lang w:val="en-US" w:eastAsia="zh-CN"/>
        </w:rPr>
        <w:t>资格开通</w:t>
      </w:r>
      <w:r>
        <w:rPr>
          <w:rFonts w:hint="eastAsia"/>
        </w:rPr>
        <w:t>等环节进行监督管理。</w:t>
      </w:r>
    </w:p>
    <w:p w14:paraId="573DD424">
      <w:pPr>
        <w:pStyle w:val="4"/>
        <w:pageBreakBefore w:val="0"/>
        <w:numPr>
          <w:ilvl w:val="0"/>
          <w:numId w:val="0"/>
        </w:numPr>
        <w:kinsoku/>
        <w:wordWrap/>
        <w:overflowPunct/>
        <w:topLinePunct w:val="0"/>
        <w:autoSpaceDE/>
        <w:autoSpaceDN/>
        <w:bidi w:val="0"/>
        <w:adjustRightInd/>
        <w:snapToGrid/>
        <w:spacing w:line="560" w:lineRule="exact"/>
        <w:ind w:leftChars="200"/>
        <w:textAlignment w:val="auto"/>
        <w:rPr>
          <w:rFonts w:hint="eastAsia"/>
        </w:rPr>
      </w:pPr>
      <w:r>
        <w:rPr>
          <w:rFonts w:hint="eastAsia"/>
          <w:lang w:val="en-US" w:eastAsia="zh-CN"/>
        </w:rPr>
        <w:t>（三）严肃工作纪律</w:t>
      </w:r>
    </w:p>
    <w:p w14:paraId="1DA791AA">
      <w:pPr>
        <w:pageBreakBefore w:val="0"/>
        <w:kinsoku/>
        <w:wordWrap/>
        <w:overflowPunct/>
        <w:topLinePunct w:val="0"/>
        <w:autoSpaceDE/>
        <w:autoSpaceDN/>
        <w:bidi w:val="0"/>
        <w:adjustRightInd/>
        <w:snapToGrid/>
        <w:spacing w:line="560" w:lineRule="exact"/>
        <w:textAlignment w:val="auto"/>
        <w:rPr>
          <w:rFonts w:hint="default"/>
          <w:lang w:val="en-US"/>
        </w:rPr>
      </w:pPr>
      <w:r>
        <w:rPr>
          <w:rFonts w:hint="eastAsia"/>
          <w:lang w:val="en-US" w:eastAsia="zh-CN"/>
        </w:rPr>
        <w:t>严格执行遴选程序，遵守廉洁自律规定，对遴选过程发现的违规违纪行为，将严肃追责。</w:t>
      </w:r>
    </w:p>
    <w:p w14:paraId="7E9959F2">
      <w:pPr>
        <w:pageBreakBefore w:val="0"/>
        <w:kinsoku/>
        <w:overflowPunct/>
        <w:topLinePunct w:val="0"/>
        <w:autoSpaceDE/>
        <w:autoSpaceDN/>
        <w:bidi w:val="0"/>
        <w:adjustRightInd/>
        <w:snapToGrid/>
        <w:spacing w:line="560" w:lineRule="exact"/>
        <w:ind w:firstLine="1580" w:firstLineChars="500"/>
        <w:textAlignment w:val="auto"/>
        <w:rPr>
          <w:rFonts w:hint="eastAsia" w:eastAsia="方正仿宋_GBK"/>
          <w:lang w:val="en-US" w:eastAsia="zh-CN"/>
        </w:rPr>
      </w:pPr>
      <w:r>
        <w:rPr>
          <w:rFonts w:hint="default"/>
          <w:lang w:val="en-US"/>
        </w:rPr>
        <w:t xml:space="preserve">    </w:t>
      </w:r>
    </w:p>
    <w:p w14:paraId="04B5D1C6">
      <w:pPr>
        <w:pageBreakBefore w:val="0"/>
        <w:kinsoku/>
        <w:wordWrap w:val="0"/>
        <w:overflowPunct/>
        <w:topLinePunct w:val="0"/>
        <w:autoSpaceDE/>
        <w:autoSpaceDN/>
        <w:bidi w:val="0"/>
        <w:adjustRightInd/>
        <w:snapToGrid/>
        <w:spacing w:line="560" w:lineRule="exact"/>
        <w:ind w:firstLine="0" w:firstLineChars="0"/>
        <w:jc w:val="center"/>
        <w:textAlignment w:val="auto"/>
        <w:rPr>
          <w:rFonts w:hint="eastAsia"/>
          <w:lang w:val="en-US" w:eastAsia="zh-CN"/>
        </w:rPr>
      </w:pPr>
      <w:r>
        <w:rPr>
          <w:rFonts w:hint="eastAsia"/>
          <w:lang w:val="en-US" w:eastAsia="zh-CN"/>
        </w:rPr>
        <w:t xml:space="preserve">                       </w:t>
      </w:r>
    </w:p>
    <w:p w14:paraId="5F5A336B">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lang w:val="en-US" w:eastAsia="zh-CN"/>
        </w:rPr>
      </w:pPr>
      <w:r>
        <w:rPr>
          <w:rFonts w:hint="default"/>
          <w:lang w:val="en-US" w:eastAsia="zh-CN"/>
        </w:rPr>
        <w:t xml:space="preserve">                        </w:t>
      </w:r>
      <w:r>
        <w:rPr>
          <w:rFonts w:hint="eastAsia"/>
          <w:lang w:val="en-US" w:eastAsia="zh-CN"/>
        </w:rPr>
        <w:t xml:space="preserve">  </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2098" w:left="1531" w:header="851" w:footer="1417" w:gutter="0"/>
      <w:pgNumType w:fmt="decimal"/>
      <w:cols w:space="0" w:num="1"/>
      <w:rtlGutter w:val="0"/>
      <w:docGrid w:type="linesAndChars" w:linePitch="577"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65142">
    <w:pPr>
      <w:pStyle w:val="7"/>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14CA1">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114CA1">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1491D">
    <w:pPr>
      <w:pStyle w:val="7"/>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11044">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7D11044">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28053">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CA1EC">
    <w:pPr>
      <w:ind w:firstLine="64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BC4DE">
    <w:pPr>
      <w:pStyle w:val="8"/>
      <w:pBdr>
        <w:bottom w:val="none" w:color="auto" w:sz="0" w:space="1"/>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CF119">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CBAFA"/>
    <w:multiLevelType w:val="singleLevel"/>
    <w:tmpl w:val="927CBAFA"/>
    <w:lvl w:ilvl="0" w:tentative="0">
      <w:start w:val="1"/>
      <w:numFmt w:val="chineseCounting"/>
      <w:pStyle w:val="4"/>
      <w:suff w:val="nothing"/>
      <w:lvlText w:val="（%1）"/>
      <w:lvlJc w:val="left"/>
      <w:pPr>
        <w:ind w:left="0" w:firstLine="420"/>
      </w:pPr>
      <w:rPr>
        <w:rFonts w:hint="eastAsia"/>
      </w:rPr>
    </w:lvl>
  </w:abstractNum>
  <w:abstractNum w:abstractNumId="1">
    <w:nsid w:val="378F7E73"/>
    <w:multiLevelType w:val="singleLevel"/>
    <w:tmpl w:val="378F7E73"/>
    <w:lvl w:ilvl="0" w:tentative="0">
      <w:start w:val="1"/>
      <w:numFmt w:val="chineseCounting"/>
      <w:pStyle w:val="3"/>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evenAndOddHeaders w:val="1"/>
  <w:drawingGridHorizontalSpacing w:val="158"/>
  <w:drawingGridVerticalSpacing w:val="289"/>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678F9"/>
    <w:rsid w:val="00281A21"/>
    <w:rsid w:val="00643BE3"/>
    <w:rsid w:val="007A6072"/>
    <w:rsid w:val="008C4773"/>
    <w:rsid w:val="00A41E1A"/>
    <w:rsid w:val="00A76622"/>
    <w:rsid w:val="00BA0F81"/>
    <w:rsid w:val="01184357"/>
    <w:rsid w:val="01374C0C"/>
    <w:rsid w:val="01A377BE"/>
    <w:rsid w:val="026D4C89"/>
    <w:rsid w:val="02994853"/>
    <w:rsid w:val="02FA5B72"/>
    <w:rsid w:val="03986975"/>
    <w:rsid w:val="03D332D6"/>
    <w:rsid w:val="03F66D0E"/>
    <w:rsid w:val="04E27C10"/>
    <w:rsid w:val="04F311AF"/>
    <w:rsid w:val="051F1C74"/>
    <w:rsid w:val="05AB66C2"/>
    <w:rsid w:val="06C156E1"/>
    <w:rsid w:val="06C5087C"/>
    <w:rsid w:val="07890DE8"/>
    <w:rsid w:val="07AE1028"/>
    <w:rsid w:val="07C025C7"/>
    <w:rsid w:val="081B3BDB"/>
    <w:rsid w:val="082544EA"/>
    <w:rsid w:val="08C2566D"/>
    <w:rsid w:val="08F12939"/>
    <w:rsid w:val="08F54980"/>
    <w:rsid w:val="097A3625"/>
    <w:rsid w:val="09855CD9"/>
    <w:rsid w:val="09D27A29"/>
    <w:rsid w:val="0A347ACD"/>
    <w:rsid w:val="0A780A68"/>
    <w:rsid w:val="0AEC727C"/>
    <w:rsid w:val="0AF5210A"/>
    <w:rsid w:val="0CA5404F"/>
    <w:rsid w:val="0CAE6912"/>
    <w:rsid w:val="0CD64855"/>
    <w:rsid w:val="0CFB3607"/>
    <w:rsid w:val="0DDD3D4B"/>
    <w:rsid w:val="0DE40111"/>
    <w:rsid w:val="0DEC197E"/>
    <w:rsid w:val="0EE77A81"/>
    <w:rsid w:val="0F2C4CF2"/>
    <w:rsid w:val="0FB43951"/>
    <w:rsid w:val="0FB571D5"/>
    <w:rsid w:val="10774D14"/>
    <w:rsid w:val="108005C5"/>
    <w:rsid w:val="10AF4E6E"/>
    <w:rsid w:val="10F036D9"/>
    <w:rsid w:val="10F3685C"/>
    <w:rsid w:val="117417AC"/>
    <w:rsid w:val="12AB5BAD"/>
    <w:rsid w:val="145521A7"/>
    <w:rsid w:val="148235B5"/>
    <w:rsid w:val="14833235"/>
    <w:rsid w:val="15460D75"/>
    <w:rsid w:val="157A24C8"/>
    <w:rsid w:val="15A02708"/>
    <w:rsid w:val="162B22EC"/>
    <w:rsid w:val="16BE185B"/>
    <w:rsid w:val="171B2DE3"/>
    <w:rsid w:val="17841624"/>
    <w:rsid w:val="19464B08"/>
    <w:rsid w:val="1A9B6333"/>
    <w:rsid w:val="1AA524C6"/>
    <w:rsid w:val="1B0659E2"/>
    <w:rsid w:val="1B4E1E58"/>
    <w:rsid w:val="1B731AE7"/>
    <w:rsid w:val="1BC317EC"/>
    <w:rsid w:val="1C2019B2"/>
    <w:rsid w:val="1C9F7D02"/>
    <w:rsid w:val="1D5C1DA3"/>
    <w:rsid w:val="1D771F63"/>
    <w:rsid w:val="1DAE025C"/>
    <w:rsid w:val="1DF50633"/>
    <w:rsid w:val="1E117F64"/>
    <w:rsid w:val="1E8659A4"/>
    <w:rsid w:val="1F7807AF"/>
    <w:rsid w:val="1F79042F"/>
    <w:rsid w:val="1FD06C40"/>
    <w:rsid w:val="2011745B"/>
    <w:rsid w:val="2041797B"/>
    <w:rsid w:val="214851A7"/>
    <w:rsid w:val="216D40E2"/>
    <w:rsid w:val="21B005DE"/>
    <w:rsid w:val="21DD569B"/>
    <w:rsid w:val="21E60529"/>
    <w:rsid w:val="21F71AC8"/>
    <w:rsid w:val="22257114"/>
    <w:rsid w:val="225B3D6B"/>
    <w:rsid w:val="231A0926"/>
    <w:rsid w:val="237473EA"/>
    <w:rsid w:val="23C47ABA"/>
    <w:rsid w:val="23F07684"/>
    <w:rsid w:val="24A061A3"/>
    <w:rsid w:val="251B7B83"/>
    <w:rsid w:val="25755282"/>
    <w:rsid w:val="25E145B1"/>
    <w:rsid w:val="25E954A3"/>
    <w:rsid w:val="26234121"/>
    <w:rsid w:val="26637109"/>
    <w:rsid w:val="266C581A"/>
    <w:rsid w:val="26E25459"/>
    <w:rsid w:val="27310A5B"/>
    <w:rsid w:val="27972C6B"/>
    <w:rsid w:val="27BA76BA"/>
    <w:rsid w:val="27BE1944"/>
    <w:rsid w:val="27F756D8"/>
    <w:rsid w:val="280356C1"/>
    <w:rsid w:val="29506857"/>
    <w:rsid w:val="29CC7F7F"/>
    <w:rsid w:val="2A720E8E"/>
    <w:rsid w:val="2A8E5B5E"/>
    <w:rsid w:val="2ACB3B45"/>
    <w:rsid w:val="2AED4A4D"/>
    <w:rsid w:val="2B0626A5"/>
    <w:rsid w:val="2BA769AB"/>
    <w:rsid w:val="2C2A3701"/>
    <w:rsid w:val="2D18338A"/>
    <w:rsid w:val="2D510F65"/>
    <w:rsid w:val="2D9E48E8"/>
    <w:rsid w:val="2DBF46B4"/>
    <w:rsid w:val="2DD227B8"/>
    <w:rsid w:val="2DDD65CB"/>
    <w:rsid w:val="2DDF0E78"/>
    <w:rsid w:val="2E1867B0"/>
    <w:rsid w:val="2F6C2559"/>
    <w:rsid w:val="300262D0"/>
    <w:rsid w:val="3043040F"/>
    <w:rsid w:val="304F6FFA"/>
    <w:rsid w:val="30871DAD"/>
    <w:rsid w:val="311B2C0D"/>
    <w:rsid w:val="32B44296"/>
    <w:rsid w:val="32C56DD8"/>
    <w:rsid w:val="32DE1F01"/>
    <w:rsid w:val="33C61B37"/>
    <w:rsid w:val="33F11A91"/>
    <w:rsid w:val="34884626"/>
    <w:rsid w:val="34B13101"/>
    <w:rsid w:val="353E4427"/>
    <w:rsid w:val="35611C20"/>
    <w:rsid w:val="35E11274"/>
    <w:rsid w:val="37060F75"/>
    <w:rsid w:val="389E6B6E"/>
    <w:rsid w:val="392E04D8"/>
    <w:rsid w:val="396B2893"/>
    <w:rsid w:val="399D4513"/>
    <w:rsid w:val="3A0E5ACB"/>
    <w:rsid w:val="3A3261B5"/>
    <w:rsid w:val="3A5C6ECF"/>
    <w:rsid w:val="3A91498E"/>
    <w:rsid w:val="3B135379"/>
    <w:rsid w:val="3B564B69"/>
    <w:rsid w:val="3BAB130E"/>
    <w:rsid w:val="3CAC7699"/>
    <w:rsid w:val="3D5D1A3B"/>
    <w:rsid w:val="3D66234A"/>
    <w:rsid w:val="3D8033AE"/>
    <w:rsid w:val="3DC90D6A"/>
    <w:rsid w:val="3DCE4484"/>
    <w:rsid w:val="3E1E0959"/>
    <w:rsid w:val="3EA35B5E"/>
    <w:rsid w:val="3F2E3EB4"/>
    <w:rsid w:val="3F5678F9"/>
    <w:rsid w:val="42906F36"/>
    <w:rsid w:val="42913241"/>
    <w:rsid w:val="430510F9"/>
    <w:rsid w:val="43093F2C"/>
    <w:rsid w:val="433C6F5D"/>
    <w:rsid w:val="433D6BDD"/>
    <w:rsid w:val="441722A4"/>
    <w:rsid w:val="44293363"/>
    <w:rsid w:val="44C147DB"/>
    <w:rsid w:val="44FE4640"/>
    <w:rsid w:val="44FF683E"/>
    <w:rsid w:val="453A628D"/>
    <w:rsid w:val="45A63B54"/>
    <w:rsid w:val="46153E08"/>
    <w:rsid w:val="46653000"/>
    <w:rsid w:val="469519CD"/>
    <w:rsid w:val="47537093"/>
    <w:rsid w:val="47904979"/>
    <w:rsid w:val="479C078C"/>
    <w:rsid w:val="47B03BA9"/>
    <w:rsid w:val="47FB686E"/>
    <w:rsid w:val="489A3847"/>
    <w:rsid w:val="48EF2337"/>
    <w:rsid w:val="490D36CC"/>
    <w:rsid w:val="4921282A"/>
    <w:rsid w:val="49B27E76"/>
    <w:rsid w:val="4A4D0811"/>
    <w:rsid w:val="4A686320"/>
    <w:rsid w:val="4A9D1DCA"/>
    <w:rsid w:val="4B863275"/>
    <w:rsid w:val="4BF6482D"/>
    <w:rsid w:val="4C2360DD"/>
    <w:rsid w:val="4C501A44"/>
    <w:rsid w:val="4C7D7F89"/>
    <w:rsid w:val="4DC52191"/>
    <w:rsid w:val="4DFF0486"/>
    <w:rsid w:val="4E1A50C0"/>
    <w:rsid w:val="4E1A6C5C"/>
    <w:rsid w:val="4E272543"/>
    <w:rsid w:val="4E283D06"/>
    <w:rsid w:val="4E74636C"/>
    <w:rsid w:val="4EAD692F"/>
    <w:rsid w:val="4ECE7859"/>
    <w:rsid w:val="4F0E44F7"/>
    <w:rsid w:val="4F7F44DF"/>
    <w:rsid w:val="4FF91545"/>
    <w:rsid w:val="50234908"/>
    <w:rsid w:val="50303C1D"/>
    <w:rsid w:val="507C629B"/>
    <w:rsid w:val="51E4236A"/>
    <w:rsid w:val="5359794D"/>
    <w:rsid w:val="53931974"/>
    <w:rsid w:val="53BA2E6A"/>
    <w:rsid w:val="541F2B8E"/>
    <w:rsid w:val="54B96610"/>
    <w:rsid w:val="54F74C5F"/>
    <w:rsid w:val="55581640"/>
    <w:rsid w:val="55FD59A2"/>
    <w:rsid w:val="564367C8"/>
    <w:rsid w:val="56440D1A"/>
    <w:rsid w:val="56E83021"/>
    <w:rsid w:val="56EB73E7"/>
    <w:rsid w:val="56FD5545"/>
    <w:rsid w:val="57851FA6"/>
    <w:rsid w:val="58425BDC"/>
    <w:rsid w:val="585C0985"/>
    <w:rsid w:val="59350668"/>
    <w:rsid w:val="597A58D9"/>
    <w:rsid w:val="59FA12A4"/>
    <w:rsid w:val="5A0C14CC"/>
    <w:rsid w:val="5AB94067"/>
    <w:rsid w:val="5B140EFE"/>
    <w:rsid w:val="5B5560E4"/>
    <w:rsid w:val="5D0B35B7"/>
    <w:rsid w:val="5D6C6AD3"/>
    <w:rsid w:val="5DA32940"/>
    <w:rsid w:val="5DF43025"/>
    <w:rsid w:val="5E77028A"/>
    <w:rsid w:val="60397EEB"/>
    <w:rsid w:val="60572D1E"/>
    <w:rsid w:val="60C345CC"/>
    <w:rsid w:val="60C70A54"/>
    <w:rsid w:val="60E115FE"/>
    <w:rsid w:val="611B1271"/>
    <w:rsid w:val="612640D8"/>
    <w:rsid w:val="619279E0"/>
    <w:rsid w:val="61A813C7"/>
    <w:rsid w:val="61E04960"/>
    <w:rsid w:val="629038C3"/>
    <w:rsid w:val="629E2BD8"/>
    <w:rsid w:val="63731937"/>
    <w:rsid w:val="64853BB3"/>
    <w:rsid w:val="65844B9A"/>
    <w:rsid w:val="658A4BFB"/>
    <w:rsid w:val="65FF22E5"/>
    <w:rsid w:val="6617798C"/>
    <w:rsid w:val="663277E4"/>
    <w:rsid w:val="666E3D8B"/>
    <w:rsid w:val="66B27105"/>
    <w:rsid w:val="66FF570B"/>
    <w:rsid w:val="670267B3"/>
    <w:rsid w:val="67483581"/>
    <w:rsid w:val="67E707E8"/>
    <w:rsid w:val="68A2033A"/>
    <w:rsid w:val="696F7727"/>
    <w:rsid w:val="697F7B2C"/>
    <w:rsid w:val="699C2751"/>
    <w:rsid w:val="6A8769BB"/>
    <w:rsid w:val="6AB53D8A"/>
    <w:rsid w:val="6AC7223E"/>
    <w:rsid w:val="6ADF4062"/>
    <w:rsid w:val="6AE177BB"/>
    <w:rsid w:val="6AE43D6D"/>
    <w:rsid w:val="6BD83F86"/>
    <w:rsid w:val="6BFC4839"/>
    <w:rsid w:val="6CC85207"/>
    <w:rsid w:val="6CE8573C"/>
    <w:rsid w:val="6D116900"/>
    <w:rsid w:val="6D2B74AA"/>
    <w:rsid w:val="6EA10611"/>
    <w:rsid w:val="6F0A66BA"/>
    <w:rsid w:val="6F5248B0"/>
    <w:rsid w:val="6F9D17C4"/>
    <w:rsid w:val="70466442"/>
    <w:rsid w:val="713A1106"/>
    <w:rsid w:val="719E4475"/>
    <w:rsid w:val="71A52446"/>
    <w:rsid w:val="71A840C2"/>
    <w:rsid w:val="72087AF0"/>
    <w:rsid w:val="72A262A2"/>
    <w:rsid w:val="730D7B3E"/>
    <w:rsid w:val="734A7D0F"/>
    <w:rsid w:val="73B10EE9"/>
    <w:rsid w:val="73E865B9"/>
    <w:rsid w:val="73E9403A"/>
    <w:rsid w:val="743608B6"/>
    <w:rsid w:val="75313FD1"/>
    <w:rsid w:val="75A63F90"/>
    <w:rsid w:val="76381300"/>
    <w:rsid w:val="766D1C0E"/>
    <w:rsid w:val="766E5A4C"/>
    <w:rsid w:val="76B110CD"/>
    <w:rsid w:val="76CF4CF7"/>
    <w:rsid w:val="76FE0EBA"/>
    <w:rsid w:val="76FF416C"/>
    <w:rsid w:val="771B2BF8"/>
    <w:rsid w:val="77E9241D"/>
    <w:rsid w:val="78121E8B"/>
    <w:rsid w:val="788B06F0"/>
    <w:rsid w:val="78B5052B"/>
    <w:rsid w:val="78EE46B5"/>
    <w:rsid w:val="792C25D8"/>
    <w:rsid w:val="79EF399B"/>
    <w:rsid w:val="7A344DB3"/>
    <w:rsid w:val="7A430EA6"/>
    <w:rsid w:val="7A6115EB"/>
    <w:rsid w:val="7A633959"/>
    <w:rsid w:val="7D0D1339"/>
    <w:rsid w:val="7D1818C9"/>
    <w:rsid w:val="7E6263E8"/>
    <w:rsid w:val="7EAC1CDF"/>
    <w:rsid w:val="7F284EAC"/>
    <w:rsid w:val="7F695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方正仿宋_GBK" w:cstheme="minorBidi"/>
      <w:kern w:val="2"/>
      <w:sz w:val="32"/>
      <w:szCs w:val="24"/>
      <w:lang w:val="en-US" w:eastAsia="zh-CN" w:bidi="ar-SA"/>
    </w:rPr>
  </w:style>
  <w:style w:type="paragraph" w:styleId="2">
    <w:name w:val="heading 1"/>
    <w:basedOn w:val="1"/>
    <w:next w:val="1"/>
    <w:qFormat/>
    <w:uiPriority w:val="0"/>
    <w:pPr>
      <w:keepNext/>
      <w:keepLines/>
      <w:ind w:firstLine="0" w:firstLineChars="0"/>
      <w:jc w:val="center"/>
      <w:outlineLvl w:val="0"/>
    </w:pPr>
    <w:rPr>
      <w:rFonts w:eastAsia="方正小标宋_GBK"/>
      <w:kern w:val="44"/>
      <w:sz w:val="44"/>
    </w:rPr>
  </w:style>
  <w:style w:type="paragraph" w:styleId="3">
    <w:name w:val="heading 2"/>
    <w:basedOn w:val="1"/>
    <w:next w:val="1"/>
    <w:unhideWhenUsed/>
    <w:qFormat/>
    <w:uiPriority w:val="0"/>
    <w:pPr>
      <w:keepNext/>
      <w:keepLines/>
      <w:numPr>
        <w:ilvl w:val="0"/>
        <w:numId w:val="1"/>
      </w:numPr>
      <w:outlineLvl w:val="1"/>
    </w:pPr>
    <w:rPr>
      <w:rFonts w:eastAsia="方正黑体_GBK"/>
    </w:rPr>
  </w:style>
  <w:style w:type="paragraph" w:styleId="4">
    <w:name w:val="heading 3"/>
    <w:basedOn w:val="1"/>
    <w:next w:val="1"/>
    <w:unhideWhenUsed/>
    <w:qFormat/>
    <w:uiPriority w:val="0"/>
    <w:pPr>
      <w:keepNext/>
      <w:keepLines/>
      <w:numPr>
        <w:ilvl w:val="0"/>
        <w:numId w:val="2"/>
      </w:numPr>
      <w:outlineLvl w:val="2"/>
    </w:pPr>
    <w:rPr>
      <w:rFonts w:eastAsia="方正楷体_GBK"/>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Plain Text"/>
    <w:basedOn w:val="1"/>
    <w:qFormat/>
    <w:uiPriority w:val="0"/>
    <w:rPr>
      <w:rFonts w:ascii="宋体" w:hAnsi="Courier New"/>
    </w:rPr>
  </w:style>
  <w:style w:type="paragraph" w:styleId="7">
    <w:name w:val="footer"/>
    <w:basedOn w:val="1"/>
    <w:link w:val="14"/>
    <w:qFormat/>
    <w:uiPriority w:val="0"/>
    <w:pPr>
      <w:tabs>
        <w:tab w:val="center" w:pos="4153"/>
        <w:tab w:val="right" w:pos="8306"/>
      </w:tabs>
      <w:snapToGrid w:val="0"/>
      <w:spacing w:line="240" w:lineRule="atLeast"/>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2">
    <w:name w:val="Char"/>
    <w:basedOn w:val="1"/>
    <w:qFormat/>
    <w:uiPriority w:val="99"/>
    <w:pPr>
      <w:widowControl/>
      <w:spacing w:after="160" w:line="240" w:lineRule="exact"/>
      <w:jc w:val="left"/>
    </w:pPr>
  </w:style>
  <w:style w:type="character" w:customStyle="1" w:styleId="13">
    <w:name w:val="页眉 Char"/>
    <w:basedOn w:val="11"/>
    <w:link w:val="8"/>
    <w:qFormat/>
    <w:uiPriority w:val="0"/>
    <w:rPr>
      <w:rFonts w:ascii="Times New Roman" w:hAnsi="Times New Roman" w:eastAsia="方正仿宋_GBK"/>
      <w:kern w:val="2"/>
      <w:sz w:val="18"/>
      <w:szCs w:val="18"/>
    </w:rPr>
  </w:style>
  <w:style w:type="character" w:customStyle="1" w:styleId="14">
    <w:name w:val="页脚 Char"/>
    <w:basedOn w:val="11"/>
    <w:link w:val="7"/>
    <w:qFormat/>
    <w:uiPriority w:val="0"/>
    <w:rPr>
      <w:rFonts w:ascii="Times New Roman" w:hAnsi="Times New Roman" w:eastAsia="方正仿宋_GBK"/>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23</Words>
  <Characters>26</Characters>
  <Lines>1</Lines>
  <Paragraphs>1</Paragraphs>
  <TotalTime>1</TotalTime>
  <ScaleCrop>false</ScaleCrop>
  <LinksUpToDate>false</LinksUpToDate>
  <CharactersWithSpaces>51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2021-04-08T07:34:00Z</dcterms:created>
  <dc:creator>秀秀秀秀秀秀</dc:creator>
  <cp:lastModifiedBy>沈洁</cp:lastModifiedBy>
  <cp:lastPrinted>2026-02-27T08:35:00Z</cp:lastPrinted>
  <dcterms:modified xsi:type="dcterms:W3CDTF">2026-03-19T02:13:17Z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E636774FB063421EA6EDCD64B6C034F8</vt:lpwstr>
  </property>
</Properties>
</file>