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方正黑体_GBK" w:hAnsi="方正黑体_GBK" w:eastAsia="方正黑体_GBK" w:cs="方正黑体_GBK"/>
          <w:b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Cs/>
          <w:sz w:val="32"/>
          <w:szCs w:val="32"/>
          <w:lang w:bidi="ar"/>
        </w:rPr>
        <w:t>附件1</w:t>
      </w:r>
      <w:r>
        <w:rPr>
          <w:rFonts w:hint="eastAsia" w:ascii="方正黑体_GBK" w:hAnsi="方正黑体_GBK" w:eastAsia="方正黑体_GBK" w:cs="方正黑体_GBK"/>
          <w:b/>
          <w:sz w:val="32"/>
          <w:szCs w:val="32"/>
          <w:lang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bidi="ar"/>
        </w:rPr>
        <w:t>乌鲁木齐市长期护理保险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bidi="ar"/>
        </w:rPr>
        <w:t>定点护理服务机构申请条件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符合下列条件的经民政、卫生健康、残联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>市场监督管理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等部门核准成立的养老机构、护理服务机构、残疾人托养机构、居家照护机构，以及提供护理服务的医疗卫生机构，可根据自身服务能力，自愿向市医疗保障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>事业发展中心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提出申请。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bidi="ar"/>
        </w:rPr>
        <w:t>一、养老机构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（一）公办养老机构应具备事业单位法人登记证书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二）民办养老机构（居家照护机构）应在市场监督管理或民政部门进行注册登记，取得营业执照或《民办非企业单位法人登记证书》，并取得民政部门颁发的《养老机构设立许可证》或《设置养老机构备案回执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（三）残疾人托养机构应经取得残联颁发的残疾人托养机构证书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养老机构、居家照护机构、残疾人托养机构为同一注册地址的，原则上应为同一法定代表人，法定代表人不一致或无法定代表人的，应提供同一投资主体实际控制并管理的证明材料。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  <w:t>二、医疗机构和护理院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（一）业务用房建筑面积不少于600平方米，设置固定护理区域，医护型床位数不少于20张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（二）至少配备2名承担院护业务的执业医师，其中至少1名具有主治医师或以上职称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医师执业范围应为全科、内科、中医科或康复科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执业医师与床位数配备比例不低于1：40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（三）至少配备1名承担院护业务的主管护师或以上职称的执业护士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护理人员与床位数配比不低于1:4，其中护士与床位数配备比例不低于1：18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（四）长护专区病房医护人员不得兼任其他病房、家护、院护等工作。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  <w:t>三、民政部门批准的养老机构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（一）护理床位数不少于20张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（二）至少配备或者签约1名承担专护业务的执业医师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（三）至少配备或者签约2名承担专护业务的执业护士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（四）常规护理人员与介护床位数配备比例不低于1：6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bidi="ar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内设医务室，或与就近医疗机构签订合作协议，具备提供基本医疗卫生服务的能力。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  <w:t>四、全日居家护理或基层定点护理服务机构上门护理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（一）能提供养老院、护理院或定点服务机构所具备的护理服务能力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（二）服务范围限于居家护理服务业务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bidi="ar"/>
        </w:rPr>
        <w:t>（三）至少配备一定数量承担上门护理的护理服务人员。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"/>
        </w:rPr>
        <w:t>五、</w:t>
      </w:r>
      <w:r>
        <w:rPr>
          <w:rFonts w:hint="default" w:ascii="方正黑体_GBK" w:hAnsi="方正黑体_GBK" w:eastAsia="方正黑体_GBK" w:cs="方正黑体_GBK"/>
          <w:sz w:val="32"/>
          <w:szCs w:val="32"/>
          <w:lang w:bidi="ar"/>
        </w:rPr>
        <w:t>具备健全规范的财务管理制度和药品管理制度，使用定点护理服务机构管理系统软件和药品管理系统软件。</w:t>
      </w:r>
    </w:p>
    <w:sectPr>
      <w:pgSz w:w="12240" w:h="15840"/>
      <w:pgMar w:top="2154" w:right="1531" w:bottom="1587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C4"/>
    <w:rsid w:val="0051305A"/>
    <w:rsid w:val="006A0C23"/>
    <w:rsid w:val="00980993"/>
    <w:rsid w:val="009D1E52"/>
    <w:rsid w:val="00C244C4"/>
    <w:rsid w:val="00D741B4"/>
    <w:rsid w:val="00E47C62"/>
    <w:rsid w:val="0318087D"/>
    <w:rsid w:val="0AED77EF"/>
    <w:rsid w:val="1C9A03B9"/>
    <w:rsid w:val="2562183B"/>
    <w:rsid w:val="42407699"/>
    <w:rsid w:val="586E694D"/>
    <w:rsid w:val="5A4E2312"/>
    <w:rsid w:val="7147441F"/>
    <w:rsid w:val="73111394"/>
    <w:rsid w:val="79CB212C"/>
    <w:rsid w:val="7E31630C"/>
    <w:rsid w:val="7F3E28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Style w:val="2"/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135</Words>
  <Characters>771</Characters>
  <Lines>6</Lines>
  <Paragraphs>1</Paragraphs>
  <TotalTime>23</TotalTime>
  <ScaleCrop>false</ScaleCrop>
  <LinksUpToDate>false</LinksUpToDate>
  <CharactersWithSpaces>905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Lenovo</cp:lastModifiedBy>
  <cp:lastPrinted>2021-12-28T08:03:41Z</cp:lastPrinted>
  <dcterms:modified xsi:type="dcterms:W3CDTF">2023-10-08T10:59:54Z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