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黑体" w:hAnsi="黑体" w:eastAsia="黑体"/>
          <w:color w:val="000000"/>
          <w:spacing w:val="8"/>
          <w:sz w:val="32"/>
          <w:szCs w:val="36"/>
        </w:rPr>
      </w:pPr>
      <w:r>
        <w:rPr>
          <w:rFonts w:hint="eastAsia" w:ascii="黑体" w:hAnsi="黑体" w:eastAsia="黑体"/>
          <w:color w:val="000000"/>
          <w:spacing w:val="8"/>
          <w:sz w:val="32"/>
          <w:szCs w:val="36"/>
        </w:rPr>
        <w:t>附件</w:t>
      </w:r>
      <w:r>
        <w:rPr>
          <w:rFonts w:ascii="黑体" w:hAnsi="黑体" w:eastAsia="黑体"/>
          <w:color w:val="000000"/>
          <w:spacing w:val="8"/>
          <w:sz w:val="32"/>
          <w:szCs w:val="36"/>
        </w:rPr>
        <w:t>1</w:t>
      </w:r>
    </w:p>
    <w:p>
      <w:pPr>
        <w:adjustRightInd w:val="0"/>
        <w:snapToGrid w:val="0"/>
        <w:spacing w:line="600" w:lineRule="exact"/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</w:p>
    <w:p>
      <w:pPr>
        <w:adjustRightInd w:val="0"/>
        <w:snapToGrid w:val="0"/>
        <w:spacing w:line="600" w:lineRule="exact"/>
        <w:jc w:val="center"/>
        <w:rPr>
          <w:rFonts w:hint="eastAsia" w:ascii="方正小标宋_GBK" w:hAnsi="仿宋_GB2312" w:eastAsia="方正小标宋_GBK" w:cs="仿宋_GB2312"/>
          <w:sz w:val="52"/>
          <w:szCs w:val="52"/>
        </w:rPr>
      </w:pPr>
      <w:r>
        <w:rPr>
          <w:rFonts w:hint="eastAsia" w:ascii="方正小标宋_GBK" w:hAnsi="仿宋_GB2312" w:eastAsia="方正小标宋_GBK" w:cs="仿宋_GB2312"/>
          <w:sz w:val="52"/>
          <w:szCs w:val="52"/>
        </w:rPr>
        <w:t>2021年度乌鲁木齐市基本医疗保险</w:t>
      </w:r>
    </w:p>
    <w:p>
      <w:pPr>
        <w:adjustRightInd w:val="0"/>
        <w:snapToGrid w:val="0"/>
        <w:spacing w:line="600" w:lineRule="exact"/>
        <w:jc w:val="both"/>
        <w:rPr>
          <w:rFonts w:hint="eastAsia" w:ascii="方正小标宋_GBK" w:hAnsi="仿宋_GB2312" w:eastAsia="方正小标宋_GBK" w:cs="仿宋_GB2312"/>
          <w:sz w:val="52"/>
          <w:szCs w:val="52"/>
        </w:rPr>
      </w:pPr>
    </w:p>
    <w:p>
      <w:pPr>
        <w:adjustRightInd w:val="0"/>
        <w:snapToGrid w:val="0"/>
        <w:spacing w:line="600" w:lineRule="exact"/>
        <w:jc w:val="center"/>
        <w:rPr>
          <w:rFonts w:hint="eastAsia" w:ascii="方正小标宋_GBK" w:hAnsi="仿宋_GB2312" w:eastAsia="方正小标宋_GBK" w:cs="仿宋_GB2312"/>
          <w:bCs/>
          <w:sz w:val="52"/>
          <w:szCs w:val="52"/>
        </w:rPr>
      </w:pPr>
      <w:r>
        <w:rPr>
          <w:rFonts w:hint="eastAsia" w:ascii="方正小标宋_GBK" w:hAnsi="仿宋_GB2312" w:eastAsia="方正小标宋_GBK" w:cs="仿宋_GB2312"/>
          <w:bCs/>
          <w:sz w:val="52"/>
          <w:szCs w:val="52"/>
          <w:lang w:val="en-US" w:eastAsia="zh-CN"/>
        </w:rPr>
        <w:t>门诊慢性病、特药</w:t>
      </w:r>
      <w:r>
        <w:rPr>
          <w:rFonts w:hint="eastAsia" w:ascii="方正小标宋_GBK" w:hAnsi="仿宋_GB2312" w:eastAsia="方正小标宋_GBK" w:cs="仿宋_GB2312"/>
          <w:bCs/>
          <w:sz w:val="52"/>
          <w:szCs w:val="52"/>
        </w:rPr>
        <w:t>定点零售药店</w:t>
      </w:r>
    </w:p>
    <w:p>
      <w:pPr>
        <w:adjustRightInd w:val="0"/>
        <w:snapToGrid w:val="0"/>
        <w:spacing w:line="600" w:lineRule="exact"/>
        <w:jc w:val="center"/>
        <w:rPr>
          <w:rFonts w:hint="eastAsia" w:ascii="方正小标宋_GBK" w:hAnsi="仿宋_GB2312" w:eastAsia="方正小标宋_GBK" w:cs="仿宋_GB2312"/>
          <w:bCs/>
          <w:sz w:val="52"/>
          <w:szCs w:val="52"/>
        </w:rPr>
      </w:pPr>
      <w:r>
        <w:rPr>
          <w:rFonts w:hint="eastAsia" w:ascii="方正小标宋_GBK" w:hAnsi="仿宋_GB2312" w:eastAsia="方正小标宋_GBK" w:cs="仿宋_GB2312"/>
          <w:bCs/>
          <w:sz w:val="52"/>
          <w:szCs w:val="52"/>
        </w:rPr>
        <w:t>信息登记表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</w:rPr>
      </w:pPr>
    </w:p>
    <w:p>
      <w:pPr>
        <w:ind w:firstLine="1044" w:firstLineChars="200"/>
        <w:rPr>
          <w:rFonts w:hint="default" w:ascii="仿宋_GB2312" w:hAnsi="仿宋_GB2312" w:eastAsia="仿宋_GB2312" w:cs="仿宋_GB2312"/>
          <w:b/>
          <w:bCs/>
          <w:sz w:val="52"/>
          <w:szCs w:val="52"/>
          <w:u w:val="single"/>
          <w:lang w:val="en-US" w:eastAsia="zh-CN"/>
        </w:rPr>
      </w:pPr>
    </w:p>
    <w:p>
      <w:pPr>
        <w:rPr>
          <w:rFonts w:hint="default" w:ascii="仿宋_GB2312" w:hAnsi="仿宋_GB2312" w:eastAsia="仿宋_GB2312" w:cs="仿宋_GB2312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val="en-US" w:eastAsia="zh-CN"/>
        </w:rPr>
        <w:t xml:space="preserve">    </w:t>
      </w:r>
    </w:p>
    <w:p>
      <w:pPr>
        <w:ind w:firstLine="880" w:firstLineChars="200"/>
        <w:rPr>
          <w:rFonts w:hint="eastAsia" w:ascii="方正仿宋_GBK" w:hAnsi="仿宋_GB2312" w:eastAsia="方正仿宋_GBK" w:cs="仿宋_GB2312"/>
          <w:sz w:val="44"/>
          <w:szCs w:val="44"/>
        </w:rPr>
      </w:pPr>
      <w:r>
        <w:rPr>
          <w:rFonts w:hint="eastAsia" w:ascii="方正仿宋_GBK" w:hAnsi="仿宋_GB2312" w:eastAsia="方正仿宋_GBK" w:cs="仿宋_GB2312"/>
          <w:sz w:val="44"/>
          <w:szCs w:val="44"/>
        </w:rPr>
        <w:t>申请单位</w:t>
      </w:r>
      <w:r>
        <w:rPr>
          <w:rFonts w:hint="eastAsia" w:ascii="方正仿宋_GBK" w:hAnsi="仿宋_GB2312" w:eastAsia="方正仿宋_GBK" w:cs="仿宋_GB2312"/>
          <w:sz w:val="44"/>
          <w:szCs w:val="44"/>
          <w:lang w:val="en-US" w:eastAsia="zh-CN"/>
        </w:rPr>
        <w:t>名称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t xml:space="preserve">                         </w:t>
      </w:r>
    </w:p>
    <w:p>
      <w:pPr>
        <w:ind w:firstLine="640" w:firstLineChars="200"/>
        <w:rPr>
          <w:rFonts w:hint="eastAsia" w:ascii="方正仿宋_GBK" w:hAnsi="仿宋_GB2312" w:eastAsia="方正仿宋_GBK" w:cs="仿宋_GB2312"/>
          <w:sz w:val="32"/>
          <w:szCs w:val="32"/>
        </w:rPr>
      </w:pPr>
    </w:p>
    <w:p>
      <w:pPr>
        <w:ind w:firstLine="880"/>
        <w:rPr>
          <w:rFonts w:hint="eastAsia" w:ascii="方正仿宋_GBK" w:hAnsi="仿宋_GB2312" w:eastAsia="方正仿宋_GBK" w:cs="仿宋_GB2312"/>
          <w:sz w:val="44"/>
          <w:szCs w:val="44"/>
          <w:u w:val="single"/>
        </w:rPr>
      </w:pPr>
      <w:r>
        <w:rPr>
          <w:rFonts w:hint="eastAsia" w:ascii="方正仿宋_GBK" w:hAnsi="仿宋_GB2312" w:eastAsia="方正仿宋_GBK" w:cs="仿宋_GB2312"/>
          <w:sz w:val="44"/>
          <w:szCs w:val="44"/>
        </w:rPr>
        <w:t>申请</w:t>
      </w:r>
      <w:r>
        <w:rPr>
          <w:rFonts w:hint="eastAsia" w:ascii="方正仿宋_GBK" w:hAnsi="仿宋_GB2312" w:eastAsia="方正仿宋_GBK" w:cs="仿宋_GB2312"/>
          <w:sz w:val="44"/>
          <w:szCs w:val="44"/>
          <w:lang w:val="en-US" w:eastAsia="zh-CN"/>
        </w:rPr>
        <w:t>类别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t xml:space="preserve"> 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sym w:font="Wingdings 2" w:char="00A3"/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  <w:lang w:val="en-US" w:eastAsia="zh-CN"/>
        </w:rPr>
        <w:t xml:space="preserve">门诊慢性病  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t xml:space="preserve"> 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sym w:font="Wingdings 2" w:char="00A3"/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  <w:lang w:val="en-US" w:eastAsia="zh-CN"/>
        </w:rPr>
        <w:t>门诊特药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t xml:space="preserve">                       </w:t>
      </w:r>
    </w:p>
    <w:p>
      <w:pPr>
        <w:spacing w:line="600" w:lineRule="exact"/>
        <w:ind w:firstLine="752" w:firstLineChars="200"/>
        <w:rPr>
          <w:rFonts w:hint="eastAsia"/>
          <w:color w:val="000000"/>
          <w:spacing w:val="8"/>
          <w:sz w:val="36"/>
          <w:szCs w:val="36"/>
        </w:rPr>
      </w:pPr>
    </w:p>
    <w:p>
      <w:pPr>
        <w:ind w:firstLine="880"/>
        <w:rPr>
          <w:rFonts w:hint="eastAsia" w:ascii="方正仿宋_GBK" w:hAnsi="仿宋_GB2312" w:eastAsia="方正仿宋_GBK" w:cs="仿宋_GB2312"/>
          <w:sz w:val="44"/>
          <w:szCs w:val="44"/>
          <w:u w:val="single"/>
        </w:rPr>
      </w:pPr>
      <w:r>
        <w:rPr>
          <w:rFonts w:hint="eastAsia" w:ascii="方正仿宋_GBK" w:hAnsi="仿宋_GB2312" w:eastAsia="方正仿宋_GBK" w:cs="仿宋_GB2312"/>
          <w:sz w:val="44"/>
          <w:szCs w:val="44"/>
        </w:rPr>
        <w:t>申请时间</w:t>
      </w:r>
      <w:r>
        <w:rPr>
          <w:rFonts w:hint="eastAsia" w:ascii="方正仿宋_GBK" w:hAnsi="仿宋_GB2312" w:eastAsia="方正仿宋_GBK" w:cs="仿宋_GB2312"/>
          <w:sz w:val="44"/>
          <w:szCs w:val="44"/>
          <w:u w:val="single"/>
        </w:rPr>
        <w:t xml:space="preserve">                         </w:t>
      </w:r>
    </w:p>
    <w:p>
      <w:pPr>
        <w:ind w:firstLine="880"/>
        <w:rPr>
          <w:rFonts w:hint="eastAsia" w:ascii="仿宋_GB2312" w:hAnsi="仿宋_GB2312" w:eastAsia="仿宋_GB2312" w:cs="仿宋_GB2312"/>
          <w:sz w:val="44"/>
          <w:szCs w:val="44"/>
          <w:u w:val="single"/>
        </w:rPr>
      </w:pP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</w:p>
    <w:p>
      <w:pPr>
        <w:jc w:val="both"/>
        <w:rPr>
          <w:rFonts w:hint="eastAsia" w:ascii="仿宋_GB2312" w:hAnsi="仿宋_GB2312" w:eastAsia="仿宋_GB2312" w:cs="仿宋_GB2312"/>
          <w:sz w:val="44"/>
          <w:szCs w:val="44"/>
        </w:rPr>
      </w:pPr>
    </w:p>
    <w:p>
      <w:pPr>
        <w:jc w:val="center"/>
        <w:rPr>
          <w:rFonts w:hint="eastAsia" w:ascii="方正小标宋_GBK" w:hAnsi="仿宋_GB2312" w:eastAsia="方正小标宋_GBK" w:cs="仿宋_GB2312"/>
          <w:bCs/>
          <w:sz w:val="44"/>
          <w:szCs w:val="44"/>
        </w:rPr>
      </w:pPr>
      <w:r>
        <w:rPr>
          <w:rFonts w:hint="eastAsia" w:ascii="方正小标宋_GBK" w:hAnsi="仿宋_GB2312" w:eastAsia="方正小标宋_GBK" w:cs="仿宋_GB2312"/>
          <w:bCs/>
          <w:sz w:val="44"/>
          <w:szCs w:val="44"/>
        </w:rPr>
        <w:t>填写说明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一、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该表填写要求字迹工整清楚，内容真实</w:t>
      </w:r>
      <w:r>
        <w:rPr>
          <w:rFonts w:hint="eastAsia" w:ascii="方正仿宋_GBK" w:hAnsi="仿宋_GB2312" w:eastAsia="方正仿宋_GBK" w:cs="仿宋_GB2312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二、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“申请类别”分别</w:t>
      </w:r>
      <w:r>
        <w:rPr>
          <w:rFonts w:hint="eastAsia" w:eastAsia="方正仿宋_GBK" w:cs="Times New Roman"/>
          <w:color w:val="000000"/>
          <w:spacing w:val="8"/>
          <w:sz w:val="32"/>
          <w:szCs w:val="32"/>
          <w:lang w:val="en-US" w:eastAsia="zh-CN"/>
        </w:rPr>
        <w:t>选择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“</w:t>
      </w:r>
      <w:r>
        <w:rPr>
          <w:rFonts w:hint="eastAsia" w:eastAsia="方正仿宋_GBK" w:cs="Times New Roman"/>
          <w:color w:val="000000"/>
          <w:spacing w:val="8"/>
          <w:sz w:val="32"/>
          <w:szCs w:val="32"/>
          <w:lang w:val="en-US" w:eastAsia="zh-CN"/>
        </w:rPr>
        <w:t>门诊慢性病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”、“</w:t>
      </w:r>
      <w:r>
        <w:rPr>
          <w:rFonts w:hint="eastAsia" w:eastAsia="方正仿宋_GBK" w:cs="Times New Roman"/>
          <w:color w:val="000000"/>
          <w:spacing w:val="8"/>
          <w:sz w:val="32"/>
          <w:szCs w:val="32"/>
          <w:lang w:val="en-US" w:eastAsia="zh-CN"/>
        </w:rPr>
        <w:t>门诊特药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”。</w:t>
      </w:r>
    </w:p>
    <w:p>
      <w:pPr>
        <w:adjustRightInd w:val="0"/>
        <w:snapToGrid w:val="0"/>
        <w:spacing w:line="560" w:lineRule="exact"/>
        <w:ind w:firstLine="640" w:firstLineChars="200"/>
        <w:rPr>
          <w:rFonts w:hint="eastAsia" w:ascii="方正仿宋_GBK" w:hAnsi="仿宋_GB2312" w:eastAsia="方正仿宋_GBK" w:cs="仿宋_GB2312"/>
          <w:sz w:val="32"/>
          <w:szCs w:val="32"/>
        </w:rPr>
      </w:pPr>
      <w:r>
        <w:rPr>
          <w:rFonts w:hint="eastAsia" w:ascii="方正仿宋_GBK" w:hAnsi="仿宋_GB2312" w:eastAsia="方正仿宋_GBK" w:cs="仿宋_GB2312"/>
          <w:sz w:val="32"/>
          <w:szCs w:val="32"/>
        </w:rPr>
        <w:t>三、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fldChar w:fldCharType="begin"/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instrText xml:space="preserve"> HYPERLINK "mailto:三、医疗机构提交本申请书时，需同时准备下述材料的复印件（复印件均需加盖单位公章），并将原件扫描成PDF文档发送至ygk4680653@163.com" </w:instrTex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fldChar w:fldCharType="separate"/>
      </w:r>
      <w:r>
        <w:rPr>
          <w:rStyle w:val="5"/>
          <w:rFonts w:hint="eastAsia" w:ascii="Times New Roman" w:hAnsi="Times New Roman" w:eastAsia="方正仿宋_GBK" w:cs="Times New Roman"/>
          <w:color w:val="auto"/>
          <w:spacing w:val="8"/>
          <w:sz w:val="32"/>
          <w:szCs w:val="32"/>
          <w:u w:val="none"/>
          <w:lang w:val="en-US" w:eastAsia="zh-CN"/>
        </w:rPr>
        <w:t>零售药店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t>提交本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  <w:lang w:val="en-US" w:eastAsia="zh-CN"/>
        </w:rPr>
        <w:t>登记表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t>时，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  <w:lang w:val="en-US" w:eastAsia="zh-CN"/>
        </w:rPr>
        <w:t>需同时准备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t>下述材料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  <w:lang w:val="en-US" w:eastAsia="zh-CN"/>
        </w:rPr>
        <w:t>的复印件</w:t>
      </w:r>
      <w:r>
        <w:rPr>
          <w:rStyle w:val="5"/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t>（复印件均需加盖单位公章）</w:t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</w:rPr>
        <w:fldChar w:fldCharType="end"/>
      </w:r>
      <w:r>
        <w:rPr>
          <w:rFonts w:hint="default" w:ascii="Times New Roman" w:hAnsi="Times New Roman" w:eastAsia="方正仿宋_GBK" w:cs="Times New Roman"/>
          <w:color w:val="auto"/>
          <w:spacing w:val="8"/>
          <w:sz w:val="32"/>
          <w:szCs w:val="32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pacing w:val="8"/>
          <w:sz w:val="32"/>
          <w:szCs w:val="32"/>
        </w:rPr>
        <w:t>：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eastAsia="zh-CN"/>
        </w:rPr>
        <w:t>（一）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营业执照副本、《药品经营许可证》副本、法定代表人身份证、执业药师资格证、注册证书、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val="en-US" w:eastAsia="zh-CN"/>
        </w:rPr>
        <w:t>房屋产权证明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或房屋租赁合同；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val="en-US" w:eastAsia="zh-CN"/>
        </w:rPr>
        <w:t>二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）申报药店的地理位置图和平面布局图</w:t>
      </w:r>
      <w:r>
        <w:rPr>
          <w:rFonts w:hint="eastAsia" w:eastAsia="方正仿宋_GBK"/>
          <w:color w:val="4C4C4C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以及本药店申报慢性病或特药定点的情况说明；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val="en-US" w:eastAsia="zh-CN"/>
        </w:rPr>
        <w:t>三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）药店慢性病</w:t>
      </w:r>
      <w:r>
        <w:rPr>
          <w:rFonts w:hint="eastAsia" w:eastAsia="方正仿宋_GBK"/>
          <w:color w:val="4C4C4C"/>
          <w:sz w:val="32"/>
          <w:szCs w:val="32"/>
          <w:shd w:val="clear" w:color="auto" w:fill="FFFFFF"/>
          <w:lang w:val="en-US" w:eastAsia="zh-CN"/>
        </w:rPr>
        <w:t>相关药品种类统计表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或特药药品目录表；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（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val="en-US" w:eastAsia="zh-CN"/>
        </w:rPr>
        <w:t>四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）药店</w:t>
      </w:r>
      <w:r>
        <w:rPr>
          <w:rFonts w:hint="eastAsia" w:eastAsia="方正仿宋_GBK"/>
          <w:color w:val="4C4C4C"/>
          <w:sz w:val="32"/>
          <w:szCs w:val="32"/>
          <w:shd w:val="clear" w:color="auto" w:fill="FFFFFF"/>
          <w:lang w:val="en-US" w:eastAsia="zh-CN"/>
        </w:rPr>
        <w:t>人员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花名册、2020年度财务报表、2020年度纳税证明、2020年度企业缴纳医疗保险证明材料；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highlight w:val="none"/>
          <w:shd w:val="clear" w:color="auto" w:fill="FFFFFF"/>
        </w:rPr>
        <w:t>（</w:t>
      </w:r>
      <w:r>
        <w:rPr>
          <w:rFonts w:hint="eastAsia" w:eastAsia="方正仿宋_GBK"/>
          <w:color w:val="4C4C4C"/>
          <w:sz w:val="32"/>
          <w:szCs w:val="32"/>
          <w:highlight w:val="none"/>
          <w:shd w:val="clear" w:color="auto" w:fill="FFFFFF"/>
          <w:lang w:val="en-US" w:eastAsia="zh-CN"/>
        </w:rPr>
        <w:t>五</w:t>
      </w:r>
      <w:r>
        <w:rPr>
          <w:rFonts w:hint="eastAsia" w:ascii="Times New Roman" w:hAnsi="Times New Roman" w:eastAsia="方正仿宋_GBK"/>
          <w:color w:val="4C4C4C"/>
          <w:sz w:val="32"/>
          <w:szCs w:val="32"/>
          <w:highlight w:val="none"/>
          <w:shd w:val="clear" w:color="auto" w:fill="FFFFFF"/>
        </w:rPr>
        <w:t>）</w:t>
      </w:r>
      <w:r>
        <w:rPr>
          <w:rFonts w:hint="eastAsia" w:ascii="Times New Roman" w:hAnsi="Times New Roman" w:eastAsia="方正仿宋_GBK"/>
          <w:color w:val="4C4C4C"/>
          <w:sz w:val="32"/>
          <w:szCs w:val="32"/>
          <w:highlight w:val="none"/>
          <w:shd w:val="clear" w:color="auto" w:fill="FFFFFF"/>
          <w:lang w:val="en-US" w:eastAsia="zh-CN"/>
        </w:rPr>
        <w:t>国家企业信用信息公示系统内无违规的截图；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val="en-US" w:eastAsia="zh-CN"/>
        </w:rPr>
        <w:t>六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申报特药定点的药店还需提供以下资料：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1.冷链设备通过验证的相关文书；</w:t>
      </w:r>
    </w:p>
    <w:p>
      <w:pPr>
        <w:pStyle w:val="2"/>
        <w:widowControl/>
        <w:shd w:val="clear" w:color="auto" w:fill="FFFFFF"/>
        <w:spacing w:beforeAutospacing="0" w:afterAutospacing="0" w:line="560" w:lineRule="exact"/>
        <w:ind w:firstLine="640"/>
        <w:jc w:val="both"/>
        <w:rPr>
          <w:rFonts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2.6个月内“双通道”药品销售种类、数量、金额明细表（加盖公章的纸质材料、电子表格）；</w:t>
      </w:r>
    </w:p>
    <w:p>
      <w:pPr>
        <w:pStyle w:val="2"/>
        <w:widowControl/>
        <w:numPr>
          <w:ilvl w:val="0"/>
          <w:numId w:val="0"/>
        </w:numPr>
        <w:shd w:val="clear" w:color="auto" w:fill="FFFFFF"/>
        <w:spacing w:beforeAutospacing="0" w:afterAutospacing="0" w:line="560" w:lineRule="exact"/>
        <w:ind w:right="0" w:rightChars="0" w:firstLine="640" w:firstLineChars="20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  <w:r>
        <w:rPr>
          <w:rFonts w:hint="eastAsia" w:eastAsia="方正仿宋_GBK"/>
          <w:color w:val="4C4C4C"/>
          <w:sz w:val="32"/>
          <w:szCs w:val="32"/>
          <w:shd w:val="clear" w:color="auto" w:fill="FFFFFF"/>
          <w:lang w:val="en-US" w:eastAsia="zh-CN"/>
        </w:rPr>
        <w:t>3.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  <w:t>申请时“双通道”药品配备种类、数量、金额明细表（加盖公章的纸质材料、电子表格）</w:t>
      </w:r>
      <w:r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  <w:lang w:eastAsia="zh-CN"/>
        </w:rPr>
        <w:t>。</w:t>
      </w:r>
    </w:p>
    <w:p>
      <w:pPr>
        <w:pStyle w:val="2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right="0" w:rightChars="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</w:p>
    <w:p>
      <w:pPr>
        <w:pStyle w:val="2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right="0" w:rightChars="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</w:p>
    <w:p>
      <w:pPr>
        <w:pStyle w:val="2"/>
        <w:widowControl/>
        <w:numPr>
          <w:ilvl w:val="0"/>
          <w:numId w:val="0"/>
        </w:numPr>
        <w:shd w:val="clear" w:color="auto" w:fill="FFFFFF"/>
        <w:spacing w:before="0" w:beforeAutospacing="0" w:after="0" w:afterAutospacing="0" w:line="560" w:lineRule="exact"/>
        <w:ind w:right="0" w:rightChars="0"/>
        <w:jc w:val="both"/>
        <w:rPr>
          <w:rFonts w:hint="eastAsia" w:ascii="Times New Roman" w:hAnsi="Times New Roman" w:eastAsia="方正仿宋_GBK"/>
          <w:color w:val="4C4C4C"/>
          <w:sz w:val="32"/>
          <w:szCs w:val="32"/>
          <w:shd w:val="clear" w:color="auto" w:fill="FFFFFF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083"/>
        <w:gridCol w:w="2101"/>
        <w:gridCol w:w="185"/>
        <w:gridCol w:w="489"/>
        <w:gridCol w:w="1070"/>
        <w:gridCol w:w="357"/>
        <w:gridCol w:w="270"/>
        <w:gridCol w:w="1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217" w:type="dxa"/>
            <w:gridSpan w:val="2"/>
            <w:tcBorders>
              <w:top w:val="single" w:color="auto" w:sz="4" w:space="0"/>
            </w:tcBorders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药店名称</w:t>
            </w:r>
          </w:p>
        </w:tc>
        <w:tc>
          <w:tcPr>
            <w:tcW w:w="6305" w:type="dxa"/>
            <w:gridSpan w:val="7"/>
            <w:tcBorders>
              <w:top w:val="single" w:color="auto" w:sz="4" w:space="0"/>
            </w:tcBorders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2286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60" w:type="dxa"/>
            <w:gridSpan w:val="3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286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460" w:type="dxa"/>
            <w:gridSpan w:val="3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286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460" w:type="dxa"/>
            <w:gridSpan w:val="3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经营性质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连锁：直营□加盟□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非连锁： 个体□   有限公司□  其他□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年度总收入           </w:t>
            </w:r>
          </w:p>
        </w:tc>
        <w:tc>
          <w:tcPr>
            <w:tcW w:w="2286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年度总支出</w:t>
            </w:r>
          </w:p>
        </w:tc>
        <w:tc>
          <w:tcPr>
            <w:tcW w:w="2460" w:type="dxa"/>
            <w:gridSpan w:val="3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单位地址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所属区县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药品经营许可证号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经营许可证审批时间</w:t>
            </w:r>
          </w:p>
        </w:tc>
        <w:tc>
          <w:tcPr>
            <w:tcW w:w="2101" w:type="dxa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2101" w:type="dxa"/>
            <w:gridSpan w:val="4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药品经营许可证到期时间</w:t>
            </w:r>
          </w:p>
        </w:tc>
        <w:tc>
          <w:tcPr>
            <w:tcW w:w="2103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国家贯标编码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近1年内有无行政处罚记录</w:t>
            </w:r>
          </w:p>
        </w:tc>
        <w:tc>
          <w:tcPr>
            <w:tcW w:w="2101" w:type="dxa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101" w:type="dxa"/>
            <w:gridSpan w:val="4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医保目录内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慢性病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药品经营品种数</w:t>
            </w:r>
          </w:p>
        </w:tc>
        <w:tc>
          <w:tcPr>
            <w:tcW w:w="2103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慢性病集采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default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药品种类</w:t>
            </w:r>
          </w:p>
        </w:tc>
        <w:tc>
          <w:tcPr>
            <w:tcW w:w="2101" w:type="dxa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2101" w:type="dxa"/>
            <w:gridSpan w:val="4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default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特药备药种类</w:t>
            </w:r>
          </w:p>
        </w:tc>
        <w:tc>
          <w:tcPr>
            <w:tcW w:w="2103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217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24小时服务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eastAsia="宋体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夜间小窗口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有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□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     无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2217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eastAsia="zh-CN"/>
              </w:rPr>
              <w:t>24小时服务电话：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4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经营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场地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ind w:firstLine="1200" w:firstLineChars="500"/>
              <w:jc w:val="both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药店用房建筑面积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     </w:t>
            </w:r>
          </w:p>
          <w:p>
            <w:pPr>
              <w:widowControl/>
              <w:spacing w:line="320" w:lineRule="exact"/>
              <w:ind w:firstLine="1200" w:firstLineChars="500"/>
              <w:jc w:val="both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套内实际使用面积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: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  </w:t>
            </w:r>
          </w:p>
          <w:p>
            <w:pPr>
              <w:widowControl/>
              <w:spacing w:line="320" w:lineRule="exact"/>
              <w:ind w:firstLine="1200" w:firstLineChars="500"/>
              <w:jc w:val="both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 xml:space="preserve">是□   否□   租赁   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单位参保编号</w:t>
            </w:r>
          </w:p>
        </w:tc>
        <w:tc>
          <w:tcPr>
            <w:tcW w:w="2775" w:type="dxa"/>
            <w:gridSpan w:val="3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697" w:type="dxa"/>
            <w:gridSpan w:val="3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参保时间</w:t>
            </w:r>
          </w:p>
        </w:tc>
        <w:tc>
          <w:tcPr>
            <w:tcW w:w="1833" w:type="dxa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217" w:type="dxa"/>
            <w:gridSpan w:val="2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当前参保人数</w:t>
            </w:r>
          </w:p>
        </w:tc>
        <w:tc>
          <w:tcPr>
            <w:tcW w:w="6305" w:type="dxa"/>
            <w:gridSpan w:val="7"/>
            <w:noWrap w:val="0"/>
            <w:vAlign w:val="top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restart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人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员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构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成</w:t>
            </w:r>
          </w:p>
        </w:tc>
        <w:tc>
          <w:tcPr>
            <w:tcW w:w="1083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执业药师数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中药执业师：   人；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西药执业师：   人；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34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从业人员数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4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其他人员数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34" w:type="dxa"/>
            <w:vMerge w:val="continue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83" w:type="dxa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合计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执业药师姓名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执业药师身份证号码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执业药师社会保险参保地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5" w:hRule="atLeast"/>
        </w:trPr>
        <w:tc>
          <w:tcPr>
            <w:tcW w:w="2217" w:type="dxa"/>
            <w:gridSpan w:val="2"/>
            <w:noWrap w:val="0"/>
            <w:vAlign w:val="center"/>
          </w:tcPr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申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请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内</w:t>
            </w: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24"/>
                <w:szCs w:val="24"/>
              </w:rPr>
              <w:t>容</w:t>
            </w:r>
          </w:p>
        </w:tc>
        <w:tc>
          <w:tcPr>
            <w:tcW w:w="6305" w:type="dxa"/>
            <w:gridSpan w:val="7"/>
            <w:noWrap w:val="0"/>
            <w:vAlign w:val="center"/>
          </w:tcPr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 xml:space="preserve">   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>本单位承诺所提交的申请材料真实、合法、有效，承诺遵法社会保险的相关法律，无套骗医保基金的行为。本单位承诺不使用个人账户售卖非药品；如在医疗服务过程中，发现违规违约行为将被取消定点资格且三年内不再申请；</w:t>
            </w:r>
          </w:p>
          <w:p>
            <w:pPr>
              <w:widowControl/>
              <w:spacing w:line="320" w:lineRule="exact"/>
              <w:ind w:firstLine="600" w:firstLineChars="200"/>
              <w:jc w:val="left"/>
              <w:textAlignment w:val="center"/>
              <w:rPr>
                <w:rFonts w:hint="eastAsia" w:eastAsia="宋体" w:cs="Times New Roman"/>
                <w:b w:val="0"/>
                <w:bCs w:val="0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 xml:space="preserve">本人在20 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 xml:space="preserve">——20 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>履职期间，该机构无违规行为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eastAsia="zh-CN"/>
              </w:rPr>
              <w:t>。</w:t>
            </w:r>
          </w:p>
          <w:p>
            <w:pPr>
              <w:widowControl/>
              <w:spacing w:line="320" w:lineRule="exact"/>
              <w:jc w:val="left"/>
              <w:textAlignment w:val="center"/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</w:pPr>
          </w:p>
          <w:p>
            <w:pPr>
              <w:widowControl/>
              <w:spacing w:line="320" w:lineRule="exact"/>
              <w:jc w:val="center"/>
              <w:textAlignment w:val="center"/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>单位名称：             （申请单位印章）</w:t>
            </w:r>
          </w:p>
          <w:p>
            <w:pPr>
              <w:widowControl/>
              <w:spacing w:line="320" w:lineRule="exact"/>
              <w:jc w:val="both"/>
              <w:textAlignment w:val="center"/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</w:pP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 xml:space="preserve"> 法人代表签字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eastAsia="zh-CN"/>
              </w:rPr>
              <w:t>：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 xml:space="preserve">        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b w:val="0"/>
                <w:bCs w:val="0"/>
                <w:kern w:val="0"/>
                <w:sz w:val="30"/>
                <w:szCs w:val="30"/>
              </w:rPr>
              <w:t xml:space="preserve"> 年    月    日</w:t>
            </w:r>
          </w:p>
        </w:tc>
      </w:tr>
    </w:tbl>
    <w:p>
      <w:pPr>
        <w:spacing w:line="480" w:lineRule="exact"/>
        <w:ind w:firstLine="675" w:firstLineChars="200"/>
        <w:rPr>
          <w:rFonts w:hint="eastAsia" w:ascii="仿宋_GB2312" w:eastAsia="仿宋_GB2312"/>
          <w:b/>
          <w:bCs/>
          <w:color w:val="000000"/>
          <w:spacing w:val="8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450" w:firstLineChars="150"/>
        <w:rPr>
          <w:rFonts w:ascii="仿宋_GB2312" w:hAnsi="仿宋_GB2312" w:eastAsia="仿宋_GB2312" w:cs="仿宋_GB2312"/>
          <w:sz w:val="30"/>
          <w:szCs w:val="30"/>
        </w:rPr>
      </w:pP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D1A9F"/>
    <w:rsid w:val="05ED1C6E"/>
    <w:rsid w:val="086123E0"/>
    <w:rsid w:val="0A137CD2"/>
    <w:rsid w:val="1BA66C3C"/>
    <w:rsid w:val="396F0E67"/>
    <w:rsid w:val="3F0D08EC"/>
    <w:rsid w:val="46382A50"/>
    <w:rsid w:val="473B57AA"/>
    <w:rsid w:val="4A032781"/>
    <w:rsid w:val="51B74C5A"/>
    <w:rsid w:val="5AC17B36"/>
    <w:rsid w:val="5E6F0FD6"/>
    <w:rsid w:val="63182934"/>
    <w:rsid w:val="664215C3"/>
    <w:rsid w:val="68AC4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2021-11-01T11:49:00Z</cp:lastPrinted>
  <dcterms:modified xsi:type="dcterms:W3CDTF">2021-11-23T10:12:17Z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