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71ED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eastAsia="zh-CN"/>
        </w:rPr>
        <w:t>乌鲁木齐市</w:t>
      </w:r>
      <w:r>
        <w:rPr>
          <w:rFonts w:hint="eastAsia" w:ascii="方正小标宋_GBK" w:hAnsi="方正小标宋_GBK" w:eastAsia="方正小标宋_GBK" w:cs="方正小标宋_GBK"/>
          <w:color w:val="auto"/>
          <w:sz w:val="44"/>
          <w:szCs w:val="44"/>
          <w:highlight w:val="none"/>
        </w:rPr>
        <w:t>关于依法处置牟利性职业索赔投诉举报行为</w:t>
      </w:r>
      <w:r>
        <w:rPr>
          <w:rFonts w:hint="eastAsia" w:ascii="方正小标宋_GBK" w:hAnsi="方正小标宋_GBK" w:eastAsia="方正小标宋_GBK" w:cs="方正小标宋_GBK"/>
          <w:sz w:val="44"/>
          <w:szCs w:val="44"/>
        </w:rPr>
        <w:t>暂行</w:t>
      </w:r>
      <w:r>
        <w:rPr>
          <w:rFonts w:hint="eastAsia" w:ascii="方正小标宋_GBK" w:hAnsi="方正小标宋_GBK" w:eastAsia="方正小标宋_GBK" w:cs="方正小标宋_GBK"/>
          <w:color w:val="auto"/>
          <w:sz w:val="44"/>
          <w:szCs w:val="44"/>
          <w:highlight w:val="none"/>
        </w:rPr>
        <w:t>规定</w:t>
      </w:r>
    </w:p>
    <w:p w14:paraId="7C2486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i w:val="0"/>
          <w:caps w:val="0"/>
          <w:smallCaps w:val="0"/>
          <w:color w:val="1C1F23"/>
          <w:spacing w:val="0"/>
          <w:sz w:val="32"/>
          <w:szCs w:val="32"/>
          <w:shd w:val="clear" w:color="auto" w:fill="FFFFFF"/>
          <w:lang w:val="en-US" w:eastAsia="zh-CN"/>
        </w:rPr>
      </w:pPr>
      <w:r>
        <w:rPr>
          <w:rFonts w:hint="eastAsia" w:ascii="方正仿宋_GBK" w:hAnsi="方正仿宋_GBK" w:eastAsia="方正仿宋_GBK" w:cs="方正仿宋_GBK"/>
          <w:b w:val="0"/>
          <w:bCs w:val="0"/>
          <w:i w:val="0"/>
          <w:caps w:val="0"/>
          <w:smallCaps w:val="0"/>
          <w:color w:val="1C1F23"/>
          <w:spacing w:val="0"/>
          <w:sz w:val="32"/>
          <w:szCs w:val="32"/>
          <w:shd w:val="clear" w:color="auto" w:fill="FFFFFF"/>
          <w:lang w:val="en-US" w:eastAsia="zh-CN"/>
        </w:rPr>
        <w:t>（征求意见稿）</w:t>
      </w:r>
      <w:bookmarkStart w:id="0" w:name="_GoBack"/>
      <w:bookmarkEnd w:id="0"/>
    </w:p>
    <w:p w14:paraId="75296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b w:val="0"/>
          <w:bCs w:val="0"/>
          <w:i w:val="0"/>
          <w:caps w:val="0"/>
          <w:smallCaps w:val="0"/>
          <w:color w:val="1C1F23"/>
          <w:spacing w:val="0"/>
          <w:sz w:val="28"/>
          <w:szCs w:val="28"/>
          <w:shd w:val="clear" w:color="auto" w:fill="FFFFFF"/>
          <w:lang w:val="en-US" w:eastAsia="zh-CN"/>
        </w:rPr>
      </w:pPr>
    </w:p>
    <w:p w14:paraId="12A9E2B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第一条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为营造</w:t>
      </w:r>
      <w:r>
        <w:rPr>
          <w:rFonts w:hint="eastAsia" w:ascii="方正仿宋_GBK" w:hAnsi="方正仿宋_GBK" w:eastAsia="方正仿宋_GBK" w:cs="方正仿宋_GBK"/>
          <w:color w:val="auto"/>
          <w:sz w:val="32"/>
          <w:szCs w:val="32"/>
          <w:highlight w:val="none"/>
          <w:lang w:eastAsia="zh-CN"/>
        </w:rPr>
        <w:t>乌鲁木齐市</w:t>
      </w:r>
      <w:r>
        <w:rPr>
          <w:rFonts w:hint="eastAsia" w:ascii="方正仿宋_GBK" w:hAnsi="方正仿宋_GBK" w:eastAsia="方正仿宋_GBK" w:cs="方正仿宋_GBK"/>
          <w:color w:val="auto"/>
          <w:sz w:val="32"/>
          <w:szCs w:val="32"/>
          <w:highlight w:val="none"/>
        </w:rPr>
        <w:t>良好的营商环境和消费环境，促进社会诚信体系建设，规范市场监管领域投诉举报行为，防范以牟利为目的的职业索赔投诉举报行为过多占用有限的行政资源，</w:t>
      </w:r>
      <w:r>
        <w:rPr>
          <w:rFonts w:hint="eastAsia" w:ascii="方正仿宋_GBK" w:hAnsi="方正仿宋_GBK" w:eastAsia="方正仿宋_GBK" w:cs="方正仿宋_GBK"/>
          <w:color w:val="auto"/>
          <w:sz w:val="32"/>
          <w:szCs w:val="32"/>
          <w:highlight w:val="none"/>
          <w:lang w:eastAsia="zh-CN"/>
        </w:rPr>
        <w:t>根据《中华人民共和国消费者权益保护法》《</w:t>
      </w:r>
      <w:r>
        <w:rPr>
          <w:rFonts w:hint="eastAsia" w:ascii="方正仿宋_GBK" w:hAnsi="方正仿宋_GBK" w:eastAsia="方正仿宋_GBK" w:cs="方正仿宋_GBK"/>
          <w:color w:val="auto"/>
          <w:sz w:val="32"/>
          <w:szCs w:val="32"/>
          <w:highlight w:val="none"/>
          <w:lang w:val="en-US" w:eastAsia="zh-CN"/>
        </w:rPr>
        <w:t>中华人民共和国行政处罚法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优化营商环境条例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等法律法规，</w:t>
      </w:r>
      <w:r>
        <w:rPr>
          <w:rFonts w:hint="eastAsia" w:ascii="方正仿宋_GBK" w:hAnsi="方正仿宋_GBK" w:eastAsia="方正仿宋_GBK" w:cs="方正仿宋_GBK"/>
          <w:color w:val="auto"/>
          <w:kern w:val="0"/>
          <w:sz w:val="32"/>
          <w:szCs w:val="32"/>
          <w:highlight w:val="none"/>
          <w:lang w:val="en-US" w:eastAsia="zh-CN" w:bidi="ar"/>
        </w:rPr>
        <w:t>以及《中共中央国务院关于深化改革加强食品安全工作的意见》《国务院办公厅关于促进平台经济规范健康发展的指导意见》《国务院关于加强和规范事中事后监管的指导意见》《最高人民法院关于审理食品药品惩罚性赔偿纠纷案件适用法律若干问题的解释》《最高人民法院关于引导和规范职业打假人的建议的答复》《最高人民检察院关于开展依法惩治恶意诉讼专项行动的通知》等文件精神要求，结合我市实际，制定本暂行规定。</w:t>
      </w:r>
    </w:p>
    <w:p w14:paraId="5F1FFD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第二条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鼓励社会公众积极举报市场监管领域重大违法行为。投诉、举报应当遵守法律、法规、规章和有关规范性文件的规定，不得利用投诉、举报牟取不正当利益，侵害经营者的合法权益，扰乱市场经济秩序。严厉打击以投诉、举报形式实施敲诈勒索等违法犯罪行为。</w:t>
      </w:r>
    </w:p>
    <w:p w14:paraId="776AEF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eastAsia="zh-CN"/>
        </w:rPr>
        <w:t>第三条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处置</w:t>
      </w:r>
      <w:r>
        <w:rPr>
          <w:rFonts w:hint="eastAsia" w:ascii="方正仿宋_GBK" w:hAnsi="方正仿宋_GBK" w:eastAsia="方正仿宋_GBK" w:cs="方正仿宋_GBK"/>
          <w:color w:val="auto"/>
          <w:sz w:val="32"/>
          <w:szCs w:val="32"/>
          <w:highlight w:val="none"/>
          <w:lang w:val="en-US" w:eastAsia="zh-CN"/>
        </w:rPr>
        <w:t>牟利性职业索赔投诉举报行为</w:t>
      </w:r>
      <w:r>
        <w:rPr>
          <w:rFonts w:hint="eastAsia" w:ascii="方正仿宋_GBK" w:hAnsi="方正仿宋_GBK" w:eastAsia="方正仿宋_GBK" w:cs="方正仿宋_GBK"/>
          <w:color w:val="auto"/>
          <w:sz w:val="32"/>
          <w:szCs w:val="32"/>
          <w:highlight w:val="none"/>
          <w:lang w:eastAsia="zh-CN"/>
        </w:rPr>
        <w:t>应当遵循以下原则：</w:t>
      </w:r>
    </w:p>
    <w:p w14:paraId="14475B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坚持依法行政。应对牟利性职业索赔</w:t>
      </w:r>
      <w:r>
        <w:rPr>
          <w:rFonts w:hint="eastAsia" w:ascii="方正仿宋_GBK" w:hAnsi="方正仿宋_GBK" w:eastAsia="方正仿宋_GBK" w:cs="方正仿宋_GBK"/>
          <w:color w:val="auto"/>
          <w:sz w:val="32"/>
          <w:szCs w:val="32"/>
          <w:highlight w:val="none"/>
          <w:lang w:eastAsia="zh-CN"/>
        </w:rPr>
        <w:t>投诉</w:t>
      </w:r>
      <w:r>
        <w:rPr>
          <w:rFonts w:hint="eastAsia" w:ascii="方正仿宋_GBK" w:hAnsi="方正仿宋_GBK" w:eastAsia="方正仿宋_GBK" w:cs="方正仿宋_GBK"/>
          <w:color w:val="auto"/>
          <w:sz w:val="32"/>
          <w:szCs w:val="32"/>
          <w:highlight w:val="none"/>
        </w:rPr>
        <w:t>举报行为要突出法律思维和法治方式，坚守依法行政的底线。</w:t>
      </w:r>
    </w:p>
    <w:p w14:paraId="15DDC5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突出分类管理。</w:t>
      </w:r>
      <w:r>
        <w:rPr>
          <w:rFonts w:hint="eastAsia" w:ascii="方正仿宋_GBK" w:hAnsi="方正仿宋_GBK" w:eastAsia="方正仿宋_GBK" w:cs="方正仿宋_GBK"/>
          <w:color w:val="auto"/>
          <w:sz w:val="32"/>
          <w:szCs w:val="32"/>
          <w:highlight w:val="none"/>
          <w:lang w:eastAsia="zh-CN"/>
        </w:rPr>
        <w:t>区分</w:t>
      </w:r>
      <w:r>
        <w:rPr>
          <w:rFonts w:hint="eastAsia" w:ascii="方正仿宋_GBK" w:hAnsi="方正仿宋_GBK" w:eastAsia="方正仿宋_GBK" w:cs="方正仿宋_GBK"/>
          <w:color w:val="auto"/>
          <w:sz w:val="32"/>
          <w:szCs w:val="32"/>
          <w:highlight w:val="none"/>
        </w:rPr>
        <w:t>牟利性职业索赔</w:t>
      </w:r>
      <w:r>
        <w:rPr>
          <w:rFonts w:hint="eastAsia" w:ascii="方正仿宋_GBK" w:hAnsi="方正仿宋_GBK" w:eastAsia="方正仿宋_GBK" w:cs="方正仿宋_GBK"/>
          <w:color w:val="auto"/>
          <w:sz w:val="32"/>
          <w:szCs w:val="32"/>
          <w:highlight w:val="none"/>
          <w:lang w:eastAsia="zh-CN"/>
        </w:rPr>
        <w:t>投诉</w:t>
      </w:r>
      <w:r>
        <w:rPr>
          <w:rFonts w:hint="eastAsia" w:ascii="方正仿宋_GBK" w:hAnsi="方正仿宋_GBK" w:eastAsia="方正仿宋_GBK" w:cs="方正仿宋_GBK"/>
          <w:color w:val="auto"/>
          <w:sz w:val="32"/>
          <w:szCs w:val="32"/>
          <w:highlight w:val="none"/>
        </w:rPr>
        <w:t>举报行为与一般消费者投诉举报行为</w:t>
      </w:r>
      <w:r>
        <w:rPr>
          <w:rFonts w:hint="eastAsia" w:ascii="方正仿宋_GBK" w:hAnsi="方正仿宋_GBK" w:eastAsia="方正仿宋_GBK" w:cs="方正仿宋_GBK"/>
          <w:color w:val="auto"/>
          <w:sz w:val="32"/>
          <w:szCs w:val="32"/>
          <w:highlight w:val="none"/>
          <w:lang w:eastAsia="zh-CN"/>
        </w:rPr>
        <w:t>，实行</w:t>
      </w:r>
      <w:r>
        <w:rPr>
          <w:rFonts w:hint="eastAsia" w:ascii="方正仿宋_GBK" w:hAnsi="方正仿宋_GBK" w:eastAsia="方正仿宋_GBK" w:cs="方正仿宋_GBK"/>
          <w:color w:val="auto"/>
          <w:sz w:val="32"/>
          <w:szCs w:val="32"/>
          <w:highlight w:val="none"/>
        </w:rPr>
        <w:t>分类管理。违法主体内部人员举报，不属于职业索赔投诉举报行为。</w:t>
      </w:r>
    </w:p>
    <w:p w14:paraId="5C2859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强化综合施策。针对牟利性职业索赔</w:t>
      </w:r>
      <w:r>
        <w:rPr>
          <w:rFonts w:hint="eastAsia" w:ascii="方正仿宋_GBK" w:hAnsi="方正仿宋_GBK" w:eastAsia="方正仿宋_GBK" w:cs="方正仿宋_GBK"/>
          <w:color w:val="auto"/>
          <w:sz w:val="32"/>
          <w:szCs w:val="32"/>
          <w:highlight w:val="none"/>
          <w:lang w:eastAsia="zh-CN"/>
        </w:rPr>
        <w:t>投诉</w:t>
      </w:r>
      <w:r>
        <w:rPr>
          <w:rFonts w:hint="eastAsia" w:ascii="方正仿宋_GBK" w:hAnsi="方正仿宋_GBK" w:eastAsia="方正仿宋_GBK" w:cs="方正仿宋_GBK"/>
          <w:color w:val="auto"/>
          <w:sz w:val="32"/>
          <w:szCs w:val="32"/>
          <w:highlight w:val="none"/>
        </w:rPr>
        <w:t>举报行为明显泛滥、数量急剧增长的情况，深入分析原因，突出问题导向、需求导向，处罚与教育相结合，从行政执法、行刑衔接、司法保障、信用管理等各方面</w:t>
      </w:r>
      <w:r>
        <w:rPr>
          <w:rFonts w:hint="eastAsia" w:ascii="方正仿宋_GBK" w:hAnsi="方正仿宋_GBK" w:eastAsia="方正仿宋_GBK" w:cs="方正仿宋_GBK"/>
          <w:color w:val="auto"/>
          <w:sz w:val="32"/>
          <w:szCs w:val="32"/>
          <w:highlight w:val="none"/>
          <w:lang w:eastAsia="zh-CN"/>
        </w:rPr>
        <w:t>加以</w:t>
      </w:r>
      <w:r>
        <w:rPr>
          <w:rFonts w:hint="eastAsia" w:ascii="方正仿宋_GBK" w:hAnsi="方正仿宋_GBK" w:eastAsia="方正仿宋_GBK" w:cs="方正仿宋_GBK"/>
          <w:color w:val="auto"/>
          <w:sz w:val="32"/>
          <w:szCs w:val="32"/>
          <w:highlight w:val="none"/>
        </w:rPr>
        <w:t>规范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形成齐抓共管、综合治理的工作格局。</w:t>
      </w:r>
    </w:p>
    <w:p w14:paraId="0F238C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倡导诚实信用。督促经营者落实主体责任，诚信</w:t>
      </w:r>
      <w:r>
        <w:rPr>
          <w:rFonts w:hint="eastAsia" w:ascii="方正仿宋_GBK" w:hAnsi="方正仿宋_GBK" w:eastAsia="方正仿宋_GBK" w:cs="方正仿宋_GBK"/>
          <w:color w:val="auto"/>
          <w:sz w:val="32"/>
          <w:szCs w:val="32"/>
          <w:highlight w:val="none"/>
          <w:lang w:eastAsia="zh-CN"/>
        </w:rPr>
        <w:t>经营</w:t>
      </w:r>
      <w:r>
        <w:rPr>
          <w:rFonts w:hint="eastAsia" w:ascii="方正仿宋_GBK" w:hAnsi="方正仿宋_GBK" w:eastAsia="方正仿宋_GBK" w:cs="方正仿宋_GBK"/>
          <w:color w:val="auto"/>
          <w:sz w:val="32"/>
          <w:szCs w:val="32"/>
          <w:highlight w:val="none"/>
        </w:rPr>
        <w:t>。宣传正确的消费理念，倡导诚信消费、理性消费、依法维权，营造诚实守信的市场环境和消费环境，共同为推动高质量发展、服务高品质生活做出贡献。</w:t>
      </w:r>
      <w:r>
        <w:rPr>
          <w:rFonts w:hint="eastAsia" w:ascii="方正仿宋_GBK" w:hAnsi="方正仿宋_GBK" w:eastAsia="方正仿宋_GBK" w:cs="方正仿宋_GBK"/>
          <w:color w:val="auto"/>
          <w:sz w:val="32"/>
          <w:szCs w:val="32"/>
          <w:highlight w:val="none"/>
          <w:lang w:val="en-US" w:eastAsia="zh-CN"/>
        </w:rPr>
        <w:t xml:space="preserve"> </w:t>
      </w:r>
    </w:p>
    <w:p w14:paraId="054D2A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第四条</w:t>
      </w:r>
      <w:r>
        <w:rPr>
          <w:rFonts w:hint="eastAsia" w:eastAsia="方正仿宋_GBK"/>
          <w:color w:val="auto"/>
          <w:sz w:val="32"/>
          <w:szCs w:val="32"/>
          <w:highlight w:val="none"/>
          <w:lang w:val="en-US" w:eastAsia="zh-CN"/>
        </w:rPr>
        <w:t xml:space="preserve"> </w:t>
      </w:r>
      <w:r>
        <w:rPr>
          <w:rFonts w:hint="eastAsia" w:eastAsia="方正仿宋_GBK"/>
          <w:color w:val="auto"/>
          <w:sz w:val="32"/>
          <w:szCs w:val="32"/>
          <w:highlight w:val="none"/>
        </w:rPr>
        <w:t>本</w:t>
      </w:r>
      <w:r>
        <w:rPr>
          <w:rFonts w:hint="eastAsia" w:eastAsia="方正仿宋_GBK"/>
          <w:color w:val="auto"/>
          <w:sz w:val="32"/>
          <w:szCs w:val="32"/>
          <w:highlight w:val="none"/>
          <w:lang w:eastAsia="zh-CN"/>
        </w:rPr>
        <w:t>规定认定的</w:t>
      </w:r>
      <w:r>
        <w:rPr>
          <w:rFonts w:hint="eastAsia" w:ascii="方正仿宋_GBK" w:hAnsi="方正仿宋_GBK" w:eastAsia="方正仿宋_GBK" w:cs="方正仿宋_GBK"/>
          <w:color w:val="auto"/>
          <w:sz w:val="32"/>
          <w:szCs w:val="32"/>
          <w:highlight w:val="none"/>
        </w:rPr>
        <w:t>牟利性职业索赔投诉举报</w:t>
      </w:r>
      <w:r>
        <w:rPr>
          <w:rFonts w:hint="eastAsia" w:ascii="方正仿宋_GBK" w:hAnsi="方正仿宋_GBK" w:eastAsia="方正仿宋_GBK" w:cs="方正仿宋_GBK"/>
          <w:color w:val="auto"/>
          <w:sz w:val="32"/>
          <w:szCs w:val="32"/>
          <w:highlight w:val="none"/>
          <w:lang w:eastAsia="zh-CN"/>
        </w:rPr>
        <w:t>行为，</w:t>
      </w:r>
      <w:r>
        <w:rPr>
          <w:rFonts w:hint="eastAsia" w:ascii="方正仿宋_GBK" w:hAnsi="方正仿宋_GBK" w:eastAsia="方正仿宋_GBK" w:cs="方正仿宋_GBK"/>
          <w:color w:val="auto"/>
          <w:sz w:val="32"/>
          <w:szCs w:val="32"/>
          <w:highlight w:val="none"/>
        </w:rPr>
        <w:t>是指行为人非为生活消费需要购买、使用商品或者接受服务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频繁利用投诉、举报等</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知假买假</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找假买假</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即买即诉”</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即赔即撤”</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假借消费维权、打击假冒伪劣等名义</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以牟利为目的滥用信访、行政复议、行政诉讼等权利</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扰乱行政部门正常工作秩序、影响营商环境的行为。</w:t>
      </w:r>
    </w:p>
    <w:p w14:paraId="460A7D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对</w:t>
      </w:r>
      <w:r>
        <w:rPr>
          <w:rFonts w:hint="eastAsia" w:ascii="方正仿宋_GBK" w:hAnsi="方正仿宋_GBK" w:eastAsia="方正仿宋_GBK" w:cs="方正仿宋_GBK"/>
          <w:color w:val="auto"/>
          <w:sz w:val="32"/>
          <w:szCs w:val="32"/>
          <w:highlight w:val="none"/>
        </w:rPr>
        <w:t>牟利性职业索赔</w:t>
      </w:r>
      <w:r>
        <w:rPr>
          <w:rFonts w:hint="eastAsia" w:ascii="方正仿宋_GBK" w:hAnsi="方正仿宋_GBK" w:eastAsia="方正仿宋_GBK" w:cs="方正仿宋_GBK"/>
          <w:color w:val="auto"/>
          <w:sz w:val="32"/>
          <w:szCs w:val="32"/>
          <w:highlight w:val="none"/>
          <w:lang w:eastAsia="zh-CN"/>
        </w:rPr>
        <w:t>投诉举报</w:t>
      </w:r>
      <w:r>
        <w:rPr>
          <w:rFonts w:hint="eastAsia" w:ascii="方正仿宋_GBK" w:hAnsi="方正仿宋_GBK" w:eastAsia="方正仿宋_GBK" w:cs="方正仿宋_GBK"/>
          <w:color w:val="auto"/>
          <w:sz w:val="32"/>
          <w:szCs w:val="32"/>
          <w:highlight w:val="none"/>
        </w:rPr>
        <w:t>行为</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认定</w:t>
      </w:r>
      <w:r>
        <w:rPr>
          <w:rFonts w:hint="eastAsia" w:ascii="方正仿宋_GBK" w:hAnsi="方正仿宋_GBK" w:eastAsia="方正仿宋_GBK" w:cs="方正仿宋_GBK"/>
          <w:color w:val="auto"/>
          <w:sz w:val="32"/>
          <w:szCs w:val="32"/>
          <w:highlight w:val="none"/>
          <w:lang w:eastAsia="zh-CN"/>
        </w:rPr>
        <w:t>考量，</w:t>
      </w:r>
      <w:r>
        <w:rPr>
          <w:rFonts w:hint="eastAsia" w:ascii="方正仿宋_GBK" w:hAnsi="方正仿宋_GBK" w:eastAsia="方正仿宋_GBK" w:cs="方正仿宋_GBK"/>
          <w:color w:val="auto"/>
          <w:sz w:val="32"/>
          <w:szCs w:val="32"/>
          <w:highlight w:val="none"/>
        </w:rPr>
        <w:t>应当综合考虑投诉人身份、投诉目的、手段、理由、数量等因素。</w:t>
      </w:r>
      <w:r>
        <w:rPr>
          <w:rFonts w:hint="eastAsia" w:ascii="方正仿宋_GBK" w:hAnsi="方正仿宋_GBK" w:eastAsia="方正仿宋_GBK" w:cs="方正仿宋_GBK"/>
          <w:color w:val="auto"/>
          <w:sz w:val="32"/>
          <w:szCs w:val="32"/>
          <w:highlight w:val="none"/>
          <w:lang w:val="en-US" w:eastAsia="zh-CN"/>
        </w:rPr>
        <w:t>符合下列其中一项即可判断为</w:t>
      </w:r>
      <w:r>
        <w:rPr>
          <w:rFonts w:hint="eastAsia" w:ascii="方正仿宋_GBK" w:hAnsi="方正仿宋_GBK" w:eastAsia="方正仿宋_GBK" w:cs="方正仿宋_GBK"/>
          <w:color w:val="auto"/>
          <w:sz w:val="32"/>
          <w:szCs w:val="32"/>
          <w:highlight w:val="none"/>
        </w:rPr>
        <w:t>牟利性职业索赔</w:t>
      </w:r>
      <w:r>
        <w:rPr>
          <w:rFonts w:hint="eastAsia" w:ascii="方正仿宋_GBK" w:hAnsi="方正仿宋_GBK" w:eastAsia="方正仿宋_GBK" w:cs="方正仿宋_GBK"/>
          <w:color w:val="auto"/>
          <w:sz w:val="32"/>
          <w:szCs w:val="32"/>
          <w:highlight w:val="none"/>
          <w:lang w:val="en-US" w:eastAsia="zh-CN"/>
        </w:rPr>
        <w:t>投诉举报行为：</w:t>
      </w:r>
    </w:p>
    <w:p w14:paraId="0C8E6A7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购买、使用商品的数量或者接受服务的次数明显超出合理生活消费数量或次数的</w:t>
      </w:r>
      <w:r>
        <w:rPr>
          <w:rFonts w:hint="eastAsia" w:ascii="方正仿宋_GBK" w:hAnsi="方正仿宋_GBK" w:eastAsia="方正仿宋_GBK" w:cs="方正仿宋_GBK"/>
          <w:color w:val="auto"/>
          <w:sz w:val="32"/>
          <w:szCs w:val="32"/>
          <w:highlight w:val="none"/>
          <w:lang w:eastAsia="zh-CN"/>
        </w:rPr>
        <w:t>；</w:t>
      </w:r>
    </w:p>
    <w:p w14:paraId="6E67CF5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同一投诉人对同一经营者短期内大量投诉举报的</w:t>
      </w:r>
      <w:r>
        <w:rPr>
          <w:rFonts w:hint="eastAsia" w:ascii="方正仿宋_GBK" w:hAnsi="方正仿宋_GBK" w:eastAsia="方正仿宋_GBK" w:cs="方正仿宋_GBK"/>
          <w:color w:val="auto"/>
          <w:sz w:val="32"/>
          <w:szCs w:val="32"/>
          <w:highlight w:val="none"/>
          <w:lang w:eastAsia="zh-CN"/>
        </w:rPr>
        <w:t>；</w:t>
      </w:r>
    </w:p>
    <w:p w14:paraId="0852679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明知或应知商品或服务存在质量问题仍然购买或接受服务，以投诉举报、媒体曝光等方式要挟生产经营者赔偿的</w:t>
      </w:r>
      <w:r>
        <w:rPr>
          <w:rFonts w:hint="eastAsia" w:ascii="方正仿宋_GBK" w:hAnsi="方正仿宋_GBK" w:eastAsia="方正仿宋_GBK" w:cs="方正仿宋_GBK"/>
          <w:color w:val="auto"/>
          <w:sz w:val="32"/>
          <w:szCs w:val="32"/>
          <w:highlight w:val="none"/>
          <w:lang w:eastAsia="zh-CN"/>
        </w:rPr>
        <w:t>；</w:t>
      </w:r>
    </w:p>
    <w:p w14:paraId="0B09AAA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投诉人一次发起3件以上(含本数)投诉举报或者3人以上(含本数)短时间内向同一经营者或同行业经营者反复购买相同或者相似商品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并以相同或相似商品为标的物分别提起投诉举报的</w:t>
      </w:r>
      <w:r>
        <w:rPr>
          <w:rFonts w:hint="eastAsia" w:ascii="方正仿宋_GBK" w:hAnsi="方正仿宋_GBK" w:eastAsia="方正仿宋_GBK" w:cs="方正仿宋_GBK"/>
          <w:color w:val="auto"/>
          <w:sz w:val="32"/>
          <w:szCs w:val="32"/>
          <w:highlight w:val="none"/>
          <w:lang w:eastAsia="zh-CN"/>
        </w:rPr>
        <w:t>；</w:t>
      </w:r>
    </w:p>
    <w:p w14:paraId="76F71ED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因购买商品获得惩罚性赔偿后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再次购买相同商品的</w:t>
      </w:r>
      <w:r>
        <w:rPr>
          <w:rFonts w:hint="eastAsia" w:ascii="方正仿宋_GBK" w:hAnsi="方正仿宋_GBK" w:eastAsia="方正仿宋_GBK" w:cs="方正仿宋_GBK"/>
          <w:color w:val="auto"/>
          <w:sz w:val="32"/>
          <w:szCs w:val="32"/>
          <w:highlight w:val="none"/>
          <w:lang w:eastAsia="zh-CN"/>
        </w:rPr>
        <w:t>；</w:t>
      </w:r>
    </w:p>
    <w:p w14:paraId="4577C3A1">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未因购买商品或接受服务损害其人身、财产合法权益，仅以商品或者服务的广告宣传、标识标签等存在轻微违法行为为由要求生产经营者赔偿的</w:t>
      </w:r>
      <w:r>
        <w:rPr>
          <w:rFonts w:hint="eastAsia" w:ascii="方正仿宋_GBK" w:hAnsi="方正仿宋_GBK" w:eastAsia="方正仿宋_GBK" w:cs="方正仿宋_GBK"/>
          <w:color w:val="auto"/>
          <w:sz w:val="32"/>
          <w:szCs w:val="32"/>
          <w:highlight w:val="none"/>
          <w:lang w:eastAsia="zh-CN"/>
        </w:rPr>
        <w:t>；</w:t>
      </w:r>
    </w:p>
    <w:p w14:paraId="4EAD128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不同投诉人同谋分别消费后分别投诉举报同一经营者的</w:t>
      </w:r>
      <w:r>
        <w:rPr>
          <w:rFonts w:hint="eastAsia" w:ascii="方正仿宋_GBK" w:hAnsi="方正仿宋_GBK" w:eastAsia="方正仿宋_GBK" w:cs="方正仿宋_GBK"/>
          <w:color w:val="auto"/>
          <w:sz w:val="32"/>
          <w:szCs w:val="32"/>
          <w:highlight w:val="none"/>
          <w:lang w:eastAsia="zh-CN"/>
        </w:rPr>
        <w:t>；</w:t>
      </w:r>
    </w:p>
    <w:p w14:paraId="59D620C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受雇于他人进行投诉举报或者冒用他人名义进行投诉举报的</w:t>
      </w:r>
      <w:r>
        <w:rPr>
          <w:rFonts w:hint="eastAsia" w:ascii="方正仿宋_GBK" w:hAnsi="方正仿宋_GBK" w:eastAsia="方正仿宋_GBK" w:cs="方正仿宋_GBK"/>
          <w:color w:val="auto"/>
          <w:sz w:val="32"/>
          <w:szCs w:val="32"/>
          <w:highlight w:val="none"/>
          <w:lang w:eastAsia="zh-CN"/>
        </w:rPr>
        <w:t>；</w:t>
      </w:r>
    </w:p>
    <w:p w14:paraId="4D5B0A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《市场监督管理投诉举报处理暂行办法》中要求提供的投诉人基本信息为虚假的。如不同投诉人使用同一手机号码、同一地址等有明显组织策划的</w:t>
      </w:r>
      <w:r>
        <w:rPr>
          <w:rFonts w:hint="eastAsia" w:ascii="方正仿宋_GBK" w:hAnsi="方正仿宋_GBK" w:eastAsia="方正仿宋_GBK" w:cs="方正仿宋_GBK"/>
          <w:color w:val="auto"/>
          <w:sz w:val="32"/>
          <w:szCs w:val="32"/>
          <w:highlight w:val="none"/>
          <w:lang w:eastAsia="zh-CN"/>
        </w:rPr>
        <w:t>；</w:t>
      </w:r>
    </w:p>
    <w:p w14:paraId="6F7711C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投诉举报、相关行政复议、行政诉讼、信访、信息公开等各类型诉求形式的数量，明显超出正常范畴的</w:t>
      </w:r>
      <w:r>
        <w:rPr>
          <w:rFonts w:hint="eastAsia" w:ascii="方正仿宋_GBK" w:hAnsi="方正仿宋_GBK" w:eastAsia="方正仿宋_GBK" w:cs="方正仿宋_GBK"/>
          <w:color w:val="auto"/>
          <w:sz w:val="32"/>
          <w:szCs w:val="32"/>
          <w:highlight w:val="none"/>
          <w:lang w:eastAsia="zh-CN"/>
        </w:rPr>
        <w:t>；</w:t>
      </w:r>
    </w:p>
    <w:p w14:paraId="6210EE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对同类事项进行频繁投诉举报，投诉内容显著专业化、文本高度格式化的</w:t>
      </w:r>
      <w:r>
        <w:rPr>
          <w:rFonts w:hint="eastAsia" w:ascii="方正仿宋_GBK" w:hAnsi="方正仿宋_GBK" w:eastAsia="方正仿宋_GBK" w:cs="方正仿宋_GBK"/>
          <w:color w:val="auto"/>
          <w:sz w:val="32"/>
          <w:szCs w:val="32"/>
          <w:highlight w:val="none"/>
          <w:lang w:eastAsia="zh-CN"/>
        </w:rPr>
        <w:t>；</w:t>
      </w:r>
    </w:p>
    <w:p w14:paraId="2956F31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通过“调包”“夹带”“造假”等手段进行欺诈式索赔和不实举报的</w:t>
      </w:r>
      <w:r>
        <w:rPr>
          <w:rFonts w:hint="eastAsia" w:ascii="方正仿宋_GBK" w:hAnsi="方正仿宋_GBK" w:eastAsia="方正仿宋_GBK" w:cs="方正仿宋_GBK"/>
          <w:color w:val="auto"/>
          <w:sz w:val="32"/>
          <w:szCs w:val="32"/>
          <w:highlight w:val="none"/>
          <w:lang w:eastAsia="zh-CN"/>
        </w:rPr>
        <w:t>；</w:t>
      </w:r>
    </w:p>
    <w:p w14:paraId="3CEEB8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其它可合理认为不以生活消费需要购买、使用商品或者接受服务等职业索赔投诉举报行为特征的。</w:t>
      </w:r>
    </w:p>
    <w:p w14:paraId="202ED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第</w:t>
      </w: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lang w:eastAsia="zh-CN"/>
        </w:rPr>
        <w:t>条</w:t>
      </w:r>
      <w:r>
        <w:rPr>
          <w:rFonts w:hint="eastAsia" w:ascii="方正仿宋_GBK" w:hAnsi="方正仿宋_GBK" w:eastAsia="方正仿宋_GBK" w:cs="方正仿宋_GBK"/>
          <w:b/>
          <w:bCs/>
          <w:color w:val="auto"/>
          <w:sz w:val="32"/>
          <w:szCs w:val="32"/>
          <w:highlight w:val="none"/>
          <w:lang w:val="en-US" w:eastAsia="zh-CN"/>
        </w:rPr>
        <w:t xml:space="preserve"> </w:t>
      </w:r>
      <w:r>
        <w:rPr>
          <w:rFonts w:hint="eastAsia" w:ascii="方正仿宋_GBK" w:hAnsi="方正仿宋_GBK" w:eastAsia="方正仿宋_GBK" w:cs="方正仿宋_GBK"/>
          <w:i w:val="0"/>
          <w:iCs w:val="0"/>
          <w:caps w:val="0"/>
          <w:color w:val="auto"/>
          <w:spacing w:val="0"/>
          <w:sz w:val="32"/>
          <w:szCs w:val="32"/>
          <w:highlight w:val="none"/>
          <w:shd w:val="clear" w:fill="FFFFFF"/>
        </w:rPr>
        <w:t>各区</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县</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市场监管部门应结合个案的具体情形综合判定。通过</w:t>
      </w:r>
      <w:r>
        <w:rPr>
          <w:rFonts w:hint="eastAsia" w:ascii="方正仿宋_GBK" w:hAnsi="方正仿宋_GBK" w:eastAsia="方正仿宋_GBK" w:cs="方正仿宋_GBK"/>
          <w:color w:val="auto"/>
          <w:sz w:val="32"/>
          <w:szCs w:val="32"/>
          <w:highlight w:val="none"/>
        </w:rPr>
        <w:t>“调包”“夹带”“造假”</w:t>
      </w:r>
      <w:r>
        <w:rPr>
          <w:rFonts w:hint="eastAsia" w:ascii="方正仿宋_GBK" w:hAnsi="方正仿宋_GBK" w:eastAsia="方正仿宋_GBK" w:cs="方正仿宋_GBK"/>
          <w:i w:val="0"/>
          <w:iCs w:val="0"/>
          <w:caps w:val="0"/>
          <w:color w:val="auto"/>
          <w:spacing w:val="0"/>
          <w:sz w:val="32"/>
          <w:szCs w:val="32"/>
          <w:highlight w:val="none"/>
          <w:shd w:val="clear" w:fill="FFFFFF"/>
        </w:rPr>
        <w:t>等手段进行欺诈式索赔和不实举报的，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市场监管部门</w:t>
      </w:r>
      <w:r>
        <w:rPr>
          <w:rFonts w:hint="eastAsia" w:ascii="方正仿宋_GBK" w:hAnsi="方正仿宋_GBK" w:eastAsia="方正仿宋_GBK" w:cs="方正仿宋_GBK"/>
          <w:i w:val="0"/>
          <w:iCs w:val="0"/>
          <w:caps w:val="0"/>
          <w:color w:val="auto"/>
          <w:spacing w:val="0"/>
          <w:sz w:val="32"/>
          <w:szCs w:val="32"/>
          <w:highlight w:val="none"/>
          <w:shd w:val="clear" w:fill="FFFFFF"/>
        </w:rPr>
        <w:t>可直接认定为</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职业索赔</w:t>
      </w:r>
      <w:r>
        <w:rPr>
          <w:rFonts w:hint="eastAsia" w:ascii="方正仿宋_GBK" w:hAnsi="方正仿宋_GBK" w:eastAsia="方正仿宋_GBK" w:cs="方正仿宋_GBK"/>
          <w:i w:val="0"/>
          <w:iCs w:val="0"/>
          <w:caps w:val="0"/>
          <w:color w:val="auto"/>
          <w:spacing w:val="0"/>
          <w:sz w:val="32"/>
          <w:szCs w:val="32"/>
          <w:highlight w:val="none"/>
          <w:shd w:val="clear" w:fill="FFFFFF"/>
        </w:rPr>
        <w:t>投诉举报行为。</w:t>
      </w:r>
    </w:p>
    <w:p w14:paraId="3E871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本规定</w:t>
      </w:r>
      <w:r>
        <w:rPr>
          <w:rFonts w:hint="eastAsia" w:ascii="方正仿宋_GBK" w:hAnsi="方正仿宋_GBK" w:eastAsia="方正仿宋_GBK" w:cs="方正仿宋_GBK"/>
          <w:color w:val="auto"/>
          <w:sz w:val="32"/>
          <w:szCs w:val="32"/>
          <w:highlight w:val="none"/>
        </w:rPr>
        <w:t>所称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调包”</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是指暗中用准备好的缺陷商品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与经营者在售的合法商品进行调换</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夹带”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是指暗中将准备好的缺陷商品藏入经营者其他在售的合法商品之中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造假”</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是指没有事实依据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故意捏造、虚构经营者的违法事实。</w:t>
      </w:r>
    </w:p>
    <w:p w14:paraId="30C8DF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color w:val="auto"/>
          <w:sz w:val="32"/>
          <w:szCs w:val="32"/>
          <w:highlight w:val="none"/>
          <w:lang w:val="en-US" w:eastAsia="zh-CN"/>
        </w:rPr>
        <w:t>第六条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方正仿宋_GBK" w:hAnsi="方正仿宋_GBK" w:eastAsia="方正仿宋_GBK" w:cs="方正仿宋_GBK"/>
          <w:sz w:val="32"/>
          <w:szCs w:val="32"/>
        </w:rPr>
        <w:t>处理</w:t>
      </w:r>
      <w:r>
        <w:rPr>
          <w:rFonts w:hint="eastAsia" w:ascii="方正仿宋_GBK" w:hAnsi="方正仿宋_GBK" w:eastAsia="方正仿宋_GBK" w:cs="方正仿宋_GBK"/>
          <w:sz w:val="32"/>
          <w:szCs w:val="32"/>
          <w:lang w:eastAsia="zh-CN"/>
        </w:rPr>
        <w:t>牟利性</w:t>
      </w:r>
      <w:r>
        <w:rPr>
          <w:rFonts w:hint="eastAsia" w:ascii="方正仿宋_GBK" w:hAnsi="方正仿宋_GBK" w:eastAsia="方正仿宋_GBK" w:cs="方正仿宋_GBK"/>
          <w:sz w:val="32"/>
          <w:szCs w:val="32"/>
        </w:rPr>
        <w:t>职业索赔投诉举报应当区分投诉与举报，按照《市场监督管理投诉举报处理暂行办法》《市场监督管理行政处罚程序规定》等规定的程序分别进行处理。</w:t>
      </w:r>
    </w:p>
    <w:p w14:paraId="712CC6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 xml:space="preserve">第七条 </w:t>
      </w:r>
      <w:r>
        <w:rPr>
          <w:rFonts w:hint="eastAsia" w:ascii="方正仿宋_GBK" w:hAnsi="方正仿宋_GBK" w:eastAsia="方正仿宋_GBK" w:cs="方正仿宋_GBK"/>
          <w:sz w:val="32"/>
          <w:szCs w:val="32"/>
        </w:rPr>
        <w:t>依据《市场监督管理投诉举报处理暂行办法》第十五条规定，对于符合</w:t>
      </w:r>
      <w:r>
        <w:rPr>
          <w:rFonts w:hint="eastAsia" w:ascii="方正仿宋_GBK" w:hAnsi="方正仿宋_GBK" w:eastAsia="方正仿宋_GBK" w:cs="方正仿宋_GBK"/>
          <w:sz w:val="32"/>
          <w:szCs w:val="32"/>
          <w:lang w:eastAsia="zh-CN"/>
        </w:rPr>
        <w:t>本规定第四条情形</w:t>
      </w:r>
      <w:r>
        <w:rPr>
          <w:rFonts w:hint="eastAsia" w:ascii="方正仿宋_GBK" w:hAnsi="方正仿宋_GBK" w:eastAsia="方正仿宋_GBK" w:cs="方正仿宋_GBK"/>
          <w:sz w:val="32"/>
          <w:szCs w:val="32"/>
        </w:rPr>
        <w:t>，可以不予受理。不予受理的，应当在收到投诉之日起七个工作日内将不予受理决定告知投诉人。</w:t>
      </w:r>
    </w:p>
    <w:p w14:paraId="705FC1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第八条</w:t>
      </w:r>
      <w:r>
        <w:rPr>
          <w:rFonts w:hint="eastAsia" w:ascii="Times New Roman" w:hAnsi="Times New Roman" w:eastAsia="方正仿宋_GBK" w:cs="Times New Roman"/>
          <w:color w:val="auto"/>
          <w:sz w:val="32"/>
          <w:szCs w:val="32"/>
          <w:highlight w:val="none"/>
          <w:lang w:val="en-US" w:eastAsia="zh-CN"/>
        </w:rPr>
        <w:t xml:space="preserve"> 针对举报线索进行的核查，经营者违法事实清楚，证据链完整确凿，符合立案条件的，应当予以立案调查。</w:t>
      </w:r>
    </w:p>
    <w:p w14:paraId="5AAECA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查处违法行为应坚持“处罚与教育相结合”“过罚相当”的原则，结合违法原因、违法情节、主观过错、危害程度以及改正情况等因素，合理行使行政处罚裁量权，依法用好警告、责令改正等行政手段。</w:t>
      </w:r>
    </w:p>
    <w:p w14:paraId="6AE89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第九条</w:t>
      </w:r>
      <w:r>
        <w:rPr>
          <w:rFonts w:hint="eastAsia" w:ascii="Times New Roman" w:hAnsi="Times New Roman" w:eastAsia="方正仿宋_GBK" w:cs="Times New Roman"/>
          <w:color w:val="auto"/>
          <w:sz w:val="32"/>
          <w:szCs w:val="32"/>
          <w:highlight w:val="none"/>
          <w:lang w:val="en-US" w:eastAsia="zh-CN"/>
        </w:rPr>
        <w:t xml:space="preserve"> 市场监督管理部门要建立职业索赔投诉举报信息库，并对职业索赔投诉举报信息库进行动态更新和日常维护，及时向相关部门共享信息。</w:t>
      </w:r>
    </w:p>
    <w:p w14:paraId="7E559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第十条</w:t>
      </w:r>
      <w:r>
        <w:rPr>
          <w:rFonts w:hint="eastAsia" w:ascii="Times New Roman" w:hAnsi="Times New Roman" w:eastAsia="方正仿宋_GBK" w:cs="Times New Roman"/>
          <w:color w:val="auto"/>
          <w:sz w:val="32"/>
          <w:szCs w:val="32"/>
          <w:highlight w:val="none"/>
          <w:lang w:val="en-US" w:eastAsia="zh-CN"/>
        </w:rPr>
        <w:t xml:space="preserve"> 对不同姓名举报但共用电话号码、通讯地址等联系方式的，要严格核实其身份信息，可以要求其提交身份证明原件，并可要求当事人到场核实身份；通过有关部门协助核实举报人相关身份信息的，采集和利用信息应当注意保护个人信息和隐私，不得向社会公开发布。</w:t>
      </w:r>
    </w:p>
    <w:p w14:paraId="063B63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第十一条</w:t>
      </w:r>
      <w:r>
        <w:rPr>
          <w:rFonts w:hint="eastAsia" w:ascii="Times New Roman" w:hAnsi="Times New Roman" w:eastAsia="方正仿宋_GBK" w:cs="Times New Roman"/>
          <w:color w:val="auto"/>
          <w:sz w:val="32"/>
          <w:szCs w:val="32"/>
          <w:highlight w:val="none"/>
          <w:lang w:val="en-US" w:eastAsia="zh-CN"/>
        </w:rPr>
        <w:t xml:space="preserve"> 严格适用《市场监管领域重大违法行为举报</w:t>
      </w:r>
    </w:p>
    <w:p w14:paraId="74EB7E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奖励暂行办法》，对职业索赔投诉举报人信息库内举报人提</w:t>
      </w:r>
    </w:p>
    <w:p w14:paraId="2C347E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出的举报，按照相关举报奖励规定从严审核。对被公安机关、</w:t>
      </w:r>
    </w:p>
    <w:p w14:paraId="33F6B6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人民法院确认构成敲诈勒索、诈骗等违法犯罪行为的举报，</w:t>
      </w:r>
    </w:p>
    <w:p w14:paraId="5768F2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不得进行奖励。</w:t>
      </w:r>
    </w:p>
    <w:p w14:paraId="121EC4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第十二条</w:t>
      </w:r>
      <w:r>
        <w:rPr>
          <w:rFonts w:hint="eastAsia" w:ascii="Times New Roman" w:hAnsi="Times New Roman" w:eastAsia="方正仿宋_GBK" w:cs="Times New Roman"/>
          <w:color w:val="auto"/>
          <w:sz w:val="32"/>
          <w:szCs w:val="32"/>
          <w:highlight w:val="none"/>
          <w:lang w:val="en-US" w:eastAsia="zh-CN"/>
        </w:rPr>
        <w:t xml:space="preserve"> 建立市场监管、法院、检察院、公安、司法</w:t>
      </w:r>
    </w:p>
    <w:p w14:paraId="64F4FF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行政、信访、数字化发展（12345政务热线）等多部门联动机制，提高生产者、销售者和服务提供者的产品质量和守法意识，遏制职业索赔投诉举报行为。</w:t>
      </w:r>
    </w:p>
    <w:p w14:paraId="0C741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（一）市场监管部门要审慎判定、及时梳理非法牟利性职业索赔投诉举报件，定期抄送各有关部门，并适时召开联</w:t>
      </w:r>
    </w:p>
    <w:p w14:paraId="3D02A3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席会议，就辖区非法牟利性职业索赔动态进行信息互通、态</w:t>
      </w:r>
    </w:p>
    <w:p w14:paraId="0FB2BC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势研判，形成工作预案和应对策略；要进一步完善和落实行</w:t>
      </w:r>
    </w:p>
    <w:p w14:paraId="2E31D6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政执法和刑事司法工作衔接机制，强化部门协作和信息共享；</w:t>
      </w:r>
    </w:p>
    <w:p w14:paraId="18086C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注重强化对投诉举报的大数据分析，发现和搜集涉嫌违法犯</w:t>
      </w:r>
    </w:p>
    <w:p w14:paraId="19B6FC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罪线索，并按照有关规定及时移送公安等部门处理。</w:t>
      </w:r>
    </w:p>
    <w:p w14:paraId="4C977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（二）人民法院要充分发挥司法职能，区分职业索赔投</w:t>
      </w:r>
    </w:p>
    <w:p w14:paraId="47534C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诉举报人和普通消费者的行为，对非法牟利性职业索赔投诉</w:t>
      </w:r>
    </w:p>
    <w:p w14:paraId="441229E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举报人所提诉讼，经审查属于违反“诚实信用、公序良俗”基本法律原则，扰乱市场经济秩序，浪费公共资源和司法资源的行为，则对其牟利性主张依法不予保护。坚决遏制恶意诉讼行为，发现涉嫌犯罪线索的，依法移交公安部门处理。对受理的案件采取审慎适用惩罚性赔偿规定的审判理念，对“知假买假”一般不适用惩罚性赔偿规定。同时坚持行政处罚不必然导致民事赔偿责任的理念，审慎研判销售者是否明知、是否存在欺诈行为、食品是否有质量问题等重要事实依据，限制职业索赔投诉举报人牟利行为。</w:t>
      </w:r>
    </w:p>
    <w:p w14:paraId="650A73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（三）人民检察院要依法履行法律监督职责。与公安局</w:t>
      </w:r>
    </w:p>
    <w:p w14:paraId="36F0E9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加强侦查监督与协作配合，统一执法司法理念，统一证据认</w:t>
      </w:r>
    </w:p>
    <w:p w14:paraId="254DA7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定标准。对公安机关移送的涉嫌敲诈勒索、诈骗等构成犯罪</w:t>
      </w:r>
    </w:p>
    <w:p w14:paraId="4A8C10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的行为依法开展审查逮捕、审查起诉工作，注重落实宽严相</w:t>
      </w:r>
    </w:p>
    <w:p w14:paraId="43FE15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济的刑事司法政策。在司法办案当中加强对涉及职业打假有</w:t>
      </w:r>
    </w:p>
    <w:p w14:paraId="08D43B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关法律政策问题的收集研究，重在发现漏洞和问题，并积极</w:t>
      </w:r>
    </w:p>
    <w:p w14:paraId="586D44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提出加强立法和完善制度机制的意见建议，促进综合治理水</w:t>
      </w:r>
    </w:p>
    <w:p w14:paraId="3DAAC5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平的提升。</w:t>
      </w:r>
    </w:p>
    <w:p w14:paraId="77773B3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公安部门要依法严厉打击以“打假”为名的敲诈勒索、诈骗、诬告陷害等违法犯罪行为，指导、提醒商家及时搜集、固定相关证据并向公安机关进行举报；接收各部门在处理职业索赔投诉举报人投诉举报过程中发现的违法犯罪线索，迅速开展调查，形成打击恶意索赔行为的高压态势，有效降低非法牟利性职业索赔投诉举报数量。</w:t>
      </w:r>
    </w:p>
    <w:p w14:paraId="0ABF24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（五）司法行政部门要依法履行复议职能。</w:t>
      </w:r>
      <w:r>
        <w:rPr>
          <w:rFonts w:hint="eastAsia" w:ascii="方正仿宋_GBK" w:hAnsi="方正仿宋_GBK" w:eastAsia="方正仿宋_GBK" w:cs="方正仿宋_GBK"/>
          <w:color w:val="auto"/>
          <w:sz w:val="32"/>
          <w:szCs w:val="32"/>
          <w:highlight w:val="none"/>
          <w:lang w:val="en-US" w:eastAsia="zh-CN"/>
        </w:rPr>
        <w:t>对职业索赔人的复议申请，存在下列情形之一的，可以不予受理：</w:t>
      </w:r>
    </w:p>
    <w:p w14:paraId="435B0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1.不是为维护自身合法权益。申请人无证据证明其人身、财产权益因被投诉商品受损，复议目的为迫使经营者赔偿或要换行政机关的。</w:t>
      </w:r>
    </w:p>
    <w:p w14:paraId="6064AB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2.重复申请或无新事实。对同一行政行为重复申请复议，或未提供新证据、新理由的。</w:t>
      </w:r>
    </w:p>
    <w:p w14:paraId="0F47BB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3.主体不适格。申请人被列入职业索赔异常名录，或生效判决已认定其非消费者的。</w:t>
      </w:r>
    </w:p>
    <w:p w14:paraId="7F10B7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4.程序滥用。复议申请内容与投诉举报无关，或故意拆分诉求、提交虚假材料的。</w:t>
      </w:r>
    </w:p>
    <w:p w14:paraId="39D7C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5.其他法定不予受理情形：法律、法规、规章明确规定的其他针对职业索赔、职业举报复议申请不予受理的情形。</w:t>
      </w:r>
    </w:p>
    <w:p w14:paraId="0C179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（六）信访部门要负责收集掌握职业索赔投诉举报人信</w:t>
      </w:r>
    </w:p>
    <w:p w14:paraId="00BA59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访信息，分析研判职业索赔投诉举报人的信访形势；在处理</w:t>
      </w:r>
    </w:p>
    <w:p w14:paraId="671501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群众的各类投诉及诉求请求过程中，对涉及恶意索赔、恶意</w:t>
      </w:r>
    </w:p>
    <w:p w14:paraId="7C2DBC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投诉举报人的诉求，支持行政机关不予受理投诉举报的立场。</w:t>
      </w:r>
    </w:p>
    <w:p w14:paraId="097A03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（七）</w:t>
      </w:r>
      <w:r>
        <w:rPr>
          <w:rFonts w:hint="eastAsia" w:ascii="Times New Roman" w:hAnsi="Times New Roman" w:eastAsia="方正仿宋_GBK" w:cs="Times New Roman"/>
          <w:color w:val="auto"/>
          <w:sz w:val="32"/>
          <w:szCs w:val="32"/>
          <w:highlight w:val="none"/>
          <w:lang w:val="en-US" w:eastAsia="zh-CN"/>
        </w:rPr>
        <w:t>数字化发展部门（12345政务热线）对行政机关依法不予受理恶意索赔、恶意投诉举报人诉求的，予以支持，原则上不纳入满意度测评考核等。</w:t>
      </w:r>
    </w:p>
    <w:p w14:paraId="1E1A6D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第十三条</w:t>
      </w:r>
      <w:r>
        <w:rPr>
          <w:rFonts w:hint="eastAsia" w:ascii="Times New Roman" w:hAnsi="Times New Roman" w:eastAsia="方正仿宋_GBK" w:cs="Times New Roman"/>
          <w:color w:val="auto"/>
          <w:sz w:val="32"/>
          <w:szCs w:val="32"/>
          <w:highlight w:val="none"/>
          <w:lang w:val="en-US" w:eastAsia="zh-CN"/>
        </w:rPr>
        <w:t xml:space="preserve"> 建立异常名录信息共享互通会商机制。市场监管部门与本级纪检监察、人民法院、检察院、公安、司法行政、信访、数字化发展（12345政务热线）等部门建立共享数据信息渠道，定期召开会议，实现异常名录信息以及相关投诉举报、行政处罚工作信息的共享和互通。</w:t>
      </w:r>
    </w:p>
    <w:p w14:paraId="600E57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第十四条</w:t>
      </w:r>
      <w:r>
        <w:rPr>
          <w:rFonts w:hint="eastAsia" w:ascii="Times New Roman" w:hAnsi="Times New Roman" w:eastAsia="方正仿宋_GBK" w:cs="Times New Roman"/>
          <w:color w:val="auto"/>
          <w:sz w:val="32"/>
          <w:szCs w:val="32"/>
          <w:highlight w:val="none"/>
          <w:lang w:val="en-US" w:eastAsia="zh-CN"/>
        </w:rPr>
        <w:t xml:space="preserve"> 建立健全遏制职业索赔投诉举报行为处理的</w:t>
      </w:r>
    </w:p>
    <w:p w14:paraId="7D54A9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容错机制。对市场监督管理部门涉及投诉举报复议案件中的</w:t>
      </w:r>
    </w:p>
    <w:p w14:paraId="7711A8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新类型、改革探索性案件以及因制度设计等原因发生纠错的</w:t>
      </w:r>
    </w:p>
    <w:p w14:paraId="050858B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案件以及满意度测评存在问题的情况，如能提供合理的解释</w:t>
      </w:r>
    </w:p>
    <w:p w14:paraId="1D20CD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和相关材料，不纳入纠错考核机制和投诉举报异常处理或者满意度测评考核等，以鼓励市场监督管理部门积极履职，勇于担当作为。市场监督管理部门要加强与各级纪检监察、人民法院、检察院、公安、司法行政、信访、数字化发展（12345政务热线）等部门的沟通，上述部门应当给予理解和支持。</w:t>
      </w:r>
    </w:p>
    <w:p w14:paraId="27D348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第十五条</w:t>
      </w:r>
      <w:r>
        <w:rPr>
          <w:rFonts w:hint="eastAsia" w:ascii="Times New Roman" w:hAnsi="Times New Roman" w:eastAsia="方正仿宋_GBK" w:cs="Times New Roman"/>
          <w:color w:val="auto"/>
          <w:sz w:val="32"/>
          <w:szCs w:val="32"/>
          <w:highlight w:val="none"/>
          <w:lang w:val="en-US" w:eastAsia="zh-CN"/>
        </w:rPr>
        <w:t xml:space="preserve"> 法律、法规、规章和上级规范性文件对本规</w:t>
      </w:r>
    </w:p>
    <w:p w14:paraId="49E1BB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定内容有其他规定的，从其规定。</w:t>
      </w:r>
    </w:p>
    <w:p w14:paraId="3DD2F78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第十六条</w:t>
      </w:r>
      <w:r>
        <w:rPr>
          <w:rFonts w:hint="eastAsia" w:ascii="Times New Roman" w:hAnsi="Times New Roman" w:eastAsia="方正仿宋_GBK" w:cs="Times New Roman"/>
          <w:color w:val="auto"/>
          <w:sz w:val="32"/>
          <w:szCs w:val="32"/>
          <w:highlight w:val="none"/>
          <w:lang w:val="en-US" w:eastAsia="zh-CN"/>
        </w:rPr>
        <w:t xml:space="preserve"> 本规定自年月日起施行，有效期至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EEFF">
    <w:pPr>
      <w:pStyle w:val="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286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9286A1">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65F0B"/>
    <w:multiLevelType w:val="singleLevel"/>
    <w:tmpl w:val="13665F0B"/>
    <w:lvl w:ilvl="0" w:tentative="0">
      <w:start w:val="1"/>
      <w:numFmt w:val="chineseCounting"/>
      <w:suff w:val="nothing"/>
      <w:lvlText w:val="（%1）"/>
      <w:lvlJc w:val="left"/>
      <w:rPr>
        <w:rFonts w:hint="eastAsia"/>
      </w:rPr>
    </w:lvl>
  </w:abstractNum>
  <w:abstractNum w:abstractNumId="1">
    <w:nsid w:val="412CBC61"/>
    <w:multiLevelType w:val="singleLevel"/>
    <w:tmpl w:val="412CBC6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D617A"/>
    <w:rsid w:val="05D75947"/>
    <w:rsid w:val="0BD275D8"/>
    <w:rsid w:val="0D912B49"/>
    <w:rsid w:val="0FF4588D"/>
    <w:rsid w:val="10313CF7"/>
    <w:rsid w:val="1084098E"/>
    <w:rsid w:val="1372348F"/>
    <w:rsid w:val="13A740BB"/>
    <w:rsid w:val="19384AA6"/>
    <w:rsid w:val="19861DD0"/>
    <w:rsid w:val="1D505927"/>
    <w:rsid w:val="29606AF1"/>
    <w:rsid w:val="2AB21FD5"/>
    <w:rsid w:val="2C4D382E"/>
    <w:rsid w:val="30FC3F6A"/>
    <w:rsid w:val="321E7EC3"/>
    <w:rsid w:val="328D5FBB"/>
    <w:rsid w:val="33887655"/>
    <w:rsid w:val="34D33FAC"/>
    <w:rsid w:val="369E4EAA"/>
    <w:rsid w:val="37A06A0E"/>
    <w:rsid w:val="38746025"/>
    <w:rsid w:val="3969033D"/>
    <w:rsid w:val="3A7B3F01"/>
    <w:rsid w:val="41D837C1"/>
    <w:rsid w:val="42902324"/>
    <w:rsid w:val="44870E2B"/>
    <w:rsid w:val="45B84FC6"/>
    <w:rsid w:val="47392C25"/>
    <w:rsid w:val="47542FC8"/>
    <w:rsid w:val="47577AA4"/>
    <w:rsid w:val="47F81765"/>
    <w:rsid w:val="4C0A0A4C"/>
    <w:rsid w:val="4C9B786A"/>
    <w:rsid w:val="4D3A4AD6"/>
    <w:rsid w:val="4DD52F8E"/>
    <w:rsid w:val="4E8F0D98"/>
    <w:rsid w:val="4FCE6B88"/>
    <w:rsid w:val="50592314"/>
    <w:rsid w:val="50FD7F3A"/>
    <w:rsid w:val="519B76FF"/>
    <w:rsid w:val="53462A66"/>
    <w:rsid w:val="53966D85"/>
    <w:rsid w:val="551E6B2A"/>
    <w:rsid w:val="554100EE"/>
    <w:rsid w:val="55974979"/>
    <w:rsid w:val="56B3216E"/>
    <w:rsid w:val="57E767C7"/>
    <w:rsid w:val="59701AD5"/>
    <w:rsid w:val="5A574194"/>
    <w:rsid w:val="605E26A9"/>
    <w:rsid w:val="60BF415F"/>
    <w:rsid w:val="625A0BAB"/>
    <w:rsid w:val="62D721F5"/>
    <w:rsid w:val="652E553F"/>
    <w:rsid w:val="65882ACF"/>
    <w:rsid w:val="664842EC"/>
    <w:rsid w:val="6F161201"/>
    <w:rsid w:val="750C70AA"/>
    <w:rsid w:val="766E17DB"/>
    <w:rsid w:val="76EE6E42"/>
    <w:rsid w:val="771D3258"/>
    <w:rsid w:val="783543FE"/>
    <w:rsid w:val="7A9069CE"/>
    <w:rsid w:val="7A9B16AE"/>
    <w:rsid w:val="7B14377D"/>
    <w:rsid w:val="7BCB31C0"/>
    <w:rsid w:val="7C4A5F08"/>
    <w:rsid w:val="7C4D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2025-10-21T09:27:00Z</dcterms:created>
  <dc:creator>Administrator</dc:creator>
  <cp:lastModifiedBy>Administrator</cp:lastModifiedBy>
  <cp:lastPrinted>2025-11-07T07:24:00Z</cp:lastPrinted>
  <dcterms:modified xsi:type="dcterms:W3CDTF">2025-11-07T11:18:24Z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0FE4A41589A2476185993B60DF17C75C_13</vt:lpwstr>
  </property>
</Properties>
</file>