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B6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  <w:shd w:val="solid" w:color="FFFFFF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shd w:val="solid" w:color="FFFFFF" w:fill="FFFFFF"/>
        </w:rPr>
        <w:t>附件</w:t>
      </w:r>
      <w:r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  <w:shd w:val="solid" w:color="FFFFFF" w:fill="FFFFFF"/>
        </w:rPr>
        <w:t>2</w:t>
      </w:r>
      <w:bookmarkStart w:id="0" w:name="_GoBack"/>
      <w:bookmarkEnd w:id="0"/>
    </w:p>
    <w:p w14:paraId="08E72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65CBF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乌鲁木齐市校园食品安全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双向移交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工作办法</w:t>
      </w:r>
    </w:p>
    <w:p w14:paraId="29E2A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ascii="方正小标宋_GBK" w:hAnsi="方正小标宋_GBK" w:eastAsia="方正小标宋_GBK" w:cs="方正小标宋_GBK"/>
          <w:sz w:val="44"/>
          <w:szCs w:val="44"/>
          <w:lang w:eastAsia="zh-CN"/>
        </w:rPr>
        <w:t>（试行）</w:t>
      </w:r>
    </w:p>
    <w:p w14:paraId="315EB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0780A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val="en-US" w:eastAsia="zh-CN"/>
        </w:rPr>
        <w:t>第一条</w:t>
      </w:r>
      <w:r>
        <w:rPr>
          <w:rFonts w:ascii="Lucida Sans" w:hAnsi="方正仿宋_GBK" w:eastAsia="方正仿宋_GBK" w:cs="方正仿宋_GBK"/>
          <w:color w:val="000000"/>
          <w:sz w:val="32"/>
          <w:szCs w:val="32"/>
          <w:shd w:val="solid" w:color="FFFFFF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val="en-US" w:eastAsia="zh-CN"/>
        </w:rPr>
        <w:t>为了推动校园食品安全闭环管理，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</w:rPr>
        <w:t>加强行业主管、部门监管单位之间的沟通联络，督促落实校园食品安全行业主管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>部门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</w:rPr>
        <w:t>责任、学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>校和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</w:rPr>
        <w:t>校外供餐单位主体责任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</w:rPr>
        <w:t>部门监管责任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</w:rPr>
        <w:t>有效防范和化解系统性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</w:rPr>
        <w:t>区域性风险隐患，保障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>全市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</w:rPr>
        <w:t>师生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>舌尖上的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</w:rPr>
        <w:t>安全，制定本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>办法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</w:rPr>
        <w:t>。</w:t>
      </w:r>
    </w:p>
    <w:p w14:paraId="0AA92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val="en-US" w:eastAsia="zh-CN"/>
        </w:rPr>
        <w:t>第二条</w:t>
      </w:r>
      <w:r>
        <w:rPr>
          <w:rFonts w:ascii="Lucida Sans" w:hAnsi="方正仿宋_GBK" w:eastAsia="方正仿宋_GBK" w:cs="方正仿宋_GBK"/>
          <w:color w:val="000000"/>
          <w:sz w:val="32"/>
          <w:szCs w:val="32"/>
          <w:shd w:val="solid" w:color="FFFFFF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val="en-US" w:eastAsia="zh-CN"/>
        </w:rPr>
        <w:t>各区（县）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</w:rPr>
        <w:t>教育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>局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</w:rPr>
        <w:t>将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>学校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>食堂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>、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>配餐学校及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</w:rPr>
        <w:t>大宗食材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>供应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>商相关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</w:rPr>
        <w:t>信息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</w:rPr>
        <w:t>师生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>家长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</w:rPr>
        <w:t>投诉举报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>食品安全风险研判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</w:rPr>
        <w:t>及整改落实情况等数据同步动态移交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>市教育局和辖区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</w:rPr>
        <w:t>市场监管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>局，市教育局汇总后移交市市场监管局。</w:t>
      </w:r>
    </w:p>
    <w:p w14:paraId="0CA2E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val="en-US" w:eastAsia="zh-CN"/>
        </w:rPr>
        <w:t>第三条</w:t>
      </w:r>
      <w:r>
        <w:rPr>
          <w:rFonts w:ascii="Lucida Sans" w:hAnsi="方正仿宋_GBK" w:eastAsia="方正仿宋_GBK" w:cs="方正仿宋_GBK"/>
          <w:color w:val="000000"/>
          <w:sz w:val="32"/>
          <w:szCs w:val="32"/>
          <w:shd w:val="solid" w:color="FFFFFF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</w:rPr>
        <w:t>市场监管部门将学校食堂许可信息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  <w:shd w:val="solid" w:color="FFFFFF" w:fill="FFFFFF"/>
        </w:rPr>
        <w:t>学校食堂、校外供餐单位及大宗食材供货商被监督检查、监督抽检、行政处罚、信用监管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</w:rPr>
        <w:t>及抽检不合格情况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  <w:shd w:val="solid" w:color="FFFFFF" w:fill="FFFFFF"/>
        </w:rPr>
        <w:t>等相关信息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  <w:shd w:val="solid" w:color="FFFFFF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>不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</w:rPr>
        <w:t>定期通报教育行政部门‌。</w:t>
      </w:r>
    </w:p>
    <w:p w14:paraId="040E6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>第四条</w:t>
      </w:r>
      <w:r>
        <w:rPr>
          <w:rFonts w:ascii="Lucida Sans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val="en-US" w:eastAsia="zh-CN"/>
        </w:rPr>
        <w:t>教育部门加强与属地市场监管部门的协同配合，将工作中发现的学校食堂、校外供餐单位等存在经营管理、食材质量等方面问题，及时通报市场监管部门，做好食品安全日常管理。</w:t>
      </w:r>
    </w:p>
    <w:p w14:paraId="27415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>第五条</w:t>
      </w:r>
      <w:r>
        <w:rPr>
          <w:rFonts w:ascii="Lucida Sans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>学校严格落实供餐单位评价和退出机制，对落实主体责任不到位或发生食品安全事故的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>劳务服务商、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>校外供餐单位，及时终止合同（或协议），并向属地教育行政部门和市场监管部门报告。</w:t>
      </w:r>
    </w:p>
    <w:p w14:paraId="25460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>第六条</w:t>
      </w:r>
      <w:r>
        <w:rPr>
          <w:rFonts w:ascii="Lucida Sans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>供餐单位发现有食品安全事故潜在风险的，应当提出停止相关餐饮服务活动等否决建议，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>并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>立即分析研判，采取处置措施，消除风险隐患。有发生食品安全事故风险的，供餐单位应当立即停止餐饮服务活动，如实告之配餐学校，并向所在地县级市场监管部门报告。</w:t>
      </w:r>
    </w:p>
    <w:p w14:paraId="1046C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>第七条</w:t>
      </w:r>
      <w:r>
        <w:rPr>
          <w:rFonts w:ascii="Lucida Sans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>学校、幼儿园食品安全实行校长（园长）负责制，加强学校自营食堂食品安全主体责任落实，定期组织开展食品安全隐患排查，加强校园食品安全经营行为管理，有发生食品安全事故潜在风险的，应当停止餐饮服务活动，并向所在地县级市场监管部门报告。</w:t>
      </w:r>
    </w:p>
    <w:p w14:paraId="33F26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val="en-US" w:eastAsia="zh-CN"/>
        </w:rPr>
        <w:t>第八条</w:t>
      </w:r>
      <w:r>
        <w:rPr>
          <w:rFonts w:ascii="Lucida Sans" w:hAnsi="方正仿宋_GBK" w:eastAsia="方正仿宋_GBK" w:cs="方正仿宋_GBK"/>
          <w:color w:val="000000"/>
          <w:sz w:val="32"/>
          <w:szCs w:val="32"/>
          <w:shd w:val="solid" w:color="FFFFFF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</w:rPr>
        <w:t>学校应定期查看校外供餐单位食品加工制作、食材贮存、环境卫生等关键环节管理情况，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>按照要求对订购食品进行认真查验，发现食品安全问题的，应当立即停止供餐，并要求供餐单位整改消除安全隐患，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</w:rPr>
        <w:t>对发现有违反食品安全法律法规等行为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>符合清退要求的，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</w:rPr>
        <w:t>要及时启动清退机制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>，并通报教育行业主管部门和属地市场监管部门。</w:t>
      </w:r>
    </w:p>
    <w:p w14:paraId="1EC93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>第九条</w:t>
      </w:r>
      <w:r>
        <w:rPr>
          <w:rFonts w:ascii="Lucida Sans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>学校发现学生吃出异物、食物未烧熟煮透等具有食品安全风险隐患，第一时间核实情况，拍照记录，通报属地市场监管部门处理。</w:t>
      </w:r>
    </w:p>
    <w:p w14:paraId="1E6AC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>第十条</w:t>
      </w:r>
      <w:r>
        <w:rPr>
          <w:rFonts w:ascii="Lucida Sans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</w:rPr>
        <w:t>市场监管部门原则上在春秋两季开学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>后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</w:rPr>
        <w:t>联合检查完毕后，将校园食品行政处罚案件台账反馈至市教育局，教育部门履行行业主管部门职责，督促学校及时整改。如果特殊情况也可根据实际情况及时进行反馈。</w:t>
      </w:r>
    </w:p>
    <w:p w14:paraId="36B6E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>第十一条</w:t>
      </w:r>
      <w:r>
        <w:rPr>
          <w:rFonts w:ascii="Lucida Sans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eastAsia="zh-CN"/>
        </w:rPr>
        <w:t>加强校园食品安全风险会商，原则上一年两次，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</w:rPr>
        <w:t>遇有校园食品安全风险或紧急情况，可临时召集会商。参加会商的各相关部门亦可向市食安办提出召集会商会。可根据分析研判内容邀请其他部门技术机构专家等参加会商，提供意见。</w:t>
      </w:r>
    </w:p>
    <w:p w14:paraId="1196B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</w:rPr>
      </w:pPr>
    </w:p>
    <w:p w14:paraId="1D262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</w:rPr>
      </w:pPr>
    </w:p>
    <w:p w14:paraId="56A4F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</w:rPr>
      </w:pPr>
    </w:p>
    <w:p w14:paraId="024EF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val="en-US" w:eastAsia="zh-CN"/>
        </w:rPr>
      </w:pPr>
      <w:r>
        <w:rPr>
          <w:rFonts w:ascii="Lucida Sans" w:hAnsi="方正仿宋_GBK" w:eastAsia="方正仿宋_GBK" w:cs="方正仿宋_GBK"/>
          <w:color w:val="000000"/>
          <w:sz w:val="32"/>
          <w:szCs w:val="32"/>
          <w:shd w:val="solid" w:color="FFFFFF" w:fill="FFFFFF"/>
          <w:lang w:val="en-US" w:eastAsia="zh-CN"/>
        </w:rPr>
        <w:t xml:space="preserve"> </w:t>
      </w:r>
    </w:p>
    <w:p w14:paraId="7A391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ascii="方正仿宋_GBK" w:hAnsi="方正仿宋_GBK" w:eastAsia="方正仿宋_GBK" w:cs="方正仿宋_GBK"/>
          <w:color w:val="000000"/>
          <w:sz w:val="32"/>
          <w:szCs w:val="32"/>
          <w:shd w:val="solid" w:color="FFFFFF" w:fill="FFFFFF"/>
          <w:lang w:val="en-US" w:eastAsia="zh-CN"/>
        </w:rPr>
      </w:pPr>
    </w:p>
    <w:p w14:paraId="0AAE52E8">
      <w:pPr>
        <w:rPr>
          <w:color w:val="000000"/>
          <w:shd w:val="solid" w:color="FFFFFF" w:fill="FFFFFF"/>
        </w:rPr>
      </w:pPr>
    </w:p>
    <w:p w14:paraId="22B4E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/>
        <w:jc w:val="left"/>
        <w:rPr>
          <w:rFonts w:ascii="Times New Roman" w:hAnsi="Times New Roman" w:eastAsia="方正仿宋_GBK" w:cs="Times New Roman"/>
          <w:color w:val="000000"/>
          <w:sz w:val="32"/>
          <w:szCs w:val="32"/>
          <w:shd w:val="solid" w:color="D9D9D9" w:fill="FFFFFF"/>
        </w:rPr>
      </w:pPr>
    </w:p>
    <w:p w14:paraId="75CC8C27"/>
    <w:sectPr>
      <w:footerReference r:id="rId3" w:type="default"/>
      <w:pgSz w:w="11901" w:h="16840"/>
      <w:pgMar w:top="2098" w:right="1531" w:bottom="1985" w:left="1531" w:header="851" w:footer="992" w:gutter="0"/>
      <w:pgNumType w:fmt="numberInDash" w:start="1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9F7FD">
    <w:pPr>
      <w:pStyle w:val="2"/>
      <w:framePr w:wrap="around" w:vAnchor="text" w:hAnchor="page" w:x="1001" w:y="-2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5"/>
      </w:rPr>
      <w:t xml:space="preserve"> </w:t>
    </w:r>
  </w:p>
  <w:p w14:paraId="3C08EA4D">
    <w:pPr>
      <w:pStyle w:val="2"/>
      <w:ind w:right="360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hint="eastAsia" w:ascii="Times New Roman" w:hAnsi="Times New Roman"/>
        <w:sz w:val="28"/>
        <w:szCs w:val="28"/>
      </w:rPr>
      <w:t>— 1 —</w:t>
    </w:r>
    <w:r>
      <w:rPr>
        <w:rFonts w:ascii="Times New Roman" w:hAnsi="Times New Roman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1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2025-12-19T05:11:13Z</dcterms:created>
  <dc:creator>admin</dc:creator>
  <cp:lastModifiedBy>AYNUR</cp:lastModifiedBy>
  <dcterms:modified xsi:type="dcterms:W3CDTF">2025-12-19T05:12:31Z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eyJoZGlkIjoiNjYyZTg3M2NhZDkzYTY5YWM3YzZkYzE2NTQzODRhNjQiLCJ1c2VySWQiOiIzNTg2NDgyMzgifQ==</vt:lpwstr>
  </property>
  <property fmtid="{D5CDD505-2E9C-101B-9397-08002B2CF9AE}" pid="4" name="ICV">
    <vt:lpwstr>D20E9FACEC8443FAA1CD888722EFD024_12</vt:lpwstr>
  </property>
</Properties>
</file>