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《乌鲁木齐市水土保持规划（2018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—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2030年）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修编》起草说明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基本情况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根据水利部《关于开展全国水土保持规划编制工作的通知》（水规计〔2011〕224号）文件精神，2019年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市水务局完成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《乌鲁木齐市水土保持规划（2018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2030年）》（以下简称《规划》）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编制工作，同年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10月获市人民政府批准。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《规划》批复执行已近6年，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随着城区不断发展建设，辖区范围不断扩展，部分土地类型发生改变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部分治理项目区中荒地、裸土地转为农业或建设用地，已不具备实施条件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。为适应乌鲁木齐水土保持工作的新变化和新要求，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结合自治区水利厅</w:t>
      </w:r>
      <w:r>
        <w:rPr>
          <w:rFonts w:hint="default" w:ascii="Times New Roman" w:hAnsi="Times New Roman" w:eastAsia="方正仿宋_GBK" w:cs="Times New Roman"/>
          <w:color w:val="auto"/>
          <w:spacing w:val="-3"/>
          <w:sz w:val="32"/>
          <w:szCs w:val="32"/>
          <w:highlight w:val="none"/>
          <w:lang w:val="en-US" w:eastAsia="zh-CN"/>
        </w:rPr>
        <w:t>下达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我市治理面积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目标任务，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市水务局启动了《规划》修编工作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本次修编对我市后期水土保持工作各阶段目标值予以细化，落实各区（县）的治理任务与责任，同时依照中期评估标准对治理项目进行总结、梳理与优化调整。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" w:eastAsia="zh-CN" w:bidi="ar-SA"/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起草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" w:eastAsia="zh-CN"/>
        </w:rPr>
        <w:t>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（一）初稿编制阶段。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2024年6月底完成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《规划》修编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征求意见稿初步编制，并邀请5名自治区水土保持专家进行技术审查。7月起向原《规划》列入项目的实施部门两次核对完成情况，并将修改稿向5名专家逐一反馈、征询意见建议，12月底专家一致通过。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（二）初次征询阶段。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根据专家审查意见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修改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、补充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后，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向市发展和改革委员会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市林业和草原局（园林管理局）、市农业农村局、市财政局、市生态环境局、市自然资源局、米东区、经济技术开发区（头屯河区）、高新区（新市区）、天山区、沙依巴克区、水磨沟区、乌鲁木齐县、达坂城区等14家部门单位征求两轮次意见建议，根据反馈意见对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《规划》修编方案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再次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进行修改、补充。2025年5月底通过了市司法局合法性审查及市政府研究室审核。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（三）履行</w:t>
      </w:r>
      <w:r>
        <w:rPr>
          <w:rFonts w:hint="default" w:ascii="Times New Roman" w:hAnsi="Times New Roman" w:eastAsia="方正楷体_GBK" w:cs="Times New Roman"/>
          <w:spacing w:val="-3"/>
          <w:sz w:val="32"/>
          <w:szCs w:val="32"/>
          <w:lang w:val="en-US" w:eastAsia="zh-CN"/>
        </w:rPr>
        <w:t>重大行政决策事项程序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2025年6月，经与市司法局对接，将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《规划》修编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方案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列入我市2025年度重大行政决策事项目录，并按照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《重大行政决策程序暂行条例》《新疆维吾尔自治区重大行政决策程序规定》要求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履行相关程序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textAlignment w:val="baseline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（四）再次征询阶段。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2025年7月，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我局再次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对《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规划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》修编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方案内容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进行修改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完善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，并征求各部门及专家意见，各方均同意修改后的《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规划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》修编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方案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三、原《规划》中期评估情况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rightChars="0" w:firstLine="640" w:firstLineChars="200"/>
        <w:textAlignment w:val="baseline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原《规划》2018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lang w:val="en-US" w:eastAsia="zh-CN"/>
        </w:rPr>
        <w:t>计划实施21个治理项目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已实施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highlight w:val="none"/>
          <w:lang w:val="en-US" w:eastAsia="zh-CN"/>
        </w:rPr>
        <w:t>完成1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highlight w:val="none"/>
          <w:lang w:val="en-US" w:eastAsia="zh-CN"/>
        </w:rPr>
        <w:t>个项目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完成率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71.4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；全市水土流失面积减少309.23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  <w:lang w:val="en-US" w:eastAsia="zh-CN"/>
        </w:rPr>
        <w:t>km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  <w:vertAlign w:val="superscript"/>
          <w:lang w:val="en-US" w:eastAsia="zh-CN"/>
        </w:rPr>
        <w:t xml:space="preserve"> 2</w:t>
      </w:r>
      <w:r>
        <w:rPr>
          <w:rFonts w:hint="default" w:ascii="Times New Roman" w:hAnsi="Times New Roman" w:eastAsia="方正仿宋_GBK" w:cs="Times New Roman"/>
          <w:b w:val="0"/>
          <w:bCs w:val="0"/>
          <w:spacing w:val="-11"/>
          <w:sz w:val="32"/>
          <w:szCs w:val="32"/>
          <w:vertAlign w:val="baseli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根据《新疆维吾尔自治区乌鲁木齐市202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年度水土流失动态监测年报》数据，我市202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年水土保持率为47.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%，提前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完成自治区水利厅下达的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阶段目标值任务（47.29%）。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、修编主要内容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lang w:val="en-US" w:eastAsia="zh-CN"/>
        </w:rPr>
        <w:t>规划</w:t>
      </w: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lang w:val="en-US" w:eastAsia="zh-CN"/>
        </w:rPr>
        <w:t>基准年，近、远期规划年进行</w:t>
      </w:r>
      <w:r>
        <w:rPr>
          <w:rFonts w:hint="default" w:ascii="Times New Roman" w:hAnsi="Times New Roman" w:eastAsia="方正楷体_GBK" w:cs="Times New Roman"/>
          <w:b w:val="0"/>
          <w:bCs w:val="0"/>
          <w:spacing w:val="0"/>
          <w:sz w:val="32"/>
          <w:szCs w:val="32"/>
          <w:lang w:val="en-US" w:eastAsia="zh-CN"/>
        </w:rPr>
        <w:t>调整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vertAlign w:val="baseline"/>
          <w:lang w:val="en-US" w:eastAsia="zh-CN"/>
        </w:rPr>
        <w:t>《规划》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基准年为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2018年，近期为2018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2020年，远期为2021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2030年。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本次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kern w:val="2"/>
          <w:sz w:val="32"/>
          <w:szCs w:val="32"/>
          <w:lang w:val="en-US" w:eastAsia="zh-CN" w:bidi="ar-SA"/>
        </w:rPr>
        <w:t>修编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kern w:val="2"/>
          <w:sz w:val="32"/>
          <w:szCs w:val="32"/>
          <w:lang w:val="en-US" w:eastAsia="zh-CN" w:bidi="ar-SA"/>
        </w:rPr>
        <w:t>确定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基准年为2022年，近期为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2024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年，远期为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2026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2030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年。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1．修编后基准年的确定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2023年8月启动《规划》修编工作，为确保基础资料年度完整性，确定基准年为2022年。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2．近、远期规划年的确定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根据2022年自治区水利厅《关于印发水土保持率阶段目标值与远期目标值的通知》要求，我市水土流失治理任务分为2021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2025年、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2026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2030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年两个阶段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。为与水利厅下达的水土流失治理阶段任务相衔接，本次修编确定近期规划年为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2024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年，远期规划年为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2026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2030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规划目标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调整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因原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《规划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2019年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获批时，自治区未下达治理任务（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治理面积、水土保持率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）指标。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根据2024年12月自治区水利厅《关于优化调整我区水土保持率阶段目标值与远期目标值的通知》要求，本次修编明确各阶段治理任务，并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与水利厅下达目标保持一致，确定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近期水土流失治理面积为45.33km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vertAlign w:val="superscript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，水土保持率达到47.45%；远期水土流失治理面积为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674.90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km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vertAlign w:val="superscript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水土保持率达到52.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rightChars="0"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水土保持治理项目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调整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rightChars="0" w:firstLine="628" w:firstLineChars="200"/>
        <w:textAlignment w:val="auto"/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《规划》共列入48个项目，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已实施完成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个项目、不具备实施条件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个项目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，共计31个项目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予以调减。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本次修编共列入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个项目，其中近期2个，远期1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  <w:highlight w:val="none"/>
          <w:lang w:val="en-US" w:eastAsia="zh-CN"/>
        </w:rPr>
        <w:t>个，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计划总投资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19315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、规划结论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．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水土保持分区及总体布局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乌鲁木齐市共划分为9个市级水土保持分区：1.南部山区生态保育区；2.艾维尔沟生态建设区；3.南部山前平原土壤保持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生态建设区；4.东部山区生态保育区；5.东部山前平原农田防护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生态建设区；6.中部平原人居环境维护区；7.北部平原农田防护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生态建设区；8.北部丘陵土壤保持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生态建设区；9.北部荒漠防风固沙生态恢复区。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．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规划措施及实施进度安排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（1）近期（2024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2025年）：实施2个项目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（1个已实施，1个正在实施）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，治理面积45.33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km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vertAlign w:val="superscript"/>
          <w:lang w:val="en-US" w:eastAsia="zh-CN"/>
        </w:rPr>
        <w:t xml:space="preserve"> 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水土保持率达到47.45%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（2）远期（2026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2030年）：计划实施1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个项目，治理面积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674.90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km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vertAlign w:val="superscript"/>
          <w:lang w:val="en-US" w:eastAsia="zh-CN"/>
        </w:rPr>
        <w:t xml:space="preserve"> 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，水土保持率达到52.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．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投资匡（估）算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本次《规划》修编后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水土保持总投资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19315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万元，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包括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：近期重点预防项目610万元，远期重点治理项目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17632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万元，水土保持监测844万元，水土保持监督管理100万元，其他费用129万元。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．</w:t>
      </w: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效益分析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本次《规划》修编实施后，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乌鲁木齐市每年可减少土壤流失量11万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t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，年蓄水保水量1.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79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，水土保持效益显著。2025年水土保持率可达到47.45%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2030年水土保持率可达到52.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35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%，水土保持状况良好。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D6443"/>
    <w:rsid w:val="27EA1908"/>
    <w:rsid w:val="29C155BE"/>
    <w:rsid w:val="77642DF8"/>
    <w:rsid w:val="7916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unhideWhenUsed/>
    <w:qFormat/>
    <w:uiPriority w:val="99"/>
    <w:pPr>
      <w:ind w:left="200" w:hanging="200" w:hangingChars="200"/>
    </w:pPr>
  </w:style>
  <w:style w:type="paragraph" w:customStyle="1" w:styleId="5">
    <w:name w:val="UserStyle_0"/>
    <w:basedOn w:val="1"/>
    <w:qFormat/>
    <w:uiPriority w:val="0"/>
    <w:pPr>
      <w:ind w:right="960"/>
      <w:jc w:val="both"/>
      <w:textAlignment w:val="baseline"/>
    </w:pPr>
    <w:rPr>
      <w:rFonts w:ascii="Times New Roman" w:hAnsi="Times New Roman" w:eastAsia="仿宋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2025-11-18T10:54:00Z</dcterms:created>
  <dc:creator>Administrator</dc:creator>
  <cp:lastModifiedBy>Administrator</cp:lastModifiedBy>
  <dcterms:modified xsi:type="dcterms:W3CDTF">2025-11-19T09:59:20Z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5BF6B7E23F014AC99B5457479167B8D4_13</vt:lpwstr>
  </property>
</Properties>
</file>