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097C7">
      <w:pPr>
        <w:pStyle w:val="6"/>
        <w:rPr>
          <w:rFonts w:hint="eastAsia" w:eastAsia="宋体"/>
          <w:lang w:eastAsia="zh-CN"/>
        </w:rPr>
      </w:pPr>
    </w:p>
    <w:p w14:paraId="10D287BF">
      <w:pPr>
        <w:spacing w:line="550" w:lineRule="exact"/>
        <w:jc w:val="center"/>
        <w:rPr>
          <w:rFonts w:ascii="Times New Roman" w:hAnsi="Times New Roman" w:eastAsia="方正小标宋_GBK"/>
          <w:sz w:val="44"/>
          <w:szCs w:val="44"/>
        </w:rPr>
      </w:pPr>
      <w:r>
        <w:rPr>
          <w:rFonts w:hint="eastAsia" w:ascii="Times New Roman" w:hAnsi="Times New Roman" w:eastAsia="方正小标宋_GBK"/>
          <w:sz w:val="44"/>
          <w:szCs w:val="44"/>
        </w:rPr>
        <w:t>《关于乌鲁木齐市调整禁止使用高排放非道路移动机械区域的通告》编制说明</w:t>
      </w:r>
    </w:p>
    <w:p w14:paraId="10F061AD">
      <w:pPr>
        <w:pStyle w:val="13"/>
        <w:spacing w:line="560" w:lineRule="exact"/>
        <w:rPr>
          <w:rFonts w:ascii="Times New Roman" w:hAnsi="Times New Roman" w:eastAsia="方正黑体_GBK"/>
          <w:sz w:val="32"/>
          <w:szCs w:val="32"/>
        </w:rPr>
      </w:pPr>
    </w:p>
    <w:p w14:paraId="43BF0FB4">
      <w:pPr>
        <w:pStyle w:val="13"/>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一、编制背景</w:t>
      </w:r>
      <w:r>
        <w:rPr>
          <w:rFonts w:hint="default" w:ascii="Times New Roman" w:hAnsi="Times New Roman" w:eastAsia="方正黑体_GBK" w:cs="Times New Roman"/>
          <w:sz w:val="32"/>
          <w:szCs w:val="32"/>
          <w:lang w:eastAsia="zh-CN"/>
        </w:rPr>
        <w:t>、</w:t>
      </w:r>
      <w:r>
        <w:rPr>
          <w:rFonts w:hint="default" w:ascii="Times New Roman" w:hAnsi="Times New Roman" w:eastAsia="方正黑体_GBK" w:cs="Times New Roman"/>
          <w:sz w:val="32"/>
          <w:szCs w:val="32"/>
          <w:lang w:val="en-US" w:eastAsia="zh-CN"/>
        </w:rPr>
        <w:t>必要性</w:t>
      </w:r>
      <w:r>
        <w:rPr>
          <w:rFonts w:hint="default" w:ascii="Times New Roman" w:hAnsi="Times New Roman" w:eastAsia="方正黑体_GBK" w:cs="Times New Roman"/>
          <w:sz w:val="32"/>
          <w:szCs w:val="32"/>
        </w:rPr>
        <w:t>及依据</w:t>
      </w:r>
    </w:p>
    <w:p w14:paraId="7150050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方正楷体_GBK" w:cs="Times New Roman"/>
          <w:sz w:val="32"/>
          <w:lang w:bidi="zh-TW"/>
        </w:rPr>
      </w:pPr>
      <w:r>
        <w:rPr>
          <w:rFonts w:hint="default" w:ascii="Times New Roman" w:hAnsi="Times New Roman" w:eastAsia="方正楷体_GBK" w:cs="Times New Roman"/>
          <w:sz w:val="32"/>
          <w:lang w:val="zh-TW" w:bidi="zh-TW"/>
        </w:rPr>
        <w:t>（</w:t>
      </w:r>
      <w:r>
        <w:rPr>
          <w:rFonts w:hint="default" w:ascii="Times New Roman" w:hAnsi="Times New Roman" w:eastAsia="方正楷体_GBK" w:cs="Times New Roman"/>
          <w:sz w:val="32"/>
          <w:lang w:bidi="zh-TW"/>
        </w:rPr>
        <w:t>一</w:t>
      </w:r>
      <w:r>
        <w:rPr>
          <w:rFonts w:hint="default" w:ascii="Times New Roman" w:hAnsi="Times New Roman" w:eastAsia="方正楷体_GBK" w:cs="Times New Roman"/>
          <w:sz w:val="32"/>
          <w:lang w:val="zh-TW" w:bidi="zh-TW"/>
        </w:rPr>
        <w:t>）</w:t>
      </w:r>
      <w:r>
        <w:rPr>
          <w:rFonts w:hint="default" w:ascii="Times New Roman" w:hAnsi="Times New Roman" w:eastAsia="方正楷体_GBK" w:cs="Times New Roman"/>
          <w:sz w:val="32"/>
          <w:lang w:bidi="zh-TW"/>
        </w:rPr>
        <w:t>编制背景</w:t>
      </w:r>
    </w:p>
    <w:p w14:paraId="0059616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sz w:val="32"/>
          <w:szCs w:val="32"/>
          <w:lang w:val="en-US" w:eastAsia="zh-CN"/>
        </w:rPr>
        <w:t>近年来，随着产业转型升级、燃煤和机动车污染防治力度的加大，非道路移动源排放逐渐凸显，其排放的颗粒物（PM）、氮氧化物（NOx）等污染物，是影响大气环境质量的重要因素之一，其中国二及以下排放标准非道路移动机械污染贡献尤为突出。据国内相关研究数据显示，1台国二排放标准非道路移动机械尾气排放量相当于70辆国五小汽车的排放量，对空气质量和人体健康产生严重危害。</w:t>
      </w:r>
      <w:r>
        <w:rPr>
          <w:rFonts w:hint="default" w:ascii="Times New Roman" w:hAnsi="Times New Roman" w:eastAsia="方正仿宋_GBK" w:cs="Times New Roman"/>
          <w:kern w:val="0"/>
          <w:sz w:val="32"/>
          <w:szCs w:val="32"/>
          <w:lang w:val="en-US" w:eastAsia="zh-CN" w:bidi="ar"/>
        </w:rPr>
        <w:t>国二排放标准非道路移动机械普遍使用年限达10年以上，污染控制装置老化失效，污染物排放总量居高不下。</w:t>
      </w:r>
    </w:p>
    <w:p w14:paraId="45CC1BE2">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sz w:val="32"/>
          <w:szCs w:val="32"/>
          <w:lang w:val="en-US" w:eastAsia="zh-CN"/>
        </w:rPr>
        <w:t>生态环境部近期发布的《中国移动源环境管理年报（2025年）》显示，全国非道路移动源排放总量为572.6</w:t>
      </w:r>
      <w:r>
        <w:rPr>
          <w:rFonts w:hint="default" w:ascii="Times New Roman" w:hAnsi="Times New Roman" w:eastAsia="方正仿宋_GBK" w:cs="Times New Roman"/>
          <w:color w:val="auto"/>
          <w:sz w:val="32"/>
          <w:szCs w:val="32"/>
          <w:lang w:val="en-US" w:eastAsia="zh-CN"/>
        </w:rPr>
        <w:t>万吨，占移动源总排放量的30.8%。20</w:t>
      </w:r>
      <w:r>
        <w:rPr>
          <w:rFonts w:hint="default" w:ascii="Times New Roman" w:hAnsi="Times New Roman" w:eastAsia="方正仿宋_GBK" w:cs="Times New Roman"/>
          <w:sz w:val="32"/>
          <w:szCs w:val="32"/>
          <w:lang w:val="en-US" w:eastAsia="zh-CN"/>
        </w:rPr>
        <w:t>20年第二次全国污染源普查数据显示，我市非道路移动机械排放的氮氧化物（NOx）占全市移动源氮氧化物排放总量的24.5%。根据新疆非道路移动机械综合监管平台统计显示，我市编码登记的非道路移动机械已达10937台，其中国二及以下排放标准非道路移动机械占比25%，其氮氧化物排放量</w:t>
      </w:r>
      <w:r>
        <w:rPr>
          <w:rFonts w:hint="default" w:ascii="Times New Roman" w:hAnsi="Times New Roman" w:eastAsia="方正仿宋_GBK" w:cs="Times New Roman"/>
          <w:color w:val="auto"/>
          <w:sz w:val="32"/>
          <w:szCs w:val="32"/>
          <w:lang w:val="en-US" w:eastAsia="zh-CN"/>
        </w:rPr>
        <w:t>达657吨，颗粒物排放量37吨，分别占全市非道路移动机械年排放量的45.22%和35.24%，</w:t>
      </w:r>
      <w:r>
        <w:rPr>
          <w:rFonts w:hint="default" w:ascii="Times New Roman" w:hAnsi="Times New Roman" w:eastAsia="方正仿宋_GBK" w:cs="Times New Roman"/>
          <w:color w:val="auto"/>
          <w:kern w:val="0"/>
          <w:sz w:val="32"/>
          <w:szCs w:val="32"/>
          <w:lang w:val="en-US" w:eastAsia="zh-CN" w:bidi="ar"/>
        </w:rPr>
        <w:t>已成为我市非道路移动源污染的主要来源之一</w:t>
      </w:r>
      <w:r>
        <w:rPr>
          <w:rFonts w:hint="default" w:ascii="Times New Roman" w:hAnsi="Times New Roman" w:eastAsia="方正仿宋_GBK" w:cs="Times New Roman"/>
          <w:color w:val="auto"/>
          <w:sz w:val="32"/>
          <w:szCs w:val="32"/>
          <w:lang w:val="en-US" w:eastAsia="zh-CN"/>
        </w:rPr>
        <w:t>。</w:t>
      </w:r>
    </w:p>
    <w:p w14:paraId="3CEFBCF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方正楷体_GBK" w:cs="Times New Roman"/>
          <w:lang w:val="en-US" w:eastAsia="zh-CN"/>
        </w:rPr>
      </w:pPr>
      <w:r>
        <w:rPr>
          <w:rFonts w:hint="default" w:ascii="Times New Roman" w:hAnsi="Times New Roman" w:eastAsia="方正楷体_GBK" w:cs="Times New Roman"/>
          <w:sz w:val="32"/>
          <w:lang w:val="zh-TW" w:bidi="zh-TW"/>
        </w:rPr>
        <w:t>（</w:t>
      </w:r>
      <w:r>
        <w:rPr>
          <w:rFonts w:hint="default" w:ascii="Times New Roman" w:hAnsi="Times New Roman" w:eastAsia="方正楷体_GBK" w:cs="Times New Roman"/>
          <w:sz w:val="32"/>
          <w:lang w:val="en-US" w:eastAsia="zh-CN" w:bidi="zh-TW"/>
        </w:rPr>
        <w:t>二</w:t>
      </w:r>
      <w:r>
        <w:rPr>
          <w:rFonts w:hint="default" w:ascii="Times New Roman" w:hAnsi="Times New Roman" w:eastAsia="方正楷体_GBK" w:cs="Times New Roman"/>
          <w:sz w:val="32"/>
          <w:lang w:val="zh-TW" w:bidi="zh-TW"/>
        </w:rPr>
        <w:t>）</w:t>
      </w:r>
      <w:r>
        <w:rPr>
          <w:rFonts w:hint="default" w:ascii="Times New Roman" w:hAnsi="Times New Roman" w:eastAsia="方正楷体_GBK" w:cs="Times New Roman"/>
          <w:sz w:val="32"/>
          <w:lang w:bidi="zh-TW"/>
        </w:rPr>
        <w:t>编制</w:t>
      </w:r>
      <w:r>
        <w:rPr>
          <w:rFonts w:hint="default" w:ascii="Times New Roman" w:hAnsi="Times New Roman" w:eastAsia="方正楷体_GBK" w:cs="Times New Roman"/>
          <w:sz w:val="32"/>
          <w:lang w:val="en-US" w:eastAsia="zh-CN" w:bidi="zh-TW"/>
        </w:rPr>
        <w:t>必要性</w:t>
      </w:r>
    </w:p>
    <w:p w14:paraId="3FFBAFF3">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2019年，我市发布《关于划定乌鲁木齐市禁止使用高排放非道路移动机械区域的通告》（以下简称原《通告》），对高排放非道路移动机械禁用区域作出明确规定。原《通告》实施期间，在改善空气质量、保护公众健康、提升公众环境保护意识、推动绿色</w:t>
      </w:r>
      <w:r>
        <w:rPr>
          <w:rFonts w:hint="eastAsia" w:ascii="Times New Roman" w:hAnsi="Times New Roman" w:eastAsia="方正仿宋_GBK" w:cs="Times New Roman"/>
          <w:sz w:val="32"/>
          <w:szCs w:val="32"/>
          <w:lang w:val="en-US" w:eastAsia="zh-CN"/>
        </w:rPr>
        <w:t>生产</w:t>
      </w:r>
      <w:r>
        <w:rPr>
          <w:rFonts w:hint="default" w:ascii="Times New Roman" w:hAnsi="Times New Roman" w:eastAsia="方正仿宋_GBK" w:cs="Times New Roman"/>
          <w:sz w:val="32"/>
          <w:szCs w:val="32"/>
          <w:lang w:val="en-US" w:eastAsia="zh-CN"/>
        </w:rPr>
        <w:t>生活方式等方面，取得了阶段性污染管控成效。但随着我市建成区范围不断扩大，非道路移动机械作业区域和使用频次发生显著变化；同时，随着我市国一及以下排放标准非道路移动机械淘汰工作推进，国二排放标准非道路移动机械已成为下一阶段移动源管控的重点。原《通告》仅对国一及以下排放标准非道路移动机械的使用范围进行管控，已无法适应当前大气污染防治工作需求。</w:t>
      </w:r>
      <w:r>
        <w:rPr>
          <w:rFonts w:hint="default" w:ascii="Times New Roman" w:hAnsi="Times New Roman" w:eastAsia="方正仿宋_GBK" w:cs="Times New Roman"/>
          <w:sz w:val="32"/>
          <w:szCs w:val="32"/>
        </w:rPr>
        <w:t>因此，</w:t>
      </w:r>
      <w:r>
        <w:rPr>
          <w:rFonts w:hint="default" w:ascii="Times New Roman" w:hAnsi="Times New Roman" w:eastAsia="方正仿宋_GBK" w:cs="Times New Roman"/>
          <w:sz w:val="32"/>
          <w:szCs w:val="32"/>
          <w:shd w:val="clear" w:fill="FFFFFF"/>
        </w:rPr>
        <w:t>亟需</w:t>
      </w:r>
      <w:r>
        <w:rPr>
          <w:rFonts w:hint="default" w:ascii="Times New Roman" w:hAnsi="Times New Roman" w:eastAsia="方正仿宋_GBK" w:cs="Times New Roman"/>
          <w:sz w:val="32"/>
          <w:szCs w:val="32"/>
        </w:rPr>
        <w:t>对国</w:t>
      </w:r>
      <w:r>
        <w:rPr>
          <w:rFonts w:hint="default" w:ascii="Times New Roman" w:hAnsi="Times New Roman" w:eastAsia="方正仿宋_GBK" w:cs="Times New Roman"/>
          <w:sz w:val="32"/>
          <w:szCs w:val="32"/>
          <w:lang w:val="en-US" w:eastAsia="zh-CN"/>
        </w:rPr>
        <w:t>二排放标准非道路移动机械</w:t>
      </w:r>
      <w:r>
        <w:rPr>
          <w:rFonts w:hint="default" w:ascii="Times New Roman" w:hAnsi="Times New Roman" w:eastAsia="方正仿宋_GBK" w:cs="Times New Roman"/>
          <w:sz w:val="32"/>
          <w:szCs w:val="32"/>
        </w:rPr>
        <w:t>采取限制措施</w:t>
      </w:r>
      <w:r>
        <w:rPr>
          <w:rFonts w:hint="default" w:ascii="Times New Roman" w:hAnsi="Times New Roman" w:eastAsia="方正仿宋_GBK" w:cs="Times New Roman"/>
          <w:sz w:val="32"/>
          <w:szCs w:val="32"/>
          <w:lang w:val="en-US" w:eastAsia="zh-CN"/>
        </w:rPr>
        <w:t>促进</w:t>
      </w:r>
      <w:r>
        <w:rPr>
          <w:rFonts w:hint="default" w:ascii="Times New Roman" w:hAnsi="Times New Roman" w:eastAsia="方正仿宋_GBK" w:cs="Times New Roman"/>
          <w:sz w:val="32"/>
          <w:szCs w:val="32"/>
        </w:rPr>
        <w:t>其淘汰更新。</w:t>
      </w:r>
    </w:p>
    <w:p w14:paraId="118AC4D7">
      <w:pPr>
        <w:keepNext w:val="0"/>
        <w:keepLines w:val="0"/>
        <w:pageBreakBefore w:val="0"/>
        <w:widowControl/>
        <w:suppressLineNumbers w:val="0"/>
        <w:kinsoku/>
        <w:wordWrap/>
        <w:overflowPunct/>
        <w:topLinePunct w:val="0"/>
        <w:autoSpaceDE/>
        <w:autoSpaceDN/>
        <w:bidi w:val="0"/>
        <w:adjustRightInd/>
        <w:snapToGrid/>
        <w:spacing w:line="55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目前，</w:t>
      </w:r>
      <w:r>
        <w:rPr>
          <w:rFonts w:hint="default" w:ascii="Times New Roman" w:hAnsi="Times New Roman" w:eastAsia="方正仿宋_GBK" w:cs="Times New Roman"/>
          <w:sz w:val="32"/>
          <w:szCs w:val="32"/>
          <w:lang w:val="en-US" w:eastAsia="zh-CN"/>
        </w:rPr>
        <w:t>北京</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上海、广州</w:t>
      </w:r>
      <w:r>
        <w:rPr>
          <w:rFonts w:hint="default" w:ascii="Times New Roman" w:hAnsi="Times New Roman" w:eastAsia="方正仿宋_GBK" w:cs="Times New Roman"/>
          <w:sz w:val="32"/>
          <w:szCs w:val="32"/>
        </w:rPr>
        <w:t>等城市均已</w:t>
      </w:r>
      <w:r>
        <w:rPr>
          <w:rFonts w:hint="default" w:ascii="Times New Roman" w:hAnsi="Times New Roman" w:eastAsia="方正仿宋_GBK" w:cs="Times New Roman"/>
          <w:sz w:val="32"/>
          <w:szCs w:val="32"/>
          <w:lang w:val="en-US" w:eastAsia="zh-CN"/>
        </w:rPr>
        <w:t>重新调整了高排放非道路移动机械禁用区域</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0"/>
          <w:sz w:val="32"/>
          <w:szCs w:val="32"/>
          <w:lang w:val="en-US" w:eastAsia="zh-CN" w:bidi="ar"/>
        </w:rPr>
        <w:t>将国二及以下排放标准机械纳入扩大管控范围</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kern w:val="0"/>
          <w:sz w:val="32"/>
          <w:szCs w:val="32"/>
          <w:lang w:val="en-US" w:eastAsia="zh-CN" w:bidi="ar"/>
        </w:rPr>
        <w:t>为各地提供了成熟经验。</w:t>
      </w:r>
      <w:r>
        <w:rPr>
          <w:rFonts w:hint="default" w:ascii="Times New Roman" w:hAnsi="Times New Roman" w:eastAsia="方正仿宋_GBK" w:cs="Times New Roman"/>
          <w:sz w:val="32"/>
          <w:szCs w:val="32"/>
        </w:rPr>
        <w:t>我局借鉴内地城市工作经验，结合我市中心城区大气环境质量状况</w:t>
      </w:r>
      <w:r>
        <w:rPr>
          <w:rFonts w:hint="default" w:ascii="Times New Roman" w:hAnsi="Times New Roman" w:eastAsia="方正仿宋_GBK" w:cs="Times New Roman"/>
          <w:color w:val="auto"/>
          <w:sz w:val="32"/>
          <w:szCs w:val="32"/>
          <w:lang w:val="en-US" w:eastAsia="zh-CN"/>
        </w:rPr>
        <w:t>及重污染天气应急响应期间对高排放非道路移动机械管控经验，进一步调整优化禁用区域、扩大管控覆盖面、提升治理精准度</w:t>
      </w:r>
      <w:r>
        <w:rPr>
          <w:rFonts w:hint="default" w:ascii="Times New Roman" w:hAnsi="Times New Roman" w:eastAsia="方正仿宋_GBK" w:cs="Times New Roman"/>
          <w:color w:val="auto"/>
          <w:sz w:val="32"/>
          <w:szCs w:val="32"/>
        </w:rPr>
        <w:t>，在</w:t>
      </w:r>
      <w:r>
        <w:rPr>
          <w:rFonts w:hint="default" w:ascii="Times New Roman" w:hAnsi="Times New Roman" w:eastAsia="方正仿宋_GBK" w:cs="Times New Roman"/>
          <w:color w:val="auto"/>
          <w:sz w:val="32"/>
          <w:szCs w:val="32"/>
          <w:lang w:val="en-US" w:eastAsia="zh-CN"/>
        </w:rPr>
        <w:t>我</w:t>
      </w:r>
      <w:r>
        <w:rPr>
          <w:rFonts w:hint="default" w:ascii="Times New Roman" w:hAnsi="Times New Roman" w:eastAsia="方正仿宋_GBK" w:cs="Times New Roman"/>
          <w:color w:val="auto"/>
          <w:sz w:val="32"/>
          <w:szCs w:val="32"/>
        </w:rPr>
        <w:t>市</w:t>
      </w:r>
      <w:r>
        <w:rPr>
          <w:rFonts w:hint="default" w:ascii="Times New Roman" w:hAnsi="Times New Roman" w:eastAsia="方正仿宋_GBK" w:cs="Times New Roman"/>
          <w:color w:val="auto"/>
          <w:sz w:val="32"/>
          <w:szCs w:val="32"/>
          <w:lang w:val="en-US" w:eastAsia="zh-CN"/>
        </w:rPr>
        <w:t>建成区范围</w:t>
      </w:r>
      <w:r>
        <w:rPr>
          <w:rFonts w:hint="default" w:ascii="Times New Roman" w:hAnsi="Times New Roman" w:eastAsia="方正仿宋_GBK" w:cs="Times New Roman"/>
          <w:color w:val="auto"/>
          <w:sz w:val="32"/>
          <w:szCs w:val="32"/>
        </w:rPr>
        <w:t>基础上，</w:t>
      </w:r>
      <w:r>
        <w:rPr>
          <w:rFonts w:hint="default" w:ascii="Times New Roman" w:hAnsi="Times New Roman" w:eastAsia="方正仿宋_GBK" w:cs="Times New Roman"/>
          <w:kern w:val="0"/>
          <w:sz w:val="32"/>
          <w:szCs w:val="32"/>
          <w:lang w:val="en-US" w:eastAsia="zh-CN" w:bidi="ar"/>
        </w:rPr>
        <w:t>调整高排放非道路移动机械禁用区域，重点强化对国二及以下老旧高排放机械的管控，</w:t>
      </w:r>
      <w:r>
        <w:rPr>
          <w:rFonts w:hint="default" w:ascii="Times New Roman" w:hAnsi="Times New Roman" w:eastAsia="方正仿宋_GBK" w:cs="Times New Roman"/>
          <w:sz w:val="32"/>
          <w:szCs w:val="32"/>
          <w:lang w:val="en-US" w:eastAsia="zh-CN"/>
        </w:rPr>
        <w:t>编制了《关于乌鲁木齐市调整禁止使用高排放非道路移动机械区域的通告》（以下简称《通告》）</w:t>
      </w:r>
      <w:r>
        <w:rPr>
          <w:rFonts w:hint="default" w:ascii="Times New Roman" w:hAnsi="Times New Roman" w:eastAsia="方正仿宋_GBK" w:cs="Times New Roman"/>
          <w:kern w:val="0"/>
          <w:sz w:val="32"/>
          <w:szCs w:val="32"/>
          <w:lang w:val="en-US" w:eastAsia="zh-CN" w:bidi="ar"/>
        </w:rPr>
        <w:t>，为持续改善区域大气环境质量提供有力政策支撑。</w:t>
      </w:r>
    </w:p>
    <w:p w14:paraId="1CD9B7D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val="en-US" w:eastAsia="zh-CN"/>
        </w:rPr>
        <w:t>（三）编制依据</w:t>
      </w:r>
    </w:p>
    <w:p w14:paraId="101E9E2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《中华人民共和国生态环境法典》第二百三十条县级以上地方人民政府可以根据大气环境质量状况，划定并公布禁</w:t>
      </w:r>
      <w:bookmarkStart w:id="0" w:name="_GoBack"/>
      <w:bookmarkEnd w:id="0"/>
      <w:r>
        <w:rPr>
          <w:rFonts w:hint="default" w:ascii="Times New Roman" w:hAnsi="Times New Roman" w:eastAsia="方正仿宋_GBK" w:cs="Times New Roman"/>
          <w:sz w:val="32"/>
          <w:szCs w:val="32"/>
        </w:rPr>
        <w:t>止使用高排放非道路移动机械的区域。</w:t>
      </w:r>
    </w:p>
    <w:p w14:paraId="0F0CC43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《乌鲁木齐市机动车和非道路移动机械排气污染防治条例》第</w:t>
      </w:r>
      <w:r>
        <w:rPr>
          <w:rFonts w:hint="default" w:ascii="Times New Roman" w:hAnsi="Times New Roman" w:eastAsia="方正仿宋_GBK" w:cs="Times New Roman"/>
          <w:sz w:val="32"/>
          <w:szCs w:val="32"/>
          <w:lang w:val="en-US" w:eastAsia="zh-CN"/>
        </w:rPr>
        <w:t>二</w:t>
      </w:r>
      <w:r>
        <w:rPr>
          <w:rFonts w:hint="default" w:ascii="Times New Roman" w:hAnsi="Times New Roman" w:eastAsia="方正仿宋_GBK" w:cs="Times New Roman"/>
          <w:sz w:val="32"/>
          <w:szCs w:val="32"/>
        </w:rPr>
        <w:t>十</w:t>
      </w:r>
      <w:r>
        <w:rPr>
          <w:rFonts w:hint="default" w:ascii="Times New Roman" w:hAnsi="Times New Roman" w:eastAsia="方正仿宋_GBK" w:cs="Times New Roman"/>
          <w:sz w:val="32"/>
          <w:szCs w:val="32"/>
          <w:lang w:val="en-US" w:eastAsia="zh-CN"/>
        </w:rPr>
        <w:t>六</w:t>
      </w:r>
      <w:r>
        <w:rPr>
          <w:rFonts w:hint="default" w:ascii="Times New Roman" w:hAnsi="Times New Roman" w:eastAsia="方正仿宋_GBK" w:cs="Times New Roman"/>
          <w:sz w:val="32"/>
          <w:szCs w:val="32"/>
        </w:rPr>
        <w:t>条</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市人民政府可以根据大气环境质量状况，</w:t>
      </w:r>
      <w:r>
        <w:rPr>
          <w:rFonts w:hint="default" w:ascii="Times New Roman" w:hAnsi="Times New Roman" w:eastAsia="方正仿宋_GBK" w:cs="Times New Roman"/>
          <w:sz w:val="32"/>
          <w:szCs w:val="32"/>
          <w:lang w:val="en-US" w:eastAsia="zh-CN"/>
        </w:rPr>
        <w:t>划定并公布禁止使用高排放非道路移动机械的区域</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w:t>
      </w:r>
    </w:p>
    <w:p w14:paraId="73199847">
      <w:pPr>
        <w:pStyle w:val="13"/>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二、主要</w:t>
      </w:r>
      <w:r>
        <w:rPr>
          <w:rFonts w:hint="default" w:ascii="Times New Roman" w:hAnsi="Times New Roman" w:eastAsia="黑体" w:cs="Times New Roman"/>
          <w:spacing w:val="2"/>
          <w:sz w:val="32"/>
          <w:szCs w:val="32"/>
        </w:rPr>
        <w:t>内容</w:t>
      </w:r>
    </w:p>
    <w:p w14:paraId="36DBB39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通告》核心内容围绕高排放非道路移动机械管控作出明确规定：一是明确适用范围，界定非道路移动机械为装配柴油发动机的移动机械，涵盖挖掘机、装载机、推土机等常用机型，全面覆盖我市主要高排放非道路移动机械。二是明确高排放机械判定标准，划定两类情形：一类是</w:t>
      </w:r>
      <w:r>
        <w:rPr>
          <w:rFonts w:hint="default" w:ascii="Times New Roman" w:hAnsi="Times New Roman" w:eastAsia="方正仿宋_GBK" w:cs="Times New Roman"/>
          <w:sz w:val="32"/>
          <w:szCs w:val="32"/>
          <w:highlight w:val="none"/>
          <w:lang w:val="en-US" w:eastAsia="zh-CN"/>
        </w:rPr>
        <w:t>不符合</w:t>
      </w:r>
      <w:r>
        <w:rPr>
          <w:rFonts w:hint="default" w:ascii="Times New Roman" w:hAnsi="Times New Roman" w:eastAsia="方正仿宋_GBK" w:cs="Times New Roman"/>
          <w:sz w:val="32"/>
          <w:szCs w:val="32"/>
          <w:highlight w:val="none"/>
        </w:rPr>
        <w:t>《非道路柴油移动机械排气烟度限值及测量方法》（GB</w:t>
      </w: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sz w:val="32"/>
          <w:szCs w:val="32"/>
          <w:highlight w:val="none"/>
        </w:rPr>
        <w:t>36886</w:t>
      </w:r>
      <w:r>
        <w:rPr>
          <w:rFonts w:hint="default" w:ascii="Times New Roman" w:hAnsi="Times New Roman" w:eastAsia="方正仿宋_GBK" w:cs="Times New Roman"/>
          <w:kern w:val="2"/>
          <w:sz w:val="32"/>
          <w:szCs w:val="32"/>
          <w:highlight w:val="none"/>
          <w:lang w:val="en-US" w:eastAsia="zh-CN" w:bidi="ar-SA"/>
        </w:rPr>
        <w:t>—</w:t>
      </w:r>
      <w:r>
        <w:rPr>
          <w:rFonts w:hint="default" w:ascii="Times New Roman" w:hAnsi="Times New Roman" w:eastAsia="方正仿宋_GBK" w:cs="Times New Roman"/>
          <w:sz w:val="32"/>
          <w:szCs w:val="32"/>
          <w:highlight w:val="none"/>
        </w:rPr>
        <w:t>2018）</w:t>
      </w:r>
      <w:r>
        <w:rPr>
          <w:rFonts w:hint="default" w:ascii="Times New Roman" w:hAnsi="Times New Roman" w:eastAsia="方正仿宋_GBK" w:cs="Times New Roman"/>
          <w:sz w:val="32"/>
          <w:szCs w:val="32"/>
          <w:highlight w:val="none"/>
          <w:lang w:val="en-US" w:eastAsia="zh-CN"/>
        </w:rPr>
        <w:t>中Ⅱ类</w:t>
      </w:r>
      <w:r>
        <w:rPr>
          <w:rFonts w:hint="default" w:ascii="Times New Roman" w:hAnsi="Times New Roman" w:eastAsia="方正仿宋_GBK" w:cs="Times New Roman"/>
          <w:sz w:val="32"/>
          <w:szCs w:val="32"/>
          <w:highlight w:val="none"/>
        </w:rPr>
        <w:t>限值</w:t>
      </w:r>
      <w:r>
        <w:rPr>
          <w:rFonts w:hint="default" w:ascii="Times New Roman" w:hAnsi="Times New Roman" w:eastAsia="方正仿宋_GBK" w:cs="Times New Roman"/>
          <w:sz w:val="32"/>
          <w:szCs w:val="32"/>
          <w:highlight w:val="none"/>
          <w:lang w:val="en-US" w:eastAsia="zh-CN"/>
        </w:rPr>
        <w:t>标准</w:t>
      </w:r>
      <w:r>
        <w:rPr>
          <w:rFonts w:hint="default" w:ascii="Times New Roman" w:hAnsi="Times New Roman" w:eastAsia="方正仿宋_GBK" w:cs="Times New Roman"/>
          <w:sz w:val="32"/>
          <w:szCs w:val="32"/>
          <w:highlight w:val="none"/>
        </w:rPr>
        <w:t>的</w:t>
      </w:r>
      <w:r>
        <w:rPr>
          <w:rFonts w:hint="default" w:ascii="Times New Roman" w:hAnsi="Times New Roman" w:eastAsia="方正仿宋_GBK" w:cs="Times New Roman"/>
          <w:sz w:val="32"/>
          <w:szCs w:val="32"/>
          <w:highlight w:val="none"/>
          <w:lang w:val="en-US" w:eastAsia="zh-CN"/>
        </w:rPr>
        <w:t>非道路移动机械</w:t>
      </w:r>
      <w:r>
        <w:rPr>
          <w:rFonts w:hint="default" w:ascii="Times New Roman" w:hAnsi="Times New Roman" w:eastAsia="方正仿宋_GBK" w:cs="Times New Roman"/>
          <w:kern w:val="2"/>
          <w:sz w:val="32"/>
          <w:szCs w:val="32"/>
          <w:lang w:val="en-US" w:eastAsia="zh-CN" w:bidi="ar-SA"/>
        </w:rPr>
        <w:t>；另一类是符合</w:t>
      </w:r>
      <w:r>
        <w:rPr>
          <w:rFonts w:hint="default" w:ascii="Times New Roman" w:hAnsi="Times New Roman" w:eastAsia="方正仿宋_GBK" w:cs="Times New Roman"/>
          <w:sz w:val="32"/>
          <w:szCs w:val="32"/>
        </w:rPr>
        <w:t>《非道路移动机械用柴油机排气污染物排放限值及测量方法（中国Ⅰ、Ⅱ阶段）》</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2"/>
          <w:sz w:val="32"/>
          <w:szCs w:val="32"/>
          <w:lang w:val="en-US" w:eastAsia="zh-CN" w:bidi="ar-SA"/>
        </w:rPr>
        <w:t>GB 20891—2007</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2"/>
          <w:sz w:val="32"/>
          <w:szCs w:val="32"/>
          <w:lang w:val="en-US" w:eastAsia="zh-CN" w:bidi="ar-SA"/>
        </w:rPr>
        <w:t>中国Ⅱ及以下排放标准（含2016年3月31日前生产的编码登记为X阶段）的</w:t>
      </w:r>
      <w:r>
        <w:rPr>
          <w:rFonts w:hint="default" w:ascii="Times New Roman" w:hAnsi="Times New Roman" w:eastAsia="方正仿宋_GBK" w:cs="Times New Roman"/>
          <w:sz w:val="32"/>
          <w:szCs w:val="32"/>
          <w:lang w:val="en-US" w:eastAsia="zh-CN"/>
        </w:rPr>
        <w:t>非道路移动机械</w:t>
      </w:r>
      <w:r>
        <w:rPr>
          <w:rFonts w:hint="default" w:ascii="Times New Roman" w:hAnsi="Times New Roman" w:eastAsia="方正仿宋_GBK" w:cs="Times New Roman"/>
          <w:kern w:val="2"/>
          <w:sz w:val="32"/>
          <w:szCs w:val="32"/>
          <w:lang w:val="en-US" w:eastAsia="zh-CN" w:bidi="ar-SA"/>
        </w:rPr>
        <w:t>。三是划定禁用区域，明确两大围合区域，分别为迎宾路—迎宾北一路—城北大道等道路围合区域，以及甘泉堡路—瀚海东街—博润路—云栖东街围合区域。四是鼓励使用新能源非道路移动机械。五是明确对违反《通告》规定、在禁用区使用高排放非道路移动机械的行为，由生态环境等主管部门依法予以处罚。六是规定《通告》实施日期，有效期5年，同时明确本市之前发布的有关高排放非道路移动机械禁用区的规定与本通告不一致的，按本通告规定执行。</w:t>
      </w:r>
    </w:p>
    <w:p w14:paraId="05B35CD2">
      <w:pPr>
        <w:pStyle w:val="6"/>
        <w:keepNext w:val="0"/>
        <w:keepLines w:val="0"/>
        <w:pageBreakBefore w:val="0"/>
        <w:widowControl w:val="0"/>
        <w:kinsoku/>
        <w:wordWrap/>
        <w:overflowPunct/>
        <w:topLinePunct w:val="0"/>
        <w:autoSpaceDE/>
        <w:autoSpaceDN/>
        <w:bidi w:val="0"/>
        <w:adjustRightInd/>
        <w:snapToGrid/>
        <w:spacing w:after="0" w:afterLines="0" w:line="560" w:lineRule="exact"/>
        <w:ind w:firstLine="641"/>
        <w:textAlignment w:val="auto"/>
        <w:rPr>
          <w:rFonts w:hint="eastAsia" w:eastAsia="宋体"/>
          <w:lang w:eastAsia="zh-CN"/>
        </w:rPr>
      </w:pPr>
    </w:p>
    <w:sectPr>
      <w:footerReference r:id="rId3" w:type="default"/>
      <w:pgSz w:w="11906" w:h="16838"/>
      <w:pgMar w:top="1417" w:right="1531" w:bottom="141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276F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173E71ED">
                          <w:pPr>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YJ/0zaAQAAtwMAAA4AAABkcnMvZTJvRG9jLnhtbK1TzY7TMBC+I/EO&#10;lu80aYVQiZqukKpFSAhWWngA13EaS/7TjNukPAC8AScu3HmuPgdjJ+nCctkDl2RmPP5mvm/Gm5vB&#10;GnZSgNq7mi8XJWfKSd9od6j550+3L9acYRSuEcY7VfOzQn6zff5s04dKrXznTaOAEYjDqg8172IM&#10;VVGg7JQVuPBBOTpsPVgRyYVD0YDoCd2aYlWWr4reQxPAS4VI0d14yCdEeAqgb1st1c7Lo1Uujqig&#10;jIhECTsdkG9zt22rZPzYtqgiMzUnpjF/qQjZ+/QtthtRHUCETsupBfGUFh5xskI7KnqF2oko2BH0&#10;P1BWS/Do27iQ3hYjkawIsViWj7S570RQmQtJjeEqOv4/WPnhdAdMNzV/Wb6myTthaeaX798uP35d&#10;fn5ly6RQH7CixPtwB5OHZCa6Qws2/YkIG7Kq56uqaohMUnC5Xq3XJQku6Wx2CKd4uB4A41vlLUtG&#10;zYHGltUUp/cYx9Q5JVVz/lYbQ3FRGfdXgDDHiMqzn26n/seOkxWH/TDR2PvmTPTpNVDVzsMXznra&#10;hZo7Wn3OzDtHUqe1mQ2Yjf1sCCfpYs0jZ8cA+tDlFUtNYXhzjNRpJpAKj9WIeHJonlmCaffSwvzp&#10;56yH97b9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1uVLQAAAABQEAAA8AAAAAAAAAAQAgAAAA&#10;IgAAAGRycy9kb3ducmV2LnhtbFBLAQIUABQAAAAIAIdO4kB2Cf9M2gEAALcDAAAOAAAAAAAAAAEA&#10;IAAAAB8BAABkcnMvZTJvRG9jLnhtbFBLBQYAAAAABgAGAFkBAABrBQAAAAA=&#10;">
              <v:fill on="f" focussize="0,0"/>
              <v:stroke on="f"/>
              <v:imagedata o:title=""/>
              <o:lock v:ext="edit" aspectratio="f"/>
              <v:textbox inset="0mm,0mm,0mm,0mm" style="mso-fit-shape-to-text:t;">
                <w:txbxContent>
                  <w:p w14:paraId="173E71ED">
                    <w:pPr>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8C24ED"/>
    <w:rsid w:val="00CF64E1"/>
    <w:rsid w:val="00E42C0B"/>
    <w:rsid w:val="0256755B"/>
    <w:rsid w:val="05A55538"/>
    <w:rsid w:val="08876D80"/>
    <w:rsid w:val="09DE48B6"/>
    <w:rsid w:val="09E12153"/>
    <w:rsid w:val="0D6C353A"/>
    <w:rsid w:val="11AD2864"/>
    <w:rsid w:val="13AA0808"/>
    <w:rsid w:val="16957B85"/>
    <w:rsid w:val="1C7F52B0"/>
    <w:rsid w:val="1D212101"/>
    <w:rsid w:val="208C24ED"/>
    <w:rsid w:val="210F6812"/>
    <w:rsid w:val="25FC3B4E"/>
    <w:rsid w:val="261B365A"/>
    <w:rsid w:val="26DE0D70"/>
    <w:rsid w:val="311E60AA"/>
    <w:rsid w:val="3534454B"/>
    <w:rsid w:val="373B4CDC"/>
    <w:rsid w:val="38497401"/>
    <w:rsid w:val="388B0C8A"/>
    <w:rsid w:val="391D463B"/>
    <w:rsid w:val="3A6757D7"/>
    <w:rsid w:val="3DD232BF"/>
    <w:rsid w:val="40C22F96"/>
    <w:rsid w:val="4319218F"/>
    <w:rsid w:val="433653E8"/>
    <w:rsid w:val="52414511"/>
    <w:rsid w:val="55C10919"/>
    <w:rsid w:val="55FC384E"/>
    <w:rsid w:val="5AB130CE"/>
    <w:rsid w:val="5CA33E29"/>
    <w:rsid w:val="5ED04309"/>
    <w:rsid w:val="61A60ADB"/>
    <w:rsid w:val="65A830F8"/>
    <w:rsid w:val="679350CD"/>
    <w:rsid w:val="68D2558C"/>
    <w:rsid w:val="6A0720EC"/>
    <w:rsid w:val="6F780340"/>
    <w:rsid w:val="73DA5A54"/>
    <w:rsid w:val="775548A2"/>
    <w:rsid w:val="79B315AC"/>
    <w:rsid w:val="79F83CD0"/>
    <w:rsid w:val="7EAC2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3">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4">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5">
    <w:name w:val="heading 7"/>
    <w:basedOn w:val="1"/>
    <w:next w:val="1"/>
    <w:unhideWhenUsed/>
    <w:qFormat/>
    <w:uiPriority w:val="0"/>
    <w:pPr>
      <w:keepNext/>
      <w:keepLines/>
      <w:spacing w:before="240" w:beforeLines="0" w:beforeAutospacing="0" w:after="64" w:afterLines="0" w:afterAutospacing="0" w:line="317" w:lineRule="auto"/>
      <w:outlineLvl w:val="6"/>
    </w:pPr>
    <w:rPr>
      <w:b/>
      <w:sz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Body Text"/>
    <w:basedOn w:val="1"/>
    <w:next w:val="7"/>
    <w:qFormat/>
    <w:uiPriority w:val="0"/>
    <w:pPr>
      <w:suppressAutoHyphens/>
      <w:spacing w:after="140" w:line="276" w:lineRule="auto"/>
    </w:pPr>
    <w:rPr>
      <w:rFonts w:ascii="Calibri" w:hAnsi="Calibri" w:eastAsia="宋体" w:cs="Times New Roman"/>
      <w:szCs w:val="24"/>
    </w:rPr>
  </w:style>
  <w:style w:type="paragraph" w:styleId="7">
    <w:name w:val="Body Text First Indent"/>
    <w:basedOn w:val="6"/>
    <w:qFormat/>
    <w:uiPriority w:val="0"/>
    <w:pPr>
      <w:spacing w:after="120"/>
      <w:ind w:firstLine="420" w:firstLineChars="100"/>
    </w:pPr>
    <w:rPr>
      <w:rFonts w:ascii="Times New Roman" w:hAnsi="Times New Roman" w:eastAsia="宋体" w:cs="Times New Roman"/>
      <w:sz w:val="30"/>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11">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
    <w:name w:val="样式 样式 三号 加粗 段前: 9.5 磅 段后: 9.5 磅 + 段前: 0.5 行 段后: 0.5 行"/>
    <w:basedOn w:val="1"/>
    <w:qFormat/>
    <w:uiPriority w:val="0"/>
    <w:pPr>
      <w:widowControl/>
      <w:spacing w:before="156" w:beforeLines="50" w:after="156" w:afterLines="50" w:line="360" w:lineRule="auto"/>
      <w:jc w:val="left"/>
      <w:outlineLvl w:val="1"/>
    </w:pPr>
    <w:rPr>
      <w:rFonts w:ascii="Calibri" w:hAnsi="Calibri" w:cs="宋体"/>
      <w:b/>
      <w:bCs/>
      <w:sz w:val="32"/>
      <w:szCs w:val="21"/>
    </w:rPr>
  </w:style>
  <w:style w:type="paragraph" w:customStyle="1" w:styleId="13">
    <w:name w:val="正文 New New New New New New New New"/>
    <w:qFormat/>
    <w:uiPriority w:val="0"/>
    <w:pPr>
      <w:widowControl w:val="0"/>
      <w:jc w:val="both"/>
    </w:pPr>
    <w:rPr>
      <w:rFonts w:ascii="Calibri" w:hAnsi="Calibri" w:eastAsia="宋体" w:cs="Times New Roman"/>
      <w:kern w:val="2"/>
      <w:sz w:val="21"/>
      <w:szCs w:val="24"/>
      <w:lang w:val="en-US" w:eastAsia="zh-CN" w:bidi="ar-SA"/>
    </w:rPr>
  </w:style>
  <w:style w:type="character" w:customStyle="1" w:styleId="14">
    <w:name w:val="font51"/>
    <w:basedOn w:val="10"/>
    <w:qFormat/>
    <w:uiPriority w:val="0"/>
    <w:rPr>
      <w:rFonts w:ascii="方正小标宋_GBK" w:hAnsi="方正小标宋_GBK" w:eastAsia="方正小标宋_GBK" w:cs="方正小标宋_GBK"/>
      <w:color w:val="000000"/>
      <w:sz w:val="48"/>
      <w:szCs w:val="48"/>
      <w:u w:val="none"/>
    </w:rPr>
  </w:style>
  <w:style w:type="character" w:customStyle="1" w:styleId="15">
    <w:name w:val="font61"/>
    <w:basedOn w:val="10"/>
    <w:qFormat/>
    <w:uiPriority w:val="0"/>
    <w:rPr>
      <w:rFonts w:ascii="方正仿宋_GBK" w:hAnsi="方正仿宋_GBK" w:eastAsia="方正仿宋_GBK" w:cs="方正仿宋_GBK"/>
      <w:b/>
      <w:bCs/>
      <w:color w:val="000000"/>
      <w:sz w:val="28"/>
      <w:szCs w:val="28"/>
      <w:u w:val="none"/>
    </w:rPr>
  </w:style>
  <w:style w:type="character" w:customStyle="1" w:styleId="16">
    <w:name w:val="font41"/>
    <w:basedOn w:val="10"/>
    <w:qFormat/>
    <w:uiPriority w:val="0"/>
    <w:rPr>
      <w:rFonts w:hint="eastAsia" w:ascii="方正仿宋_GBK" w:hAnsi="方正仿宋_GBK" w:eastAsia="方正仿宋_GBK" w:cs="方正仿宋_GBK"/>
      <w:color w:val="000000"/>
      <w:sz w:val="22"/>
      <w:szCs w:val="22"/>
      <w:u w:val="none"/>
    </w:rPr>
  </w:style>
  <w:style w:type="character" w:customStyle="1" w:styleId="17">
    <w:name w:val="font31"/>
    <w:basedOn w:val="1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2025-12-17T04:14:00Z</dcterms:created>
  <dc:creator>Lenovo</dc:creator>
  <cp:lastModifiedBy>Administrator</cp:lastModifiedBy>
  <cp:lastPrinted>2025-12-25T15:08:00Z</cp:lastPrinted>
  <dcterms:modified xsi:type="dcterms:W3CDTF">2026-08-26T09:18:20Z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2A139911528646BD8EF25EF990CA44C5</vt:lpwstr>
  </property>
</Properties>
</file>