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62B7F">
      <w:pPr>
        <w:pStyle w:val="6"/>
        <w:rPr>
          <w:rFonts w:hint="eastAsia" w:eastAsia="宋体"/>
          <w:lang w:eastAsia="zh-CN"/>
        </w:rPr>
      </w:pPr>
      <w:bookmarkStart w:id="0" w:name="_GoBack"/>
      <w:bookmarkEnd w:id="0"/>
    </w:p>
    <w:p w14:paraId="1C8478FC">
      <w:pPr>
        <w:spacing w:line="560" w:lineRule="exact"/>
        <w:jc w:val="center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《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关于</w:t>
      </w:r>
      <w:r>
        <w:rPr>
          <w:rFonts w:hint="eastAsia" w:ascii="Times New Roman" w:hAnsi="Times New Roman" w:eastAsia="方正小标宋_GBK"/>
          <w:sz w:val="44"/>
          <w:szCs w:val="44"/>
        </w:rPr>
        <w:t>乌鲁木齐市调整禁止使用高排放</w:t>
      </w:r>
    </w:p>
    <w:p w14:paraId="1828A223">
      <w:pPr>
        <w:spacing w:line="560" w:lineRule="exact"/>
        <w:jc w:val="center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非道路移动机械区域的通告</w:t>
      </w:r>
    </w:p>
    <w:p w14:paraId="3F899F1F">
      <w:pPr>
        <w:spacing w:line="560" w:lineRule="exact"/>
        <w:jc w:val="center"/>
        <w:rPr>
          <w:rFonts w:hint="eastAsia" w:ascii="Times New Roman" w:hAnsi="Times New Roman" w:eastAsia="方正小标宋_GBK"/>
          <w:sz w:val="44"/>
          <w:szCs w:val="44"/>
          <w:lang w:eastAsia="zh-CN"/>
        </w:rPr>
      </w:pP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（征求意见稿）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》</w:t>
      </w:r>
      <w:r>
        <w:rPr>
          <w:rFonts w:ascii="Times New Roman" w:hAnsi="Times New Roman" w:eastAsia="方正小标宋_GBK"/>
          <w:sz w:val="44"/>
          <w:szCs w:val="44"/>
        </w:rPr>
        <w:t>编制说明</w:t>
      </w:r>
    </w:p>
    <w:p w14:paraId="5BF03AE0">
      <w:pPr>
        <w:pStyle w:val="12"/>
        <w:spacing w:line="560" w:lineRule="exact"/>
        <w:rPr>
          <w:rFonts w:ascii="Times New Roman" w:hAnsi="Times New Roman" w:eastAsia="方正黑体_GBK"/>
          <w:sz w:val="32"/>
          <w:szCs w:val="32"/>
        </w:rPr>
      </w:pPr>
    </w:p>
    <w:p w14:paraId="20EC9A9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一、编制背景</w:t>
      </w:r>
      <w:r>
        <w:rPr>
          <w:rFonts w:hint="eastAsia" w:ascii="Times New Roman" w:hAnsi="Times New Roman" w:eastAsia="方正黑体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必要性</w:t>
      </w:r>
      <w:r>
        <w:rPr>
          <w:rFonts w:ascii="Times New Roman" w:hAnsi="Times New Roman" w:eastAsia="方正黑体_GBK"/>
          <w:sz w:val="32"/>
          <w:szCs w:val="32"/>
        </w:rPr>
        <w:t>及依据</w:t>
      </w:r>
    </w:p>
    <w:p w14:paraId="25B4D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楷体_GBK"/>
          <w:sz w:val="32"/>
          <w:lang w:bidi="zh-TW"/>
        </w:rPr>
      </w:pPr>
      <w:r>
        <w:rPr>
          <w:rFonts w:ascii="Times New Roman" w:hAnsi="Times New Roman" w:eastAsia="方正楷体_GBK"/>
          <w:sz w:val="32"/>
          <w:lang w:val="zh-TW" w:bidi="zh-TW"/>
        </w:rPr>
        <w:t>（</w:t>
      </w:r>
      <w:r>
        <w:rPr>
          <w:rFonts w:ascii="Times New Roman" w:hAnsi="Times New Roman" w:eastAsia="方正楷体_GBK"/>
          <w:sz w:val="32"/>
          <w:lang w:bidi="zh-TW"/>
        </w:rPr>
        <w:t>一</w:t>
      </w:r>
      <w:r>
        <w:rPr>
          <w:rFonts w:ascii="Times New Roman" w:hAnsi="Times New Roman" w:eastAsia="方正楷体_GBK"/>
          <w:sz w:val="32"/>
          <w:lang w:val="zh-TW" w:bidi="zh-TW"/>
        </w:rPr>
        <w:t>）</w:t>
      </w:r>
      <w:r>
        <w:rPr>
          <w:rFonts w:ascii="Times New Roman" w:hAnsi="Times New Roman" w:eastAsia="方正楷体_GBK"/>
          <w:sz w:val="32"/>
          <w:lang w:bidi="zh-TW"/>
        </w:rPr>
        <w:t>编制背景</w:t>
      </w:r>
    </w:p>
    <w:p w14:paraId="22ABE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近年来，随着产业转型升级、燃煤和机动车污染防治力度的加大，非道路移动源排放逐渐凸显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排放的颗粒物（PM）、氮氧化物（NOx）等污染物，是影响大气环境质量的重要因素之一，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其中国二及以下排放标准非道路移动机械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污染贡献尤为突出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国内相关研究数据显示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国二排放标准非道路移动机械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尾气排放量相当于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辆国五小汽车的排放量，对空气质量和人体健康产生严重危害。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国二排放标准非道路移动机械普遍使用年限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达10年以上，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污染控制装置老化失效，污染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物排放总量居高不下。</w:t>
      </w:r>
    </w:p>
    <w:p w14:paraId="7A09E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生态环境部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近期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发布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《中国移动源环境管理年报（2025年）》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显示，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全国非道路移动源排放总量为572.6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万吨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，占移动源总排放量的30.8%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20年第二次全国污染源普查数据显示，我市非道路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移动机械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排放的氮氧化物（NOx）占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全市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移动源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氮氧化物排放总量的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24.5%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根据新疆非道路移动机械综合监管平台统计显示，我市编码登记的非道路移动机械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已达10937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台，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其中国二及以下排放标准非道路移动机械共2724台，占比24.9%，其氮氧化物排放量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达657吨，颗粒物排放量37吨，分别占全市非道路移动机械年排放量的45.2%和35.2%，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已成为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我市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非道路移动源污染的主要来源之一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 w14:paraId="50183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方正楷体_GBK"/>
          <w:lang w:val="en-US" w:eastAsia="zh-CN"/>
        </w:rPr>
      </w:pPr>
      <w:r>
        <w:rPr>
          <w:rFonts w:ascii="Times New Roman" w:hAnsi="Times New Roman" w:eastAsia="方正楷体_GBK"/>
          <w:sz w:val="32"/>
          <w:lang w:val="zh-TW" w:bidi="zh-TW"/>
        </w:rPr>
        <w:t>（</w:t>
      </w:r>
      <w:r>
        <w:rPr>
          <w:rFonts w:hint="eastAsia" w:ascii="Times New Roman" w:hAnsi="Times New Roman" w:eastAsia="方正楷体_GBK"/>
          <w:sz w:val="32"/>
          <w:lang w:val="en-US" w:eastAsia="zh-CN" w:bidi="zh-TW"/>
        </w:rPr>
        <w:t>二</w:t>
      </w:r>
      <w:r>
        <w:rPr>
          <w:rFonts w:ascii="Times New Roman" w:hAnsi="Times New Roman" w:eastAsia="方正楷体_GBK"/>
          <w:sz w:val="32"/>
          <w:lang w:val="zh-TW" w:bidi="zh-TW"/>
        </w:rPr>
        <w:t>）</w:t>
      </w:r>
      <w:r>
        <w:rPr>
          <w:rFonts w:ascii="Times New Roman" w:hAnsi="Times New Roman" w:eastAsia="方正楷体_GBK"/>
          <w:sz w:val="32"/>
          <w:lang w:bidi="zh-TW"/>
        </w:rPr>
        <w:t>编制</w:t>
      </w:r>
      <w:r>
        <w:rPr>
          <w:rFonts w:hint="eastAsia" w:ascii="Times New Roman" w:hAnsi="Times New Roman" w:eastAsia="方正楷体_GBK"/>
          <w:sz w:val="32"/>
          <w:lang w:val="en-US" w:eastAsia="zh-CN" w:bidi="zh-TW"/>
        </w:rPr>
        <w:t>必要性</w:t>
      </w:r>
    </w:p>
    <w:p w14:paraId="58DC56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2019年1月1日起施行的《乌鲁木齐市机动车和非道路移动机械排气污染防治条例》规定，非道路移动机械排放大气污染物应当符合本市执行的排放标准，市人民政府可根据大气环境质量状况，划定并公布禁止使用高排放非道路移动机械的区域，为高排放非道路移动机械管控提供了坚实法律支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2019年，我市发布《关于划定乌鲁木齐市禁止使用高排放非道路移动机械区域的通告》（乌环委办〔2019〕11号）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（以下简称原《通告》）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，对高排放非道路移动机械禁用区域作出明确规定，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通告有效期为5年，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已超过有效期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。原《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通告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实施期间，在改善空气质量、保护公众健康、提升公众环境保护意识、推动绿色生活方式等方面，取得了阶段性污染管控成效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，但随着我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市建成区范围不断扩大，非道路移动机械作业区域和使用频次发生显著变化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；同时，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我市正在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全力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推进国一及以下排放标准非道路移动机械淘汰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，国二排放标准非道路移动机械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已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成为下一阶段移动源管控的重点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。原《通告》仅对国一及以下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排放标准非道路移动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机械的使用范围进行管控，已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无法适应当前大气污染防治工作需求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ascii="Times New Roman" w:hAnsi="Times New Roman" w:eastAsia="方正仿宋_GBK"/>
          <w:sz w:val="32"/>
          <w:szCs w:val="32"/>
        </w:rPr>
        <w:t>因此，</w:t>
      </w:r>
      <w:r>
        <w:rPr>
          <w:rFonts w:hint="eastAsia" w:ascii="Times New Roman" w:hAnsi="Times New Roman" w:eastAsia="方正仿宋_GBK"/>
          <w:sz w:val="32"/>
          <w:szCs w:val="32"/>
        </w:rPr>
        <w:t>亟需</w:t>
      </w:r>
      <w:r>
        <w:rPr>
          <w:rFonts w:ascii="Times New Roman" w:hAnsi="Times New Roman" w:eastAsia="方正仿宋_GBK"/>
          <w:sz w:val="32"/>
          <w:szCs w:val="32"/>
        </w:rPr>
        <w:t>对国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二排放标准非道路移动机械</w:t>
      </w:r>
      <w:r>
        <w:rPr>
          <w:rFonts w:ascii="Times New Roman" w:hAnsi="Times New Roman" w:eastAsia="方正仿宋_GBK"/>
          <w:sz w:val="32"/>
          <w:szCs w:val="32"/>
        </w:rPr>
        <w:t>采取限制措施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促进</w:t>
      </w:r>
      <w:r>
        <w:rPr>
          <w:rFonts w:ascii="Times New Roman" w:hAnsi="Times New Roman" w:eastAsia="方正仿宋_GBK"/>
          <w:sz w:val="32"/>
          <w:szCs w:val="32"/>
        </w:rPr>
        <w:t>其淘汰更新。</w:t>
      </w:r>
    </w:p>
    <w:p w14:paraId="384993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/>
          <w:sz w:val="32"/>
          <w:szCs w:val="32"/>
        </w:rPr>
        <w:t>目前，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北京</w:t>
      </w:r>
      <w:r>
        <w:rPr>
          <w:rFonts w:ascii="Times New Roman" w:hAnsi="Times New Roman" w:eastAsia="方正仿宋_GBK"/>
          <w:sz w:val="32"/>
          <w:szCs w:val="32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上海、广州</w:t>
      </w:r>
      <w:r>
        <w:rPr>
          <w:rFonts w:ascii="Times New Roman" w:hAnsi="Times New Roman" w:eastAsia="方正仿宋_GBK"/>
          <w:sz w:val="32"/>
          <w:szCs w:val="32"/>
        </w:rPr>
        <w:t>等城市均已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重新调整了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高排放非道路移动机械禁用区域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将国二及以下排放标准机械纳入扩大管控范围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为各地提供了成熟经验。</w:t>
      </w:r>
      <w:r>
        <w:rPr>
          <w:rFonts w:hint="eastAsia" w:ascii="Times New Roman" w:hAnsi="Times New Roman" w:eastAsia="方正仿宋_GBK"/>
          <w:sz w:val="32"/>
          <w:szCs w:val="32"/>
        </w:rPr>
        <w:t>我局借鉴内地城市工作经验，结合我市中心城区大气环境质量状况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重污染天气应急响应期间对高排放非道路移动机械管控经验，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进一步调整优化禁用区域、扩大管控覆盖面、提升治理精准度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，在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我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市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建成区范围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基础上，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调整高排放非道路移动机械禁用区域，重点强化对国二及以下老旧高排放机械的管控，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编制了《关于乌鲁木齐市调整禁止使用高排放非道路移动机械区域的通告》（以下简称《通告》）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，为持续改善区域大气环境质量提供有力政策支撑。</w:t>
      </w:r>
    </w:p>
    <w:p w14:paraId="77D87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编制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依据</w:t>
      </w:r>
    </w:p>
    <w:p w14:paraId="38AB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.</w:t>
      </w:r>
      <w:r>
        <w:rPr>
          <w:rFonts w:ascii="Times New Roman" w:hAnsi="Times New Roman" w:eastAsia="方正仿宋_GBK"/>
          <w:sz w:val="32"/>
          <w:szCs w:val="32"/>
        </w:rPr>
        <w:t>《中华人民共和国大气污染防治法》第三条  地方各级人民政府应当对本行政区域的大气环境质量负责，制定规划，采取措施，控制或者逐步削减大气污染物的排放量，使大气环境质量达到规定标准并逐步改善。</w:t>
      </w:r>
    </w:p>
    <w:p w14:paraId="0ED04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K"/>
          <w:sz w:val="32"/>
          <w:szCs w:val="32"/>
        </w:rPr>
        <w:t>《中华人民共和国大气污染防治法》第六十一条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</w:rPr>
        <w:t>城市人民政府可以根据大气环境质量状况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</w:rPr>
        <w:t>划定并公布禁止使用高排放非道路移动机械的区域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 w14:paraId="30EBB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方正仿宋_GBK"/>
          <w:sz w:val="32"/>
          <w:szCs w:val="32"/>
        </w:rPr>
        <w:t>《乌鲁木齐市机动车和非道路移动机械排气污染防治条例》第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二</w:t>
      </w:r>
      <w:r>
        <w:rPr>
          <w:rFonts w:ascii="Times New Roman" w:hAnsi="Times New Roman" w:eastAsia="方正仿宋_GBK"/>
          <w:sz w:val="32"/>
          <w:szCs w:val="32"/>
        </w:rPr>
        <w:t>十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六</w:t>
      </w:r>
      <w:r>
        <w:rPr>
          <w:rFonts w:ascii="Times New Roman" w:hAnsi="Times New Roman" w:eastAsia="方正仿宋_GBK"/>
          <w:sz w:val="32"/>
          <w:szCs w:val="32"/>
        </w:rPr>
        <w:t>条  市人民政府可以根据大气环境质量状况，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划定并公布禁止使用高排放非道路移动机械的区域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 w14:paraId="5581880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二、主要</w:t>
      </w:r>
      <w:r>
        <w:rPr>
          <w:rFonts w:ascii="Times New Roman" w:hAnsi="Times New Roman" w:eastAsia="黑体"/>
          <w:spacing w:val="2"/>
          <w:sz w:val="31"/>
          <w:szCs w:val="31"/>
        </w:rPr>
        <w:t>内容</w:t>
      </w:r>
    </w:p>
    <w:p w14:paraId="4AF5DDF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rFonts w:hint="eastAsia" w:eastAsia="宋体"/>
          <w:lang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《通告》核心内容围绕高排放非道路移动机械管控作出明确规定：一是明确适用范围，界定非道路移动机械为装配柴油发动机的移动机械、可运输工业设备，涵盖挖掘机、起重机等常用机型，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同时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适用于《非道路柴油移动机械排气烟度限值及测量方法》（GB 36886—2018）要求的机械。二是明确高排放机械判定标准，划定三类情形：排放黑烟等明显可视污染物的；经检验排放超过GB 36886—2018规定限值的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符合GB 20891—2007中国Ⅱ及以下排放标准（含2016年3月31日前生产的编码登记为X阶段）的。三是划定禁用区域，明确两大围合区域，分别为迎宾路—迎宾北一路—城北大道等道路围合区域，以及甘泉堡路—瀚海东街—博润路—云栖东街围合区域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方正仿宋_GBK"/>
          <w:sz w:val="32"/>
          <w:szCs w:val="32"/>
        </w:rPr>
        <w:t>见图1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。四是明确实施时间与管控要求，自2026年X月X日起，禁用区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范围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内禁止使用高排放非道路移动机械。五是补充特殊及配套事项，包括鼓励使用新能源非道路移动机械、应急抢险救灾及民生保障任务机械不受管控限制、违规行为由相关部门依法处理，同时规定《通告》自2026年X月X日起实施，有效期5年，原《关于划定乌鲁木齐市禁止使用高排放非道路移动机械区域的通告》（乌环委办〔2019〕11号）同步废止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</w:t>
      </w:r>
    </w:p>
    <w:sectPr>
      <w:pgSz w:w="11906" w:h="16838"/>
      <w:pgMar w:top="141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C24ED"/>
    <w:rsid w:val="00CF64E1"/>
    <w:rsid w:val="00E42C0B"/>
    <w:rsid w:val="05A55538"/>
    <w:rsid w:val="08876D80"/>
    <w:rsid w:val="09DE48B6"/>
    <w:rsid w:val="09E12153"/>
    <w:rsid w:val="0D6C353A"/>
    <w:rsid w:val="11AD2864"/>
    <w:rsid w:val="13AA0808"/>
    <w:rsid w:val="16957B85"/>
    <w:rsid w:val="1C7F52B0"/>
    <w:rsid w:val="208C24ED"/>
    <w:rsid w:val="210F6812"/>
    <w:rsid w:val="25FC3B4E"/>
    <w:rsid w:val="261B365A"/>
    <w:rsid w:val="26DE0D70"/>
    <w:rsid w:val="311E60AA"/>
    <w:rsid w:val="3534454B"/>
    <w:rsid w:val="373B4CDC"/>
    <w:rsid w:val="38497401"/>
    <w:rsid w:val="388B0C8A"/>
    <w:rsid w:val="391D463B"/>
    <w:rsid w:val="3A6757D7"/>
    <w:rsid w:val="3DD232BF"/>
    <w:rsid w:val="40C22F96"/>
    <w:rsid w:val="52414511"/>
    <w:rsid w:val="55C10919"/>
    <w:rsid w:val="55FC384E"/>
    <w:rsid w:val="5AB130CE"/>
    <w:rsid w:val="5CA33E29"/>
    <w:rsid w:val="5ED04309"/>
    <w:rsid w:val="61A60ADB"/>
    <w:rsid w:val="679350CD"/>
    <w:rsid w:val="68D2558C"/>
    <w:rsid w:val="6A0720EC"/>
    <w:rsid w:val="6F780340"/>
    <w:rsid w:val="73DA5A54"/>
    <w:rsid w:val="775548A2"/>
    <w:rsid w:val="79B315AC"/>
    <w:rsid w:val="79F83CD0"/>
    <w:rsid w:val="7EAC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4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5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uppressAutoHyphens/>
      <w:spacing w:after="140" w:line="276" w:lineRule="auto"/>
    </w:pPr>
    <w:rPr>
      <w:rFonts w:ascii="Calibri" w:hAnsi="Calibri" w:eastAsia="宋体" w:cs="Times New Roman"/>
      <w:szCs w:val="24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样式 样式 三号 加粗 段前: 9.5 磅 段后: 9.5 磅 + 段前: 0.5 行 段后: 0.5 行"/>
    <w:basedOn w:val="1"/>
    <w:qFormat/>
    <w:uiPriority w:val="0"/>
    <w:pPr>
      <w:widowControl/>
      <w:spacing w:before="156" w:beforeLines="50" w:after="156" w:afterLines="50" w:line="360" w:lineRule="auto"/>
      <w:jc w:val="left"/>
      <w:outlineLvl w:val="1"/>
    </w:pPr>
    <w:rPr>
      <w:rFonts w:ascii="Calibri" w:hAnsi="Calibri" w:cs="宋体"/>
      <w:b/>
      <w:bCs/>
      <w:sz w:val="32"/>
      <w:szCs w:val="21"/>
    </w:rPr>
  </w:style>
  <w:style w:type="paragraph" w:customStyle="1" w:styleId="12">
    <w:name w:val="正文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font51"/>
    <w:basedOn w:val="9"/>
    <w:qFormat/>
    <w:uiPriority w:val="0"/>
    <w:rPr>
      <w:rFonts w:ascii="方正小标宋_GBK" w:hAnsi="方正小标宋_GBK" w:eastAsia="方正小标宋_GBK" w:cs="方正小标宋_GBK"/>
      <w:color w:val="000000"/>
      <w:sz w:val="48"/>
      <w:szCs w:val="48"/>
      <w:u w:val="none"/>
    </w:rPr>
  </w:style>
  <w:style w:type="character" w:customStyle="1" w:styleId="14">
    <w:name w:val="font61"/>
    <w:basedOn w:val="9"/>
    <w:qFormat/>
    <w:uiPriority w:val="0"/>
    <w:rPr>
      <w:rFonts w:ascii="方正仿宋_GBK" w:hAnsi="方正仿宋_GBK" w:eastAsia="方正仿宋_GBK" w:cs="方正仿宋_GBK"/>
      <w:b/>
      <w:bCs/>
      <w:color w:val="000000"/>
      <w:sz w:val="28"/>
      <w:szCs w:val="28"/>
      <w:u w:val="none"/>
    </w:rPr>
  </w:style>
  <w:style w:type="character" w:customStyle="1" w:styleId="15">
    <w:name w:val="font4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6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2025-12-17T04:14:00Z</dcterms:created>
  <dc:creator>Lenovo</dc:creator>
  <cp:lastModifiedBy>D</cp:lastModifiedBy>
  <cp:lastPrinted>2025-12-25T15:08:00Z</cp:lastPrinted>
  <dcterms:modified xsi:type="dcterms:W3CDTF">2025-12-31T09:31:01Z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CBB03B4458094402BEDD681FB76F30BA_13</vt:lpwstr>
  </property>
</Properties>
</file>