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65C74">
      <w:pPr>
        <w:keepNext/>
        <w:keepLines w:val="0"/>
        <w:pageBreakBefore w:val="0"/>
        <w:widowControl w:val="0"/>
        <w:kinsoku w:val="0"/>
        <w:wordWrap w:val="0"/>
        <w:overflowPunct/>
        <w:topLinePunct w:val="0"/>
        <w:autoSpaceDE/>
        <w:autoSpaceDN/>
        <w:bidi w:val="0"/>
        <w:adjustRightInd/>
        <w:snapToGrid/>
        <w:spacing w:line="560" w:lineRule="exact"/>
        <w:ind w:left="0" w:leftChars="0" w:firstLine="0" w:firstLineChars="0"/>
        <w:jc w:val="both"/>
        <w:textAlignment w:val="auto"/>
        <w:outlineLvl w:val="9"/>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pPr>
      <w:r>
        <w:rPr>
          <w:rFonts w:hint="eastAsia" w:ascii="黑体" w:hAnsi="黑体" w:eastAsia="黑体" w:cs="黑体"/>
          <w:b w:val="0"/>
          <w:bCs/>
          <w:color w:val="auto"/>
          <w:sz w:val="32"/>
          <w:szCs w:val="32"/>
          <w:highlight w:val="none"/>
          <w:shd w:val="clear" w:color="auto" w:fill="auto"/>
          <w:lang w:val="en-US" w:eastAsia="zh-CN"/>
        </w:rPr>
        <w:t>附件</w:t>
      </w:r>
    </w:p>
    <w:p w14:paraId="31CB3619">
      <w:pPr>
        <w:keepNext/>
        <w:keepLines w:val="0"/>
        <w:pageBreakBefore w:val="0"/>
        <w:widowControl w:val="0"/>
        <w:kinsoku w:val="0"/>
        <w:wordWrap w:val="0"/>
        <w:overflowPunct/>
        <w:topLinePunct w:val="0"/>
        <w:autoSpaceDE/>
        <w:autoSpaceDN/>
        <w:bidi w:val="0"/>
        <w:adjustRightInd/>
        <w:snapToGrid/>
        <w:spacing w:line="56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pPr>
      <w:r>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t>乌鲁木齐市人力资源和社会保障事业发展</w:t>
      </w:r>
    </w:p>
    <w:p w14:paraId="2DDCE1E4">
      <w:pPr>
        <w:keepNext/>
        <w:keepLines w:val="0"/>
        <w:pageBreakBefore w:val="0"/>
        <w:widowControl w:val="0"/>
        <w:kinsoku/>
        <w:wordWrap/>
        <w:overflowPunct/>
        <w:topLinePunct w:val="0"/>
        <w:autoSpaceDE/>
        <w:autoSpaceDN/>
        <w:bidi w:val="0"/>
        <w:adjustRightInd/>
        <w:snapToGrid/>
        <w:spacing w:line="540" w:lineRule="exact"/>
        <w:ind w:left="0" w:right="0" w:rightChars="0" w:firstLine="880" w:firstLineChars="200"/>
        <w:jc w:val="both"/>
        <w:textAlignment w:val="auto"/>
        <w:outlineLvl w:val="9"/>
        <w:rPr>
          <w:rFonts w:hint="default" w:ascii="方正小标宋简体" w:hAnsi="方正小标宋简体" w:eastAsia="方正小标宋简体" w:cs="方正小标宋简体"/>
          <w:b w:val="0"/>
          <w:bCs/>
          <w:color w:val="auto"/>
          <w:sz w:val="44"/>
          <w:szCs w:val="44"/>
          <w:highlight w:val="none"/>
          <w:shd w:val="clear" w:color="auto" w:fill="auto"/>
          <w:lang w:val="en-US" w:eastAsia="zh-CN"/>
        </w:rPr>
      </w:pPr>
      <w:r>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t>“十五五”规划</w:t>
      </w:r>
      <w:r>
        <w:rPr>
          <w:rFonts w:hint="default" w:ascii="方正小标宋简体" w:hAnsi="方正小标宋简体" w:eastAsia="方正小标宋简体" w:cs="方正小标宋简体"/>
          <w:b w:val="0"/>
          <w:bCs/>
          <w:color w:val="auto"/>
          <w:sz w:val="44"/>
          <w:szCs w:val="44"/>
          <w:highlight w:val="none"/>
          <w:shd w:val="clear" w:color="auto" w:fill="auto"/>
          <w:lang w:val="en-US" w:eastAsia="zh-CN"/>
        </w:rPr>
        <w:t>（</w:t>
      </w:r>
      <w:r>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t>征求意见稿</w:t>
      </w:r>
      <w:r>
        <w:rPr>
          <w:rFonts w:hint="default" w:ascii="方正小标宋简体" w:hAnsi="方正小标宋简体" w:eastAsia="方正小标宋简体" w:cs="方正小标宋简体"/>
          <w:b w:val="0"/>
          <w:bCs/>
          <w:color w:val="auto"/>
          <w:sz w:val="44"/>
          <w:szCs w:val="44"/>
          <w:highlight w:val="none"/>
          <w:shd w:val="clear" w:color="auto" w:fill="auto"/>
          <w:lang w:val="en-US" w:eastAsia="zh-CN"/>
        </w:rPr>
        <w:t>）</w:t>
      </w:r>
    </w:p>
    <w:p w14:paraId="45DD70C4">
      <w:pPr>
        <w:keepNext/>
        <w:keepLines w:val="0"/>
        <w:pageBreakBefore w:val="0"/>
        <w:widowControl w:val="0"/>
        <w:kinsoku/>
        <w:wordWrap/>
        <w:overflowPunct/>
        <w:topLinePunct w:val="0"/>
        <w:autoSpaceDE/>
        <w:autoSpaceDN/>
        <w:bidi w:val="0"/>
        <w:adjustRightInd/>
        <w:snapToGrid/>
        <w:spacing w:line="540" w:lineRule="exact"/>
        <w:ind w:left="0" w:right="0" w:rightChars="0" w:firstLine="880" w:firstLineChars="200"/>
        <w:jc w:val="both"/>
        <w:textAlignment w:val="auto"/>
        <w:outlineLvl w:val="9"/>
        <w:rPr>
          <w:rFonts w:hint="default" w:ascii="方正小标宋简体" w:hAnsi="方正小标宋简体" w:eastAsia="方正小标宋简体" w:cs="方正小标宋简体"/>
          <w:b w:val="0"/>
          <w:bCs/>
          <w:color w:val="auto"/>
          <w:sz w:val="44"/>
          <w:szCs w:val="44"/>
          <w:highlight w:val="none"/>
          <w:shd w:val="clear" w:color="auto" w:fill="auto"/>
          <w:lang w:val="en-US" w:eastAsia="zh-CN"/>
        </w:rPr>
      </w:pPr>
      <w:bookmarkStart w:id="44" w:name="_GoBack"/>
      <w:bookmarkEnd w:id="44"/>
    </w:p>
    <w:p w14:paraId="7084A092">
      <w:pPr>
        <w:keepNext/>
        <w:keepLines w:val="0"/>
        <w:pageBreakBefore w:val="0"/>
        <w:widowControl w:val="0"/>
        <w:kinsoku/>
        <w:wordWrap/>
        <w:overflowPunct/>
        <w:topLinePunct w:val="0"/>
        <w:autoSpaceDE/>
        <w:autoSpaceDN/>
        <w:bidi w:val="0"/>
        <w:adjustRightInd/>
        <w:snapToGrid/>
        <w:spacing w:line="540" w:lineRule="exact"/>
        <w:ind w:left="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乌鲁木齐市人力资源和社会保障事业发展“十五五”规划，根据《乌鲁木齐市国民经济和社会发展第十五个五年规划纲要》和《新疆维吾尔自治区人力资源和社会保障事业发展“十五五”规划》编制，主要阐明“十五五”时期全市人力资源和社会保障事业高质量发展的总体思路，明确发展目标、主要任务和重大政策措施，是未来五年乌鲁木齐市人力资源和社会保障工作的指导性文件。</w:t>
      </w:r>
    </w:p>
    <w:p w14:paraId="34C2BECD">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9"/>
        <w:rPr>
          <w:rFonts w:hint="default" w:ascii="方正黑体_GBK" w:hAnsi="方正黑体_GBK" w:eastAsia="方正黑体_GBK" w:cs="方正黑体_GBK"/>
          <w:b w:val="0"/>
          <w:bCs/>
          <w:color w:val="auto"/>
          <w:lang w:val="en-US" w:eastAsia="zh-CN"/>
        </w:rPr>
      </w:pPr>
    </w:p>
    <w:p w14:paraId="23F814D6">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黑体_GBK" w:hAnsi="方正黑体_GBK" w:eastAsia="方正黑体_GBK" w:cs="方正黑体_GBK"/>
          <w:b w:val="0"/>
          <w:bCs/>
          <w:color w:val="auto"/>
          <w:lang w:val="en-US" w:eastAsia="zh-CN"/>
        </w:rPr>
      </w:pPr>
      <w:bookmarkStart w:id="0" w:name="_Toc9473"/>
      <w:r>
        <w:rPr>
          <w:rFonts w:hint="eastAsia" w:ascii="方正黑体_GBK" w:hAnsi="方正黑体_GBK" w:eastAsia="方正黑体_GBK" w:cs="方正黑体_GBK"/>
          <w:b w:val="0"/>
          <w:bCs/>
          <w:color w:val="auto"/>
          <w:lang w:eastAsia="zh-CN"/>
        </w:rPr>
        <w:t>第一章</w:t>
      </w:r>
      <w:r>
        <w:rPr>
          <w:rFonts w:hint="eastAsia" w:ascii="方正黑体_GBK" w:hAnsi="方正黑体_GBK" w:eastAsia="方正黑体_GBK" w:cs="方正黑体_GBK"/>
          <w:b w:val="0"/>
          <w:bCs/>
          <w:color w:val="auto"/>
          <w:lang w:val="en-US" w:eastAsia="zh-CN"/>
        </w:rPr>
        <w:t xml:space="preserve"> </w:t>
      </w:r>
      <w:r>
        <w:rPr>
          <w:rFonts w:hint="eastAsia" w:ascii="方正黑体_GBK" w:hAnsi="方正黑体_GBK" w:eastAsia="方正黑体_GBK" w:cs="方正黑体_GBK"/>
          <w:b w:val="0"/>
          <w:bCs/>
          <w:color w:val="auto"/>
          <w:lang w:eastAsia="zh-CN"/>
        </w:rPr>
        <w:t>指导思想与主要目标</w:t>
      </w:r>
      <w:bookmarkEnd w:id="0"/>
    </w:p>
    <w:p w14:paraId="2746A756">
      <w:pPr>
        <w:keepNext/>
        <w:keepLines w:val="0"/>
        <w:pageBreakBefore w:val="0"/>
        <w:widowControl w:val="0"/>
        <w:kinsoku/>
        <w:wordWrap/>
        <w:overflowPunct/>
        <w:topLinePunct w:val="0"/>
        <w:autoSpaceDE/>
        <w:autoSpaceDN/>
        <w:bidi w:val="0"/>
        <w:adjustRightInd/>
        <w:snapToGrid/>
        <w:spacing w:line="540" w:lineRule="exact"/>
        <w:ind w:left="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“十五五”时期是乌鲁木齐锚定党中央赋予新疆的“五大战略定位”，聚焦现代化国际城市建设目标，落实“强首府”战略，推动建设社会主义现代化首府取得重大突破的关键五年。</w:t>
      </w:r>
    </w:p>
    <w:p w14:paraId="1E31D797">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szCs w:val="32"/>
        </w:rPr>
      </w:pPr>
      <w:bookmarkStart w:id="1" w:name="_Toc29956"/>
      <w:r>
        <w:rPr>
          <w:rFonts w:hint="eastAsia" w:ascii="方正楷体简体" w:hAnsi="方正楷体简体" w:eastAsia="方正楷体简体" w:cs="方正楷体简体"/>
          <w:b w:val="0"/>
          <w:bCs/>
          <w:color w:val="auto"/>
          <w:lang w:eastAsia="zh-CN"/>
        </w:rPr>
        <w:t>第一节</w:t>
      </w:r>
      <w:r>
        <w:rPr>
          <w:rFonts w:hint="eastAsia" w:ascii="方正楷体简体" w:hAnsi="方正楷体简体" w:eastAsia="方正楷体简体" w:cs="方正楷体简体"/>
          <w:b w:val="0"/>
          <w:bCs/>
          <w:color w:val="auto"/>
          <w:lang w:val="en-US" w:eastAsia="zh-CN"/>
        </w:rPr>
        <w:t xml:space="preserve"> </w:t>
      </w:r>
      <w:r>
        <w:rPr>
          <w:rFonts w:hint="eastAsia" w:ascii="方正楷体简体" w:hAnsi="方正楷体简体" w:eastAsia="方正楷体简体" w:cs="方正楷体简体"/>
          <w:b w:val="0"/>
          <w:bCs/>
          <w:color w:val="auto"/>
          <w:lang w:eastAsia="zh-CN"/>
        </w:rPr>
        <w:t>发展基础</w:t>
      </w:r>
      <w:bookmarkEnd w:id="1"/>
    </w:p>
    <w:p w14:paraId="75A9ABD8">
      <w:pPr>
        <w:keepNext/>
        <w:keepLines w:val="0"/>
        <w:pageBreakBefore w:val="0"/>
        <w:widowControl w:val="0"/>
        <w:kinsoku/>
        <w:wordWrap/>
        <w:overflowPunct/>
        <w:topLinePunct w:val="0"/>
        <w:autoSpaceDE/>
        <w:autoSpaceDN/>
        <w:bidi w:val="0"/>
        <w:adjustRightInd/>
        <w:snapToGrid/>
        <w:spacing w:line="540" w:lineRule="exact"/>
        <w:ind w:left="0" w:right="0" w:rightChars="0" w:firstLine="640" w:firstLineChars="200"/>
        <w:jc w:val="both"/>
        <w:textAlignment w:val="auto"/>
        <w:outlineLvl w:val="9"/>
        <w:rPr>
          <w:rFonts w:hint="default" w:ascii="Times New Roman" w:hAnsi="Times New Roman" w:eastAsia="方正仿宋_GBK" w:cs="Times New Roman"/>
          <w:b w:val="0"/>
          <w:color w:val="auto"/>
          <w:kern w:val="2"/>
          <w:sz w:val="32"/>
          <w:szCs w:val="32"/>
          <w:lang w:val="en-US" w:eastAsia="zh-CN" w:bidi="ar-SA"/>
        </w:rPr>
      </w:pPr>
      <w:r>
        <w:rPr>
          <w:rFonts w:hint="eastAsia" w:ascii="Times New Roman" w:hAnsi="Times New Roman" w:eastAsia="方正仿宋_GBK" w:cs="Times New Roman"/>
          <w:color w:val="auto"/>
          <w:sz w:val="32"/>
          <w:szCs w:val="32"/>
          <w:lang w:val="en-US" w:eastAsia="zh-CN"/>
        </w:rPr>
        <w:t>“十四五”时期，全市人力资源和社会保障工作在市委、市政府的坚强领导下，坚持以习近平新时代中国特色社会主义思想为指导，全面贯彻落实习近平总书记关于新疆工作的重要讲话和重要指示批示精神，完整准确全面贯彻新时代党的治疆方略，</w:t>
      </w:r>
      <w:r>
        <w:rPr>
          <w:rFonts w:hint="eastAsia" w:ascii="方正仿宋_GBK" w:hAnsi="方正仿宋_GBK" w:eastAsia="方正仿宋_GBK" w:cs="方正仿宋_GBK"/>
          <w:color w:val="auto"/>
          <w:sz w:val="32"/>
          <w:szCs w:val="32"/>
          <w:lang w:val="en-US" w:eastAsia="zh-CN"/>
        </w:rPr>
        <w:t>牢牢扭住社会稳定和长治久安总目标，紧紧围绕铸牢中华民族共同体意识、推进中华民族共同体建设，自觉把人社工作放在全市工作大局中谋划推动，</w:t>
      </w:r>
      <w:r>
        <w:rPr>
          <w:rFonts w:hint="eastAsia" w:ascii="Times New Roman" w:hAnsi="Times New Roman" w:eastAsia="方正仿宋_GBK" w:cs="Times New Roman"/>
          <w:color w:val="auto"/>
          <w:sz w:val="32"/>
          <w:szCs w:val="32"/>
          <w:lang w:val="en-US" w:eastAsia="zh-CN"/>
        </w:rPr>
        <w:t>扎实做好稳就业、聚人才、强保障、优服务、防风险等工作，全面完成“十四五”时期各项目标任务，为首府经济社会高质量发展和社会和谐稳定贡献了人社力量。</w:t>
      </w:r>
      <w:r>
        <w:rPr>
          <w:rFonts w:hint="eastAsia" w:ascii="方正仿宋_GBK" w:hAnsi="方正仿宋_GBK" w:eastAsia="方正仿宋_GBK" w:cs="方正仿宋_GBK"/>
          <w:b w:val="0"/>
          <w:bCs w:val="0"/>
          <w:color w:val="auto"/>
          <w:sz w:val="32"/>
          <w:szCs w:val="32"/>
          <w:lang w:val="en-US" w:eastAsia="zh-CN"/>
        </w:rPr>
        <w:t>就业局势总体稳定，就业结构持续优化，就业质量稳步提升，</w:t>
      </w:r>
      <w:r>
        <w:rPr>
          <w:rFonts w:hint="eastAsia" w:ascii="Times New Roman" w:hAnsi="Times New Roman" w:eastAsia="方正仿宋_GBK" w:cs="Times New Roman"/>
          <w:b w:val="0"/>
          <w:bCs w:val="0"/>
          <w:color w:val="auto"/>
          <w:sz w:val="32"/>
          <w:szCs w:val="32"/>
          <w:lang w:val="en-US" w:eastAsia="zh-CN"/>
        </w:rPr>
        <w:t>就业服务体系不断完善，全市城镇新增就业51.74万人，城镇调查失业率控制在5.5%以内。</w:t>
      </w:r>
      <w:r>
        <w:rPr>
          <w:rFonts w:hint="eastAsia" w:ascii="方正仿宋_GBK" w:hAnsi="方正仿宋_GBK" w:eastAsia="方正仿宋_GBK" w:cs="方正仿宋_GBK"/>
          <w:b w:val="0"/>
          <w:bCs w:val="0"/>
          <w:color w:val="auto"/>
          <w:sz w:val="32"/>
          <w:szCs w:val="32"/>
          <w:lang w:eastAsia="zh-CN"/>
        </w:rPr>
        <w:t>社会保障制度改革持续深化，</w:t>
      </w:r>
      <w:r>
        <w:rPr>
          <w:rFonts w:hint="eastAsia" w:ascii="Times New Roman" w:hAnsi="Times New Roman" w:eastAsia="方正仿宋_GBK" w:cs="Times New Roman"/>
          <w:b w:val="0"/>
          <w:bCs w:val="0"/>
          <w:color w:val="auto"/>
          <w:sz w:val="32"/>
          <w:szCs w:val="32"/>
          <w:lang w:val="en-US" w:eastAsia="zh-CN"/>
        </w:rPr>
        <w:t>参保覆盖范围不断</w:t>
      </w:r>
      <w:r>
        <w:rPr>
          <w:rFonts w:hint="eastAsia" w:ascii="方正仿宋_GBK" w:hAnsi="方正仿宋_GBK" w:eastAsia="方正仿宋_GBK" w:cs="方正仿宋_GBK"/>
          <w:b w:val="0"/>
          <w:bCs w:val="0"/>
          <w:color w:val="auto"/>
          <w:sz w:val="32"/>
          <w:szCs w:val="32"/>
          <w:lang w:val="en-US" w:eastAsia="zh-CN"/>
        </w:rPr>
        <w:t>扩大，待遇水平稳步提高，兜底保障能力显著增强，</w:t>
      </w:r>
      <w:r>
        <w:rPr>
          <w:rFonts w:hint="default" w:ascii="方正仿宋_GBK" w:hAnsi="方正仿宋_GBK" w:eastAsia="方正仿宋_GBK" w:cs="方正仿宋_GBK"/>
          <w:b w:val="0"/>
          <w:bCs w:val="0"/>
          <w:color w:val="auto"/>
          <w:sz w:val="32"/>
          <w:szCs w:val="32"/>
          <w:lang w:val="en-US" w:eastAsia="zh-CN"/>
        </w:rPr>
        <w:t>基本养老、失业、工伤参保人数</w:t>
      </w:r>
      <w:r>
        <w:rPr>
          <w:rFonts w:hint="eastAsia" w:ascii="方正仿宋_GBK" w:hAnsi="方正仿宋_GBK" w:eastAsia="方正仿宋_GBK" w:cs="方正仿宋_GBK"/>
          <w:b w:val="0"/>
          <w:bCs w:val="0"/>
          <w:color w:val="auto"/>
          <w:sz w:val="32"/>
          <w:szCs w:val="32"/>
          <w:lang w:val="en-US" w:eastAsia="zh-CN"/>
        </w:rPr>
        <w:t>达</w:t>
      </w:r>
      <w:r>
        <w:rPr>
          <w:rFonts w:hint="eastAsia" w:ascii="Times New Roman" w:hAnsi="Times New Roman" w:eastAsia="方正仿宋_GBK" w:cs="Times New Roman"/>
          <w:color w:val="auto"/>
          <w:sz w:val="32"/>
          <w:szCs w:val="40"/>
          <w:highlight w:val="none"/>
          <w:lang w:val="en-US" w:eastAsia="zh-CN"/>
        </w:rPr>
        <w:t>451.57</w:t>
      </w:r>
      <w:r>
        <w:rPr>
          <w:rFonts w:hint="default" w:ascii="Times New Roman" w:hAnsi="Times New Roman" w:eastAsia="方正仿宋_GBK" w:cs="Times New Roman"/>
          <w:color w:val="auto"/>
          <w:sz w:val="32"/>
          <w:szCs w:val="40"/>
          <w:highlight w:val="none"/>
        </w:rPr>
        <w:t>万人</w:t>
      </w:r>
      <w:r>
        <w:rPr>
          <w:rFonts w:hint="eastAsia" w:ascii="Times New Roman" w:hAnsi="Times New Roman" w:eastAsia="方正仿宋_GBK" w:cs="Times New Roman"/>
          <w:color w:val="auto"/>
          <w:sz w:val="32"/>
          <w:szCs w:val="40"/>
          <w:highlight w:val="none"/>
          <w:lang w:val="en-US" w:eastAsia="zh-CN"/>
        </w:rPr>
        <w:t>次。</w:t>
      </w:r>
      <w:r>
        <w:rPr>
          <w:rFonts w:hint="eastAsia" w:ascii="方正仿宋_GBK" w:hAnsi="方正仿宋_GBK" w:eastAsia="方正仿宋_GBK" w:cs="方正仿宋_GBK"/>
          <w:b w:val="0"/>
          <w:bCs w:val="0"/>
          <w:color w:val="auto"/>
          <w:kern w:val="2"/>
          <w:sz w:val="32"/>
          <w:szCs w:val="32"/>
          <w:lang w:val="en-US" w:eastAsia="zh-CN" w:bidi="ar-SA"/>
        </w:rPr>
        <w:t>人才发展环境持续优化，人才队伍持续扩大，</w:t>
      </w:r>
      <w:r>
        <w:rPr>
          <w:rFonts w:hint="default" w:ascii="Times New Roman" w:hAnsi="Times New Roman" w:eastAsia="方正仿宋_GBK" w:cs="Times New Roman"/>
          <w:b w:val="0"/>
          <w:bCs w:val="0"/>
          <w:color w:val="auto"/>
          <w:kern w:val="2"/>
          <w:sz w:val="32"/>
          <w:szCs w:val="32"/>
          <w:lang w:val="en-US" w:eastAsia="zh-CN" w:bidi="ar-SA"/>
        </w:rPr>
        <w:t>专业技术人才总量37.9万人、高技能人才19.87万人</w:t>
      </w:r>
      <w:r>
        <w:rPr>
          <w:rFonts w:hint="eastAsia" w:ascii="方正仿宋_GBK" w:hAnsi="方正仿宋_GBK" w:eastAsia="方正仿宋_GBK" w:cs="方正仿宋_GBK"/>
          <w:b w:val="0"/>
          <w:bCs w:val="0"/>
          <w:color w:val="auto"/>
          <w:kern w:val="2"/>
          <w:sz w:val="32"/>
          <w:szCs w:val="32"/>
          <w:lang w:val="en-US" w:eastAsia="zh-CN" w:bidi="ar-SA"/>
        </w:rPr>
        <w:t>。劳动关系保持总体稳定，三方协调机制持续健全，劳动人事争议协调处理机制日趋完善，治理欠薪取得新成效。</w:t>
      </w:r>
      <w:r>
        <w:rPr>
          <w:rFonts w:hint="default" w:ascii="Times New Roman" w:hAnsi="Times New Roman" w:eastAsia="方正仿宋_GBK" w:cs="Times New Roman"/>
          <w:b w:val="0"/>
          <w:color w:val="auto"/>
          <w:kern w:val="2"/>
          <w:sz w:val="32"/>
          <w:szCs w:val="32"/>
          <w:lang w:val="en-US" w:eastAsia="zh-CN" w:bidi="ar-SA"/>
        </w:rPr>
        <w:t>人社</w:t>
      </w:r>
      <w:r>
        <w:rPr>
          <w:rFonts w:hint="eastAsia" w:ascii="Times New Roman" w:hAnsi="Times New Roman" w:eastAsia="方正仿宋_GBK" w:cs="Times New Roman"/>
          <w:b w:val="0"/>
          <w:color w:val="auto"/>
          <w:kern w:val="2"/>
          <w:sz w:val="32"/>
          <w:szCs w:val="32"/>
          <w:lang w:val="en-US" w:eastAsia="zh-CN" w:bidi="ar-SA"/>
        </w:rPr>
        <w:t>基本</w:t>
      </w:r>
      <w:r>
        <w:rPr>
          <w:rFonts w:hint="default" w:ascii="Times New Roman" w:hAnsi="Times New Roman" w:eastAsia="方正仿宋_GBK" w:cs="Times New Roman"/>
          <w:b w:val="0"/>
          <w:color w:val="auto"/>
          <w:kern w:val="2"/>
          <w:sz w:val="32"/>
          <w:szCs w:val="32"/>
          <w:lang w:val="en-US" w:eastAsia="zh-CN" w:bidi="ar-SA"/>
        </w:rPr>
        <w:t>公共服务体系更加健全、标准更加完善、水平进一步提高。</w:t>
      </w:r>
    </w:p>
    <w:p w14:paraId="06FD9A6A">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center"/>
        <w:textAlignment w:val="center"/>
        <w:outlineLvl w:val="9"/>
        <w:rPr>
          <w:rFonts w:hint="eastAsia" w:ascii="方正黑体_GBK" w:hAnsi="方正黑体_GBK" w:eastAsia="方正黑体_GBK" w:cs="方正黑体_GBK"/>
          <w:b w:val="0"/>
          <w:bCs/>
          <w:color w:val="auto"/>
          <w:sz w:val="28"/>
          <w:szCs w:val="28"/>
          <w:highlight w:val="none"/>
          <w:shd w:val="clear" w:color="auto" w:fill="auto"/>
          <w:lang w:val="en-US" w:eastAsia="zh-CN"/>
        </w:rPr>
        <w:sectPr>
          <w:footerReference r:id="rId5" w:type="default"/>
          <w:pgSz w:w="11906" w:h="16838"/>
          <w:pgMar w:top="2098" w:right="1531" w:bottom="1587" w:left="1531" w:header="851" w:footer="992" w:gutter="0"/>
          <w:pgBorders>
            <w:top w:val="none" w:sz="0" w:space="0"/>
            <w:left w:val="none" w:sz="0" w:space="0"/>
            <w:bottom w:val="none" w:sz="0" w:space="0"/>
            <w:right w:val="none" w:sz="0" w:space="0"/>
          </w:pgBorders>
          <w:pgNumType w:fmt="decimal" w:start="1"/>
          <w:cols w:space="0" w:num="1"/>
          <w:rtlGutter w:val="0"/>
          <w:docGrid w:type="lines" w:linePitch="438" w:charSpace="0"/>
        </w:sectPr>
      </w:pPr>
    </w:p>
    <w:tbl>
      <w:tblPr>
        <w:tblStyle w:val="20"/>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8"/>
        <w:gridCol w:w="4545"/>
        <w:gridCol w:w="1125"/>
        <w:gridCol w:w="1230"/>
        <w:gridCol w:w="1006"/>
      </w:tblGrid>
      <w:tr w14:paraId="137D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04" w:type="dxa"/>
            <w:gridSpan w:val="5"/>
            <w:noWrap w:val="0"/>
            <w:tcMar>
              <w:top w:w="15" w:type="dxa"/>
              <w:left w:w="15" w:type="dxa"/>
              <w:right w:w="15" w:type="dxa"/>
            </w:tcMar>
            <w:vAlign w:val="center"/>
          </w:tcPr>
          <w:p w14:paraId="02854D14">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default"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专栏1 “十四五”时期主要指标完成情况</w:t>
            </w:r>
          </w:p>
        </w:tc>
      </w:tr>
      <w:tr w14:paraId="6FB5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42546E50">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序号</w:t>
            </w:r>
          </w:p>
        </w:tc>
        <w:tc>
          <w:tcPr>
            <w:tcW w:w="4545" w:type="dxa"/>
            <w:noWrap w:val="0"/>
            <w:tcMar>
              <w:top w:w="15" w:type="dxa"/>
              <w:left w:w="15" w:type="dxa"/>
              <w:right w:w="15" w:type="dxa"/>
            </w:tcMar>
            <w:vAlign w:val="center"/>
          </w:tcPr>
          <w:p w14:paraId="7E10CBE6">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指标</w:t>
            </w:r>
          </w:p>
        </w:tc>
        <w:tc>
          <w:tcPr>
            <w:tcW w:w="1125" w:type="dxa"/>
            <w:noWrap w:val="0"/>
            <w:tcMar>
              <w:top w:w="15" w:type="dxa"/>
              <w:left w:w="15" w:type="dxa"/>
              <w:right w:w="15" w:type="dxa"/>
            </w:tcMar>
            <w:vAlign w:val="center"/>
          </w:tcPr>
          <w:p w14:paraId="275E7D37">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2020年</w:t>
            </w:r>
          </w:p>
          <w:p w14:paraId="5B6BC209">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基数</w:t>
            </w:r>
          </w:p>
        </w:tc>
        <w:tc>
          <w:tcPr>
            <w:tcW w:w="1230" w:type="dxa"/>
            <w:noWrap w:val="0"/>
            <w:tcMar>
              <w:top w:w="15" w:type="dxa"/>
              <w:left w:w="15" w:type="dxa"/>
              <w:right w:w="15" w:type="dxa"/>
            </w:tcMar>
            <w:vAlign w:val="center"/>
          </w:tcPr>
          <w:p w14:paraId="2225B7E5">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“十四五”</w:t>
            </w:r>
          </w:p>
          <w:p w14:paraId="41813F19">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目标</w:t>
            </w:r>
          </w:p>
        </w:tc>
        <w:tc>
          <w:tcPr>
            <w:tcW w:w="1006" w:type="dxa"/>
            <w:noWrap w:val="0"/>
            <w:tcMar>
              <w:top w:w="15" w:type="dxa"/>
              <w:left w:w="15" w:type="dxa"/>
              <w:right w:w="15" w:type="dxa"/>
            </w:tcMar>
            <w:vAlign w:val="center"/>
          </w:tcPr>
          <w:p w14:paraId="3D4EA4E6">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2025年</w:t>
            </w:r>
          </w:p>
          <w:p w14:paraId="4794EB35">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center"/>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完成数</w:t>
            </w:r>
          </w:p>
        </w:tc>
      </w:tr>
      <w:tr w14:paraId="0C23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04" w:type="dxa"/>
            <w:gridSpan w:val="5"/>
            <w:noWrap w:val="0"/>
            <w:tcMar>
              <w:top w:w="15" w:type="dxa"/>
              <w:left w:w="15" w:type="dxa"/>
              <w:right w:w="15" w:type="dxa"/>
            </w:tcMar>
            <w:vAlign w:val="center"/>
          </w:tcPr>
          <w:p w14:paraId="1E63A8FF">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方正黑体_GBK" w:hAnsi="方正黑体_GBK" w:eastAsia="方正黑体_GBK" w:cs="方正黑体_GBK"/>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一、就业</w:t>
            </w:r>
          </w:p>
        </w:tc>
      </w:tr>
      <w:tr w14:paraId="33B2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13B66E3E">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w:t>
            </w:r>
          </w:p>
        </w:tc>
        <w:tc>
          <w:tcPr>
            <w:tcW w:w="4545" w:type="dxa"/>
            <w:noWrap w:val="0"/>
            <w:tcMar>
              <w:top w:w="15" w:type="dxa"/>
              <w:left w:w="15" w:type="dxa"/>
              <w:right w:w="15" w:type="dxa"/>
            </w:tcMar>
            <w:vAlign w:val="center"/>
          </w:tcPr>
          <w:p w14:paraId="0D719E02">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城镇新增就业人数（万人）</w:t>
            </w:r>
          </w:p>
        </w:tc>
        <w:tc>
          <w:tcPr>
            <w:tcW w:w="1125" w:type="dxa"/>
            <w:noWrap w:val="0"/>
            <w:tcMar>
              <w:top w:w="15" w:type="dxa"/>
              <w:left w:w="15" w:type="dxa"/>
              <w:right w:w="15" w:type="dxa"/>
            </w:tcMar>
            <w:vAlign w:val="center"/>
          </w:tcPr>
          <w:p w14:paraId="53D50522">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544273BE">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[50]</w:t>
            </w:r>
          </w:p>
        </w:tc>
        <w:tc>
          <w:tcPr>
            <w:tcW w:w="1006" w:type="dxa"/>
            <w:noWrap w:val="0"/>
            <w:tcMar>
              <w:top w:w="15" w:type="dxa"/>
              <w:left w:w="15" w:type="dxa"/>
              <w:right w:w="15" w:type="dxa"/>
            </w:tcMar>
            <w:vAlign w:val="center"/>
          </w:tcPr>
          <w:p w14:paraId="739A20F9">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[51.74]</w:t>
            </w:r>
          </w:p>
        </w:tc>
      </w:tr>
      <w:tr w14:paraId="126E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2322F037">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2</w:t>
            </w:r>
          </w:p>
        </w:tc>
        <w:tc>
          <w:tcPr>
            <w:tcW w:w="4545" w:type="dxa"/>
            <w:noWrap w:val="0"/>
            <w:tcMar>
              <w:top w:w="15" w:type="dxa"/>
              <w:left w:w="15" w:type="dxa"/>
              <w:right w:w="15" w:type="dxa"/>
            </w:tcMar>
            <w:vAlign w:val="center"/>
          </w:tcPr>
          <w:p w14:paraId="2F8EBC44">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本市户籍应届普通高校毕业生就业去向率（%）</w:t>
            </w:r>
          </w:p>
        </w:tc>
        <w:tc>
          <w:tcPr>
            <w:tcW w:w="1125" w:type="dxa"/>
            <w:noWrap w:val="0"/>
            <w:tcMar>
              <w:top w:w="15" w:type="dxa"/>
              <w:left w:w="15" w:type="dxa"/>
              <w:right w:w="15" w:type="dxa"/>
            </w:tcMar>
            <w:vAlign w:val="center"/>
          </w:tcPr>
          <w:p w14:paraId="708B9EFC">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4932E166">
            <w:pPr>
              <w:keepNext/>
              <w:keepLines w:val="0"/>
              <w:pageBreakBefore w:val="0"/>
              <w:widowControl/>
              <w:kinsoku/>
              <w:wordWrap/>
              <w:overflowPunct/>
              <w:topLinePunct w:val="0"/>
              <w:autoSpaceDE/>
              <w:autoSpaceDN/>
              <w:bidi w:val="0"/>
              <w:adjustRightInd/>
              <w:snapToGrid/>
              <w:spacing w:line="32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不低于自治区水平</w:t>
            </w:r>
          </w:p>
        </w:tc>
        <w:tc>
          <w:tcPr>
            <w:tcW w:w="1006" w:type="dxa"/>
            <w:noWrap w:val="0"/>
            <w:tcMar>
              <w:top w:w="15" w:type="dxa"/>
              <w:left w:w="15" w:type="dxa"/>
              <w:right w:w="15" w:type="dxa"/>
            </w:tcMar>
            <w:vAlign w:val="center"/>
          </w:tcPr>
          <w:p w14:paraId="5E666C8A">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97</w:t>
            </w:r>
          </w:p>
        </w:tc>
      </w:tr>
      <w:tr w14:paraId="7D46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4018280B">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3</w:t>
            </w:r>
          </w:p>
        </w:tc>
        <w:tc>
          <w:tcPr>
            <w:tcW w:w="4545" w:type="dxa"/>
            <w:noWrap w:val="0"/>
            <w:tcMar>
              <w:top w:w="15" w:type="dxa"/>
              <w:left w:w="15" w:type="dxa"/>
              <w:right w:w="15" w:type="dxa"/>
            </w:tcMar>
            <w:vAlign w:val="center"/>
          </w:tcPr>
          <w:p w14:paraId="5876BC3C">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本市农村劳动力外出务工（万人次）</w:t>
            </w:r>
          </w:p>
        </w:tc>
        <w:tc>
          <w:tcPr>
            <w:tcW w:w="1125" w:type="dxa"/>
            <w:noWrap w:val="0"/>
            <w:tcMar>
              <w:top w:w="15" w:type="dxa"/>
              <w:left w:w="15" w:type="dxa"/>
              <w:right w:w="15" w:type="dxa"/>
            </w:tcMar>
            <w:vAlign w:val="center"/>
          </w:tcPr>
          <w:p w14:paraId="63D084E8">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64907F34">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[3.75]</w:t>
            </w:r>
          </w:p>
        </w:tc>
        <w:tc>
          <w:tcPr>
            <w:tcW w:w="1006" w:type="dxa"/>
            <w:noWrap w:val="0"/>
            <w:tcMar>
              <w:top w:w="15" w:type="dxa"/>
              <w:left w:w="15" w:type="dxa"/>
              <w:right w:w="15" w:type="dxa"/>
            </w:tcMar>
            <w:vAlign w:val="center"/>
          </w:tcPr>
          <w:p w14:paraId="1E032F48">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[3.</w:t>
            </w:r>
            <w:r>
              <w:rPr>
                <w:rFonts w:hint="eastAsia" w:ascii="Times New Roman" w:hAnsi="Times New Roman" w:eastAsia="方正仿宋_GBK" w:cs="Times New Roman"/>
                <w:color w:val="auto"/>
                <w:kern w:val="0"/>
                <w:sz w:val="21"/>
                <w:szCs w:val="21"/>
                <w:highlight w:val="none"/>
                <w:lang w:val="en-US" w:eastAsia="zh-CN"/>
              </w:rPr>
              <w:t>90</w:t>
            </w:r>
            <w:r>
              <w:rPr>
                <w:rFonts w:hint="default" w:ascii="Times New Roman" w:hAnsi="Times New Roman" w:eastAsia="方正仿宋_GBK" w:cs="Times New Roman"/>
                <w:color w:val="auto"/>
                <w:kern w:val="0"/>
                <w:sz w:val="21"/>
                <w:szCs w:val="21"/>
                <w:highlight w:val="none"/>
                <w:lang w:val="en-US" w:eastAsia="zh-CN"/>
              </w:rPr>
              <w:t>]</w:t>
            </w:r>
          </w:p>
        </w:tc>
      </w:tr>
      <w:tr w14:paraId="1393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669F78CC">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4</w:t>
            </w:r>
          </w:p>
        </w:tc>
        <w:tc>
          <w:tcPr>
            <w:tcW w:w="4545" w:type="dxa"/>
            <w:noWrap w:val="0"/>
            <w:tcMar>
              <w:top w:w="15" w:type="dxa"/>
              <w:left w:w="15" w:type="dxa"/>
              <w:right w:w="15" w:type="dxa"/>
            </w:tcMar>
            <w:vAlign w:val="center"/>
          </w:tcPr>
          <w:p w14:paraId="69C6DD47">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新增创业人数（万人）</w:t>
            </w:r>
          </w:p>
        </w:tc>
        <w:tc>
          <w:tcPr>
            <w:tcW w:w="1125" w:type="dxa"/>
            <w:noWrap w:val="0"/>
            <w:tcMar>
              <w:top w:w="15" w:type="dxa"/>
              <w:left w:w="15" w:type="dxa"/>
              <w:right w:w="15" w:type="dxa"/>
            </w:tcMar>
            <w:vAlign w:val="center"/>
          </w:tcPr>
          <w:p w14:paraId="1958BB68">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02CA1EB0">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[5]</w:t>
            </w:r>
          </w:p>
        </w:tc>
        <w:tc>
          <w:tcPr>
            <w:tcW w:w="1006" w:type="dxa"/>
            <w:noWrap w:val="0"/>
            <w:tcMar>
              <w:top w:w="15" w:type="dxa"/>
              <w:left w:w="15" w:type="dxa"/>
              <w:right w:w="15" w:type="dxa"/>
            </w:tcMar>
            <w:vAlign w:val="center"/>
          </w:tcPr>
          <w:p w14:paraId="2DD49700">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[9.84]</w:t>
            </w:r>
          </w:p>
        </w:tc>
      </w:tr>
      <w:tr w14:paraId="677E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4FC2BB42">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5</w:t>
            </w:r>
          </w:p>
        </w:tc>
        <w:tc>
          <w:tcPr>
            <w:tcW w:w="4545" w:type="dxa"/>
            <w:noWrap w:val="0"/>
            <w:tcMar>
              <w:top w:w="15" w:type="dxa"/>
              <w:left w:w="15" w:type="dxa"/>
              <w:right w:w="15" w:type="dxa"/>
            </w:tcMar>
            <w:vAlign w:val="center"/>
          </w:tcPr>
          <w:p w14:paraId="0AB6E4FC">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城镇零就业家庭24小时动态清零（户）</w:t>
            </w:r>
          </w:p>
        </w:tc>
        <w:tc>
          <w:tcPr>
            <w:tcW w:w="1125" w:type="dxa"/>
            <w:noWrap w:val="0"/>
            <w:tcMar>
              <w:top w:w="15" w:type="dxa"/>
              <w:left w:w="15" w:type="dxa"/>
              <w:right w:w="15" w:type="dxa"/>
            </w:tcMar>
            <w:vAlign w:val="center"/>
          </w:tcPr>
          <w:p w14:paraId="6EABE6D3">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0476C5D0">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全覆盖</w:t>
            </w:r>
          </w:p>
        </w:tc>
        <w:tc>
          <w:tcPr>
            <w:tcW w:w="1006" w:type="dxa"/>
            <w:noWrap w:val="0"/>
            <w:tcMar>
              <w:top w:w="15" w:type="dxa"/>
              <w:left w:w="15" w:type="dxa"/>
              <w:right w:w="15" w:type="dxa"/>
            </w:tcMar>
            <w:vAlign w:val="center"/>
          </w:tcPr>
          <w:p w14:paraId="6AD3E012">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全覆盖</w:t>
            </w:r>
          </w:p>
        </w:tc>
      </w:tr>
      <w:tr w14:paraId="11C0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0B40812A">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6</w:t>
            </w:r>
          </w:p>
        </w:tc>
        <w:tc>
          <w:tcPr>
            <w:tcW w:w="4545" w:type="dxa"/>
            <w:noWrap w:val="0"/>
            <w:tcMar>
              <w:top w:w="15" w:type="dxa"/>
              <w:left w:w="15" w:type="dxa"/>
              <w:right w:w="15" w:type="dxa"/>
            </w:tcMar>
            <w:vAlign w:val="center"/>
          </w:tcPr>
          <w:p w14:paraId="13BAD7A5">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开展各类职业技能培训（万人次）</w:t>
            </w:r>
          </w:p>
        </w:tc>
        <w:tc>
          <w:tcPr>
            <w:tcW w:w="1125" w:type="dxa"/>
            <w:noWrap w:val="0"/>
            <w:tcMar>
              <w:top w:w="15" w:type="dxa"/>
              <w:left w:w="15" w:type="dxa"/>
              <w:right w:w="15" w:type="dxa"/>
            </w:tcMar>
            <w:vAlign w:val="center"/>
          </w:tcPr>
          <w:p w14:paraId="295DAA16">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08FB9745">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[50]</w:t>
            </w:r>
          </w:p>
        </w:tc>
        <w:tc>
          <w:tcPr>
            <w:tcW w:w="1006" w:type="dxa"/>
            <w:noWrap w:val="0"/>
            <w:tcMar>
              <w:top w:w="15" w:type="dxa"/>
              <w:left w:w="15" w:type="dxa"/>
              <w:right w:w="15" w:type="dxa"/>
            </w:tcMar>
            <w:vAlign w:val="center"/>
          </w:tcPr>
          <w:p w14:paraId="6FCF26E7">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[66.93]</w:t>
            </w:r>
          </w:p>
        </w:tc>
      </w:tr>
      <w:tr w14:paraId="57C4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77D77755">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7</w:t>
            </w:r>
          </w:p>
        </w:tc>
        <w:tc>
          <w:tcPr>
            <w:tcW w:w="4545" w:type="dxa"/>
            <w:noWrap w:val="0"/>
            <w:tcMar>
              <w:top w:w="15" w:type="dxa"/>
              <w:left w:w="15" w:type="dxa"/>
              <w:right w:w="15" w:type="dxa"/>
            </w:tcMar>
            <w:vAlign w:val="center"/>
          </w:tcPr>
          <w:p w14:paraId="7B699B5B">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其中：开展补贴性职业技能培训（万人次）</w:t>
            </w:r>
          </w:p>
        </w:tc>
        <w:tc>
          <w:tcPr>
            <w:tcW w:w="1125" w:type="dxa"/>
            <w:noWrap w:val="0"/>
            <w:tcMar>
              <w:top w:w="15" w:type="dxa"/>
              <w:left w:w="15" w:type="dxa"/>
              <w:right w:w="15" w:type="dxa"/>
            </w:tcMar>
            <w:vAlign w:val="center"/>
          </w:tcPr>
          <w:p w14:paraId="67D4A271">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2595486F">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[25]</w:t>
            </w:r>
          </w:p>
        </w:tc>
        <w:tc>
          <w:tcPr>
            <w:tcW w:w="1006" w:type="dxa"/>
            <w:noWrap w:val="0"/>
            <w:tcMar>
              <w:top w:w="15" w:type="dxa"/>
              <w:left w:w="15" w:type="dxa"/>
              <w:right w:w="15" w:type="dxa"/>
            </w:tcMar>
            <w:vAlign w:val="center"/>
          </w:tcPr>
          <w:p w14:paraId="34EEA545">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[25]</w:t>
            </w:r>
          </w:p>
        </w:tc>
      </w:tr>
      <w:tr w14:paraId="0B4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67B52F0B">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8</w:t>
            </w:r>
          </w:p>
        </w:tc>
        <w:tc>
          <w:tcPr>
            <w:tcW w:w="4545" w:type="dxa"/>
            <w:noWrap w:val="0"/>
            <w:tcMar>
              <w:top w:w="15" w:type="dxa"/>
              <w:left w:w="15" w:type="dxa"/>
              <w:right w:w="15" w:type="dxa"/>
            </w:tcMar>
            <w:vAlign w:val="center"/>
          </w:tcPr>
          <w:p w14:paraId="3001865B">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高技能人才总量（万人次）</w:t>
            </w:r>
          </w:p>
        </w:tc>
        <w:tc>
          <w:tcPr>
            <w:tcW w:w="1125" w:type="dxa"/>
            <w:noWrap w:val="0"/>
            <w:tcMar>
              <w:top w:w="15" w:type="dxa"/>
              <w:left w:w="15" w:type="dxa"/>
              <w:right w:w="15" w:type="dxa"/>
            </w:tcMar>
            <w:vAlign w:val="center"/>
          </w:tcPr>
          <w:p w14:paraId="0D3254D2">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18.87</w:t>
            </w:r>
          </w:p>
        </w:tc>
        <w:tc>
          <w:tcPr>
            <w:tcW w:w="1230" w:type="dxa"/>
            <w:noWrap w:val="0"/>
            <w:tcMar>
              <w:top w:w="15" w:type="dxa"/>
              <w:left w:w="15" w:type="dxa"/>
              <w:right w:w="15" w:type="dxa"/>
            </w:tcMar>
            <w:vAlign w:val="center"/>
          </w:tcPr>
          <w:p w14:paraId="7B017285">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19.87</w:t>
            </w:r>
          </w:p>
        </w:tc>
        <w:tc>
          <w:tcPr>
            <w:tcW w:w="1006" w:type="dxa"/>
            <w:noWrap w:val="0"/>
            <w:tcMar>
              <w:top w:w="15" w:type="dxa"/>
              <w:left w:w="15" w:type="dxa"/>
              <w:right w:w="15" w:type="dxa"/>
            </w:tcMar>
            <w:vAlign w:val="center"/>
          </w:tcPr>
          <w:p w14:paraId="7F8E987E">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19.87</w:t>
            </w:r>
          </w:p>
        </w:tc>
      </w:tr>
      <w:tr w14:paraId="2538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04" w:type="dxa"/>
            <w:gridSpan w:val="5"/>
            <w:noWrap w:val="0"/>
            <w:tcMar>
              <w:top w:w="15" w:type="dxa"/>
              <w:left w:w="15" w:type="dxa"/>
              <w:right w:w="15" w:type="dxa"/>
            </w:tcMar>
            <w:vAlign w:val="center"/>
          </w:tcPr>
          <w:p w14:paraId="614D3678">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二、社会保障</w:t>
            </w:r>
          </w:p>
        </w:tc>
      </w:tr>
      <w:tr w14:paraId="0077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600303F4">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9</w:t>
            </w:r>
          </w:p>
        </w:tc>
        <w:tc>
          <w:tcPr>
            <w:tcW w:w="4545" w:type="dxa"/>
            <w:noWrap w:val="0"/>
            <w:tcMar>
              <w:top w:w="15" w:type="dxa"/>
              <w:left w:w="15" w:type="dxa"/>
              <w:right w:w="15" w:type="dxa"/>
            </w:tcMar>
            <w:vAlign w:val="center"/>
          </w:tcPr>
          <w:p w14:paraId="59EFC6C6">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养老保险参保人数（万人）</w:t>
            </w:r>
          </w:p>
        </w:tc>
        <w:tc>
          <w:tcPr>
            <w:tcW w:w="1125" w:type="dxa"/>
            <w:noWrap w:val="0"/>
            <w:tcMar>
              <w:top w:w="15" w:type="dxa"/>
              <w:left w:w="15" w:type="dxa"/>
              <w:right w:w="15" w:type="dxa"/>
            </w:tcMar>
            <w:vAlign w:val="center"/>
          </w:tcPr>
          <w:p w14:paraId="71B87CAD">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172.63</w:t>
            </w:r>
          </w:p>
        </w:tc>
        <w:tc>
          <w:tcPr>
            <w:tcW w:w="1230" w:type="dxa"/>
            <w:noWrap w:val="0"/>
            <w:tcMar>
              <w:top w:w="15" w:type="dxa"/>
              <w:left w:w="15" w:type="dxa"/>
              <w:right w:w="15" w:type="dxa"/>
            </w:tcMar>
            <w:vAlign w:val="center"/>
          </w:tcPr>
          <w:p w14:paraId="0E34F87E">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183.41</w:t>
            </w:r>
          </w:p>
        </w:tc>
        <w:tc>
          <w:tcPr>
            <w:tcW w:w="1006" w:type="dxa"/>
            <w:noWrap w:val="0"/>
            <w:tcMar>
              <w:top w:w="15" w:type="dxa"/>
              <w:left w:w="15" w:type="dxa"/>
              <w:right w:w="15" w:type="dxa"/>
            </w:tcMar>
            <w:vAlign w:val="center"/>
          </w:tcPr>
          <w:p w14:paraId="5554BDD0">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212.74</w:t>
            </w:r>
          </w:p>
        </w:tc>
      </w:tr>
      <w:tr w14:paraId="24FE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0ADA81E5">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10</w:t>
            </w:r>
          </w:p>
        </w:tc>
        <w:tc>
          <w:tcPr>
            <w:tcW w:w="4545" w:type="dxa"/>
            <w:noWrap w:val="0"/>
            <w:tcMar>
              <w:top w:w="15" w:type="dxa"/>
              <w:left w:w="15" w:type="dxa"/>
              <w:right w:w="15" w:type="dxa"/>
            </w:tcMar>
            <w:vAlign w:val="center"/>
          </w:tcPr>
          <w:p w14:paraId="2017B41B">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（1）城镇职工基本养老保险参保人数（万人）</w:t>
            </w:r>
          </w:p>
        </w:tc>
        <w:tc>
          <w:tcPr>
            <w:tcW w:w="1125" w:type="dxa"/>
            <w:noWrap w:val="0"/>
            <w:tcMar>
              <w:top w:w="15" w:type="dxa"/>
              <w:left w:w="15" w:type="dxa"/>
              <w:right w:w="15" w:type="dxa"/>
            </w:tcMar>
            <w:vAlign w:val="center"/>
          </w:tcPr>
          <w:p w14:paraId="5BF43013">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146.91</w:t>
            </w:r>
          </w:p>
        </w:tc>
        <w:tc>
          <w:tcPr>
            <w:tcW w:w="1230" w:type="dxa"/>
            <w:noWrap w:val="0"/>
            <w:tcMar>
              <w:top w:w="15" w:type="dxa"/>
              <w:left w:w="15" w:type="dxa"/>
              <w:right w:w="15" w:type="dxa"/>
            </w:tcMar>
            <w:vAlign w:val="center"/>
          </w:tcPr>
          <w:p w14:paraId="75A4CE8C">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156.04</w:t>
            </w:r>
          </w:p>
        </w:tc>
        <w:tc>
          <w:tcPr>
            <w:tcW w:w="1006" w:type="dxa"/>
            <w:noWrap w:val="0"/>
            <w:tcMar>
              <w:top w:w="15" w:type="dxa"/>
              <w:left w:w="15" w:type="dxa"/>
              <w:right w:w="15" w:type="dxa"/>
            </w:tcMar>
            <w:vAlign w:val="center"/>
          </w:tcPr>
          <w:p w14:paraId="0840C23B">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184.5</w:t>
            </w:r>
          </w:p>
        </w:tc>
      </w:tr>
      <w:tr w14:paraId="0835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6886592B">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11</w:t>
            </w:r>
          </w:p>
        </w:tc>
        <w:tc>
          <w:tcPr>
            <w:tcW w:w="4545" w:type="dxa"/>
            <w:noWrap w:val="0"/>
            <w:tcMar>
              <w:top w:w="15" w:type="dxa"/>
              <w:left w:w="15" w:type="dxa"/>
              <w:right w:w="15" w:type="dxa"/>
            </w:tcMar>
            <w:vAlign w:val="center"/>
          </w:tcPr>
          <w:p w14:paraId="144B56E8">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（2）城乡居民养老保险参保人数（万人）</w:t>
            </w:r>
          </w:p>
        </w:tc>
        <w:tc>
          <w:tcPr>
            <w:tcW w:w="1125" w:type="dxa"/>
            <w:noWrap w:val="0"/>
            <w:tcMar>
              <w:top w:w="15" w:type="dxa"/>
              <w:left w:w="15" w:type="dxa"/>
              <w:right w:w="15" w:type="dxa"/>
            </w:tcMar>
            <w:vAlign w:val="center"/>
          </w:tcPr>
          <w:p w14:paraId="643F8F4A">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13.01</w:t>
            </w:r>
          </w:p>
        </w:tc>
        <w:tc>
          <w:tcPr>
            <w:tcW w:w="1230" w:type="dxa"/>
            <w:noWrap w:val="0"/>
            <w:tcMar>
              <w:top w:w="15" w:type="dxa"/>
              <w:left w:w="15" w:type="dxa"/>
              <w:right w:w="15" w:type="dxa"/>
            </w:tcMar>
            <w:vAlign w:val="center"/>
          </w:tcPr>
          <w:p w14:paraId="141D9DEF">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13.96</w:t>
            </w:r>
          </w:p>
        </w:tc>
        <w:tc>
          <w:tcPr>
            <w:tcW w:w="1006" w:type="dxa"/>
            <w:noWrap w:val="0"/>
            <w:tcMar>
              <w:top w:w="15" w:type="dxa"/>
              <w:left w:w="15" w:type="dxa"/>
              <w:right w:w="15" w:type="dxa"/>
            </w:tcMar>
            <w:vAlign w:val="center"/>
          </w:tcPr>
          <w:p w14:paraId="05301D78">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14.16</w:t>
            </w:r>
          </w:p>
        </w:tc>
      </w:tr>
      <w:tr w14:paraId="164D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5D2AB230">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12</w:t>
            </w:r>
          </w:p>
        </w:tc>
        <w:tc>
          <w:tcPr>
            <w:tcW w:w="4545" w:type="dxa"/>
            <w:noWrap w:val="0"/>
            <w:tcMar>
              <w:top w:w="15" w:type="dxa"/>
              <w:left w:w="15" w:type="dxa"/>
              <w:right w:w="15" w:type="dxa"/>
            </w:tcMar>
            <w:vAlign w:val="center"/>
          </w:tcPr>
          <w:p w14:paraId="6BCC44E9">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（3）机关事业单位养老保险参保人数（万人）</w:t>
            </w:r>
          </w:p>
        </w:tc>
        <w:tc>
          <w:tcPr>
            <w:tcW w:w="1125" w:type="dxa"/>
            <w:noWrap w:val="0"/>
            <w:tcMar>
              <w:top w:w="15" w:type="dxa"/>
              <w:left w:w="15" w:type="dxa"/>
              <w:right w:w="15" w:type="dxa"/>
            </w:tcMar>
            <w:vAlign w:val="center"/>
          </w:tcPr>
          <w:p w14:paraId="423B23E7">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12.71</w:t>
            </w:r>
          </w:p>
        </w:tc>
        <w:tc>
          <w:tcPr>
            <w:tcW w:w="1230" w:type="dxa"/>
            <w:noWrap w:val="0"/>
            <w:tcMar>
              <w:top w:w="15" w:type="dxa"/>
              <w:left w:w="15" w:type="dxa"/>
              <w:right w:w="15" w:type="dxa"/>
            </w:tcMar>
            <w:vAlign w:val="center"/>
          </w:tcPr>
          <w:p w14:paraId="055A722B">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13.41</w:t>
            </w:r>
          </w:p>
        </w:tc>
        <w:tc>
          <w:tcPr>
            <w:tcW w:w="1006" w:type="dxa"/>
            <w:noWrap w:val="0"/>
            <w:tcMar>
              <w:top w:w="15" w:type="dxa"/>
              <w:left w:w="15" w:type="dxa"/>
              <w:right w:w="15" w:type="dxa"/>
            </w:tcMar>
            <w:vAlign w:val="center"/>
          </w:tcPr>
          <w:p w14:paraId="0D243B10">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14.08</w:t>
            </w:r>
          </w:p>
        </w:tc>
      </w:tr>
      <w:tr w14:paraId="765C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0DC2842C">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13</w:t>
            </w:r>
          </w:p>
        </w:tc>
        <w:tc>
          <w:tcPr>
            <w:tcW w:w="4545" w:type="dxa"/>
            <w:noWrap w:val="0"/>
            <w:tcMar>
              <w:top w:w="15" w:type="dxa"/>
              <w:left w:w="15" w:type="dxa"/>
              <w:right w:w="15" w:type="dxa"/>
            </w:tcMar>
            <w:vAlign w:val="center"/>
          </w:tcPr>
          <w:p w14:paraId="2F6F3101">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基本养老保险参保率（%）</w:t>
            </w:r>
          </w:p>
        </w:tc>
        <w:tc>
          <w:tcPr>
            <w:tcW w:w="1125" w:type="dxa"/>
            <w:noWrap w:val="0"/>
            <w:tcMar>
              <w:top w:w="15" w:type="dxa"/>
              <w:left w:w="15" w:type="dxa"/>
              <w:right w:w="15" w:type="dxa"/>
            </w:tcMar>
            <w:vAlign w:val="center"/>
          </w:tcPr>
          <w:p w14:paraId="2E35F434">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53E9760B">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&gt;95</w:t>
            </w:r>
          </w:p>
        </w:tc>
        <w:tc>
          <w:tcPr>
            <w:tcW w:w="1006" w:type="dxa"/>
            <w:noWrap w:val="0"/>
            <w:tcMar>
              <w:top w:w="15" w:type="dxa"/>
              <w:left w:w="15" w:type="dxa"/>
              <w:right w:w="15" w:type="dxa"/>
            </w:tcMar>
            <w:vAlign w:val="center"/>
          </w:tcPr>
          <w:p w14:paraId="67F16934">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&gt;95</w:t>
            </w:r>
          </w:p>
        </w:tc>
      </w:tr>
      <w:tr w14:paraId="5707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14B57F7C">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14</w:t>
            </w:r>
          </w:p>
        </w:tc>
        <w:tc>
          <w:tcPr>
            <w:tcW w:w="4545" w:type="dxa"/>
            <w:noWrap w:val="0"/>
            <w:tcMar>
              <w:top w:w="15" w:type="dxa"/>
              <w:left w:w="15" w:type="dxa"/>
              <w:right w:w="15" w:type="dxa"/>
            </w:tcMar>
            <w:vAlign w:val="center"/>
          </w:tcPr>
          <w:p w14:paraId="7824D89A">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失业保险参保人数（万人）</w:t>
            </w:r>
          </w:p>
        </w:tc>
        <w:tc>
          <w:tcPr>
            <w:tcW w:w="1125" w:type="dxa"/>
            <w:noWrap w:val="0"/>
            <w:tcMar>
              <w:top w:w="15" w:type="dxa"/>
              <w:left w:w="15" w:type="dxa"/>
              <w:right w:w="15" w:type="dxa"/>
            </w:tcMar>
            <w:vAlign w:val="center"/>
          </w:tcPr>
          <w:p w14:paraId="27AF7A6E">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104.51</w:t>
            </w:r>
          </w:p>
        </w:tc>
        <w:tc>
          <w:tcPr>
            <w:tcW w:w="1230" w:type="dxa"/>
            <w:noWrap w:val="0"/>
            <w:tcMar>
              <w:top w:w="15" w:type="dxa"/>
              <w:left w:w="15" w:type="dxa"/>
              <w:right w:w="15" w:type="dxa"/>
            </w:tcMar>
            <w:vAlign w:val="center"/>
          </w:tcPr>
          <w:p w14:paraId="5C223EFA">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108.27</w:t>
            </w:r>
          </w:p>
        </w:tc>
        <w:tc>
          <w:tcPr>
            <w:tcW w:w="1006" w:type="dxa"/>
            <w:noWrap w:val="0"/>
            <w:tcMar>
              <w:top w:w="15" w:type="dxa"/>
              <w:left w:w="15" w:type="dxa"/>
              <w:right w:w="15" w:type="dxa"/>
            </w:tcMar>
            <w:vAlign w:val="center"/>
          </w:tcPr>
          <w:p w14:paraId="4EAA0C3D">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109.30</w:t>
            </w:r>
          </w:p>
        </w:tc>
      </w:tr>
      <w:tr w14:paraId="7018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41F1CEDF">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default"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15</w:t>
            </w:r>
          </w:p>
        </w:tc>
        <w:tc>
          <w:tcPr>
            <w:tcW w:w="4545" w:type="dxa"/>
            <w:noWrap w:val="0"/>
            <w:tcMar>
              <w:top w:w="15" w:type="dxa"/>
              <w:left w:w="15" w:type="dxa"/>
              <w:right w:w="15" w:type="dxa"/>
            </w:tcMar>
            <w:vAlign w:val="center"/>
          </w:tcPr>
          <w:p w14:paraId="7959AC85">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工伤保险参保人数（万人）</w:t>
            </w:r>
          </w:p>
        </w:tc>
        <w:tc>
          <w:tcPr>
            <w:tcW w:w="1125" w:type="dxa"/>
            <w:noWrap w:val="0"/>
            <w:tcMar>
              <w:top w:w="15" w:type="dxa"/>
              <w:left w:w="15" w:type="dxa"/>
              <w:right w:w="15" w:type="dxa"/>
            </w:tcMar>
            <w:vAlign w:val="center"/>
          </w:tcPr>
          <w:p w14:paraId="1EE832CA">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110.76</w:t>
            </w:r>
          </w:p>
        </w:tc>
        <w:tc>
          <w:tcPr>
            <w:tcW w:w="1230" w:type="dxa"/>
            <w:noWrap w:val="0"/>
            <w:tcMar>
              <w:top w:w="15" w:type="dxa"/>
              <w:left w:w="15" w:type="dxa"/>
              <w:right w:w="15" w:type="dxa"/>
            </w:tcMar>
            <w:vAlign w:val="center"/>
          </w:tcPr>
          <w:p w14:paraId="3BA4576F">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117.79</w:t>
            </w:r>
          </w:p>
        </w:tc>
        <w:tc>
          <w:tcPr>
            <w:tcW w:w="1006" w:type="dxa"/>
            <w:noWrap w:val="0"/>
            <w:tcMar>
              <w:top w:w="15" w:type="dxa"/>
              <w:left w:w="15" w:type="dxa"/>
              <w:right w:w="15" w:type="dxa"/>
            </w:tcMar>
            <w:vAlign w:val="center"/>
          </w:tcPr>
          <w:p w14:paraId="5F6FEB88">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129.53</w:t>
            </w:r>
          </w:p>
        </w:tc>
      </w:tr>
      <w:tr w14:paraId="0EA1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04" w:type="dxa"/>
            <w:gridSpan w:val="5"/>
            <w:noWrap w:val="0"/>
            <w:tcMar>
              <w:top w:w="15" w:type="dxa"/>
              <w:left w:w="15" w:type="dxa"/>
              <w:right w:w="15" w:type="dxa"/>
            </w:tcMar>
            <w:vAlign w:val="center"/>
          </w:tcPr>
          <w:p w14:paraId="4CB415DD">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三、人才人事</w:t>
            </w:r>
          </w:p>
        </w:tc>
      </w:tr>
      <w:tr w14:paraId="0A2B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5E49D4BF">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16</w:t>
            </w:r>
          </w:p>
        </w:tc>
        <w:tc>
          <w:tcPr>
            <w:tcW w:w="4545" w:type="dxa"/>
            <w:noWrap w:val="0"/>
            <w:tcMar>
              <w:top w:w="15" w:type="dxa"/>
              <w:left w:w="15" w:type="dxa"/>
              <w:right w:w="15" w:type="dxa"/>
            </w:tcMar>
            <w:vAlign w:val="center"/>
          </w:tcPr>
          <w:p w14:paraId="3C33E7A8">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专业技术人才总量（万人）</w:t>
            </w:r>
          </w:p>
        </w:tc>
        <w:tc>
          <w:tcPr>
            <w:tcW w:w="1125" w:type="dxa"/>
            <w:noWrap w:val="0"/>
            <w:tcMar>
              <w:top w:w="15" w:type="dxa"/>
              <w:left w:w="15" w:type="dxa"/>
              <w:right w:w="15" w:type="dxa"/>
            </w:tcMar>
            <w:vAlign w:val="center"/>
          </w:tcPr>
          <w:p w14:paraId="54571AAB">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35.19</w:t>
            </w:r>
          </w:p>
        </w:tc>
        <w:tc>
          <w:tcPr>
            <w:tcW w:w="1230" w:type="dxa"/>
            <w:noWrap w:val="0"/>
            <w:tcMar>
              <w:top w:w="15" w:type="dxa"/>
              <w:left w:w="15" w:type="dxa"/>
              <w:right w:w="15" w:type="dxa"/>
            </w:tcMar>
            <w:vAlign w:val="center"/>
          </w:tcPr>
          <w:p w14:paraId="671994CF">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37.9</w:t>
            </w:r>
          </w:p>
        </w:tc>
        <w:tc>
          <w:tcPr>
            <w:tcW w:w="1006" w:type="dxa"/>
            <w:noWrap w:val="0"/>
            <w:tcMar>
              <w:top w:w="15" w:type="dxa"/>
              <w:left w:w="15" w:type="dxa"/>
              <w:right w:w="15" w:type="dxa"/>
            </w:tcMar>
            <w:vAlign w:val="center"/>
          </w:tcPr>
          <w:p w14:paraId="5A4FCFE5">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37.9</w:t>
            </w:r>
          </w:p>
        </w:tc>
      </w:tr>
      <w:tr w14:paraId="0292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50F781EE">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17</w:t>
            </w:r>
          </w:p>
        </w:tc>
        <w:tc>
          <w:tcPr>
            <w:tcW w:w="4545" w:type="dxa"/>
            <w:noWrap w:val="0"/>
            <w:tcMar>
              <w:top w:w="15" w:type="dxa"/>
              <w:left w:w="15" w:type="dxa"/>
              <w:right w:w="15" w:type="dxa"/>
            </w:tcMar>
            <w:vAlign w:val="center"/>
          </w:tcPr>
          <w:p w14:paraId="2B151B24">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人力资源服务机构（经营性）（家）</w:t>
            </w:r>
          </w:p>
        </w:tc>
        <w:tc>
          <w:tcPr>
            <w:tcW w:w="1125" w:type="dxa"/>
            <w:noWrap w:val="0"/>
            <w:tcMar>
              <w:top w:w="15" w:type="dxa"/>
              <w:left w:w="15" w:type="dxa"/>
              <w:right w:w="15" w:type="dxa"/>
            </w:tcMar>
            <w:vAlign w:val="center"/>
          </w:tcPr>
          <w:p w14:paraId="64393497">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50</w:t>
            </w:r>
          </w:p>
        </w:tc>
        <w:tc>
          <w:tcPr>
            <w:tcW w:w="1230" w:type="dxa"/>
            <w:noWrap w:val="0"/>
            <w:tcMar>
              <w:top w:w="15" w:type="dxa"/>
              <w:left w:w="15" w:type="dxa"/>
              <w:right w:w="15" w:type="dxa"/>
            </w:tcMar>
            <w:vAlign w:val="center"/>
          </w:tcPr>
          <w:p w14:paraId="14D0B86B">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100</w:t>
            </w:r>
          </w:p>
        </w:tc>
        <w:tc>
          <w:tcPr>
            <w:tcW w:w="1006" w:type="dxa"/>
            <w:noWrap w:val="0"/>
            <w:tcMar>
              <w:top w:w="15" w:type="dxa"/>
              <w:left w:w="15" w:type="dxa"/>
              <w:right w:w="15" w:type="dxa"/>
            </w:tcMar>
            <w:vAlign w:val="center"/>
          </w:tcPr>
          <w:p w14:paraId="42F0CD3D">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218</w:t>
            </w:r>
          </w:p>
        </w:tc>
      </w:tr>
      <w:tr w14:paraId="2921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04" w:type="dxa"/>
            <w:gridSpan w:val="5"/>
            <w:noWrap w:val="0"/>
            <w:tcMar>
              <w:top w:w="15" w:type="dxa"/>
              <w:left w:w="15" w:type="dxa"/>
              <w:right w:w="15" w:type="dxa"/>
            </w:tcMar>
            <w:vAlign w:val="center"/>
          </w:tcPr>
          <w:p w14:paraId="47332512">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 xml:space="preserve"> 四、劳动关系</w:t>
            </w:r>
          </w:p>
        </w:tc>
      </w:tr>
      <w:tr w14:paraId="73A1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3B158822">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18</w:t>
            </w:r>
          </w:p>
        </w:tc>
        <w:tc>
          <w:tcPr>
            <w:tcW w:w="4545" w:type="dxa"/>
            <w:noWrap w:val="0"/>
            <w:tcMar>
              <w:top w:w="15" w:type="dxa"/>
              <w:left w:w="15" w:type="dxa"/>
              <w:right w:w="15" w:type="dxa"/>
            </w:tcMar>
            <w:vAlign w:val="center"/>
          </w:tcPr>
          <w:p w14:paraId="1DA24A7B">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劳动保障监察案件结案率（%）</w:t>
            </w:r>
          </w:p>
        </w:tc>
        <w:tc>
          <w:tcPr>
            <w:tcW w:w="1125" w:type="dxa"/>
            <w:noWrap w:val="0"/>
            <w:tcMar>
              <w:top w:w="15" w:type="dxa"/>
              <w:left w:w="15" w:type="dxa"/>
              <w:right w:w="15" w:type="dxa"/>
            </w:tcMar>
            <w:vAlign w:val="center"/>
          </w:tcPr>
          <w:p w14:paraId="6927B091">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96</w:t>
            </w:r>
          </w:p>
        </w:tc>
        <w:tc>
          <w:tcPr>
            <w:tcW w:w="1230" w:type="dxa"/>
            <w:noWrap w:val="0"/>
            <w:tcMar>
              <w:top w:w="15" w:type="dxa"/>
              <w:left w:w="15" w:type="dxa"/>
              <w:right w:w="15" w:type="dxa"/>
            </w:tcMar>
            <w:vAlign w:val="center"/>
          </w:tcPr>
          <w:p w14:paraId="5095A20F">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≥98</w:t>
            </w:r>
          </w:p>
        </w:tc>
        <w:tc>
          <w:tcPr>
            <w:tcW w:w="1006" w:type="dxa"/>
            <w:noWrap w:val="0"/>
            <w:tcMar>
              <w:top w:w="15" w:type="dxa"/>
              <w:left w:w="15" w:type="dxa"/>
              <w:right w:w="15" w:type="dxa"/>
            </w:tcMar>
            <w:vAlign w:val="center"/>
          </w:tcPr>
          <w:p w14:paraId="244754A8">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99.10</w:t>
            </w:r>
          </w:p>
        </w:tc>
      </w:tr>
      <w:tr w14:paraId="3970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35399D59">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19</w:t>
            </w:r>
          </w:p>
        </w:tc>
        <w:tc>
          <w:tcPr>
            <w:tcW w:w="4545" w:type="dxa"/>
            <w:noWrap w:val="0"/>
            <w:tcMar>
              <w:top w:w="15" w:type="dxa"/>
              <w:left w:w="15" w:type="dxa"/>
              <w:right w:w="15" w:type="dxa"/>
            </w:tcMar>
            <w:vAlign w:val="center"/>
          </w:tcPr>
          <w:p w14:paraId="2E88DC1A">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劳动人事争议仲裁结案率（%）</w:t>
            </w:r>
          </w:p>
        </w:tc>
        <w:tc>
          <w:tcPr>
            <w:tcW w:w="1125" w:type="dxa"/>
            <w:noWrap w:val="0"/>
            <w:tcMar>
              <w:top w:w="15" w:type="dxa"/>
              <w:left w:w="15" w:type="dxa"/>
              <w:right w:w="15" w:type="dxa"/>
            </w:tcMar>
            <w:vAlign w:val="center"/>
          </w:tcPr>
          <w:p w14:paraId="4AF35DEF">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93</w:t>
            </w:r>
          </w:p>
        </w:tc>
        <w:tc>
          <w:tcPr>
            <w:tcW w:w="1230" w:type="dxa"/>
            <w:noWrap w:val="0"/>
            <w:tcMar>
              <w:top w:w="15" w:type="dxa"/>
              <w:left w:w="15" w:type="dxa"/>
              <w:right w:w="15" w:type="dxa"/>
            </w:tcMar>
            <w:vAlign w:val="center"/>
          </w:tcPr>
          <w:p w14:paraId="586F4ED9">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≥94</w:t>
            </w:r>
          </w:p>
        </w:tc>
        <w:tc>
          <w:tcPr>
            <w:tcW w:w="1006" w:type="dxa"/>
            <w:noWrap w:val="0"/>
            <w:tcMar>
              <w:top w:w="15" w:type="dxa"/>
              <w:left w:w="15" w:type="dxa"/>
              <w:right w:w="15" w:type="dxa"/>
            </w:tcMar>
            <w:vAlign w:val="center"/>
          </w:tcPr>
          <w:p w14:paraId="4D7BDDE6">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96.79</w:t>
            </w:r>
          </w:p>
        </w:tc>
      </w:tr>
      <w:tr w14:paraId="4533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0A5F4043">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20</w:t>
            </w:r>
          </w:p>
        </w:tc>
        <w:tc>
          <w:tcPr>
            <w:tcW w:w="4545" w:type="dxa"/>
            <w:noWrap w:val="0"/>
            <w:tcMar>
              <w:top w:w="15" w:type="dxa"/>
              <w:left w:w="15" w:type="dxa"/>
              <w:right w:w="15" w:type="dxa"/>
            </w:tcMar>
            <w:vAlign w:val="center"/>
          </w:tcPr>
          <w:p w14:paraId="49F6BFFE">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劳动人事争议仲裁调解成功率（%）</w:t>
            </w:r>
          </w:p>
        </w:tc>
        <w:tc>
          <w:tcPr>
            <w:tcW w:w="1125" w:type="dxa"/>
            <w:noWrap w:val="0"/>
            <w:tcMar>
              <w:top w:w="15" w:type="dxa"/>
              <w:left w:w="15" w:type="dxa"/>
              <w:right w:w="15" w:type="dxa"/>
            </w:tcMar>
            <w:vAlign w:val="center"/>
          </w:tcPr>
          <w:p w14:paraId="68DC1799">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60</w:t>
            </w:r>
          </w:p>
        </w:tc>
        <w:tc>
          <w:tcPr>
            <w:tcW w:w="1230" w:type="dxa"/>
            <w:noWrap w:val="0"/>
            <w:tcMar>
              <w:top w:w="15" w:type="dxa"/>
              <w:left w:w="15" w:type="dxa"/>
              <w:right w:w="15" w:type="dxa"/>
            </w:tcMar>
            <w:vAlign w:val="center"/>
          </w:tcPr>
          <w:p w14:paraId="0455BE99">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≥60</w:t>
            </w:r>
          </w:p>
        </w:tc>
        <w:tc>
          <w:tcPr>
            <w:tcW w:w="1006" w:type="dxa"/>
            <w:noWrap w:val="0"/>
            <w:tcMar>
              <w:top w:w="15" w:type="dxa"/>
              <w:left w:w="15" w:type="dxa"/>
              <w:right w:w="15" w:type="dxa"/>
            </w:tcMar>
            <w:vAlign w:val="center"/>
          </w:tcPr>
          <w:p w14:paraId="3EB1F642">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64.71</w:t>
            </w:r>
          </w:p>
        </w:tc>
      </w:tr>
      <w:tr w14:paraId="136F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04" w:type="dxa"/>
            <w:gridSpan w:val="5"/>
            <w:noWrap w:val="0"/>
            <w:tcMar>
              <w:top w:w="15" w:type="dxa"/>
              <w:left w:w="15" w:type="dxa"/>
              <w:right w:w="15" w:type="dxa"/>
            </w:tcMar>
            <w:vAlign w:val="center"/>
          </w:tcPr>
          <w:p w14:paraId="709731E5">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方正黑体_GBK" w:hAnsi="方正黑体_GBK" w:eastAsia="方正黑体_GBK" w:cs="方正黑体_GBK"/>
                <w:b w:val="0"/>
                <w:bCs/>
                <w:color w:val="auto"/>
                <w:sz w:val="21"/>
                <w:szCs w:val="21"/>
                <w:highlight w:val="none"/>
                <w:shd w:val="clear" w:color="auto" w:fill="auto"/>
                <w:lang w:val="en-US" w:eastAsia="zh-CN"/>
              </w:rPr>
              <w:t>五、公共服务</w:t>
            </w:r>
          </w:p>
        </w:tc>
      </w:tr>
      <w:tr w14:paraId="2A3F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449320A7">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21</w:t>
            </w:r>
          </w:p>
        </w:tc>
        <w:tc>
          <w:tcPr>
            <w:tcW w:w="4545" w:type="dxa"/>
            <w:noWrap w:val="0"/>
            <w:tcMar>
              <w:top w:w="15" w:type="dxa"/>
              <w:left w:w="15" w:type="dxa"/>
              <w:right w:w="15" w:type="dxa"/>
            </w:tcMar>
            <w:vAlign w:val="center"/>
          </w:tcPr>
          <w:p w14:paraId="6FDA1812">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申领电子社保卡人口覆盖率（%）</w:t>
            </w:r>
          </w:p>
        </w:tc>
        <w:tc>
          <w:tcPr>
            <w:tcW w:w="1125" w:type="dxa"/>
            <w:noWrap w:val="0"/>
            <w:tcMar>
              <w:top w:w="15" w:type="dxa"/>
              <w:left w:w="15" w:type="dxa"/>
              <w:right w:w="15" w:type="dxa"/>
            </w:tcMar>
            <w:vAlign w:val="center"/>
          </w:tcPr>
          <w:p w14:paraId="02AC77F5">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19</w:t>
            </w:r>
          </w:p>
        </w:tc>
        <w:tc>
          <w:tcPr>
            <w:tcW w:w="1230" w:type="dxa"/>
            <w:noWrap w:val="0"/>
            <w:tcMar>
              <w:top w:w="15" w:type="dxa"/>
              <w:left w:w="15" w:type="dxa"/>
              <w:right w:w="15" w:type="dxa"/>
            </w:tcMar>
            <w:vAlign w:val="center"/>
          </w:tcPr>
          <w:p w14:paraId="6178F1B1">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67</w:t>
            </w:r>
          </w:p>
        </w:tc>
        <w:tc>
          <w:tcPr>
            <w:tcW w:w="1006" w:type="dxa"/>
            <w:noWrap w:val="0"/>
            <w:tcMar>
              <w:top w:w="15" w:type="dxa"/>
              <w:left w:w="15" w:type="dxa"/>
              <w:right w:w="15" w:type="dxa"/>
            </w:tcMar>
            <w:vAlign w:val="center"/>
          </w:tcPr>
          <w:p w14:paraId="22FB253E">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81.10</w:t>
            </w:r>
          </w:p>
        </w:tc>
      </w:tr>
      <w:tr w14:paraId="6B49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271796B3">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22</w:t>
            </w:r>
          </w:p>
        </w:tc>
        <w:tc>
          <w:tcPr>
            <w:tcW w:w="4545" w:type="dxa"/>
            <w:noWrap w:val="0"/>
            <w:tcMar>
              <w:top w:w="15" w:type="dxa"/>
              <w:left w:w="15" w:type="dxa"/>
              <w:right w:w="15" w:type="dxa"/>
            </w:tcMar>
            <w:vAlign w:val="center"/>
          </w:tcPr>
          <w:p w14:paraId="1C282D8F">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政务服务事项不见面办理率（%）</w:t>
            </w:r>
          </w:p>
        </w:tc>
        <w:tc>
          <w:tcPr>
            <w:tcW w:w="1125" w:type="dxa"/>
            <w:noWrap w:val="0"/>
            <w:tcMar>
              <w:top w:w="15" w:type="dxa"/>
              <w:left w:w="15" w:type="dxa"/>
              <w:right w:w="15" w:type="dxa"/>
            </w:tcMar>
            <w:vAlign w:val="center"/>
          </w:tcPr>
          <w:p w14:paraId="1B8F99BA">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4B2B6A56">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≥90</w:t>
            </w:r>
          </w:p>
        </w:tc>
        <w:tc>
          <w:tcPr>
            <w:tcW w:w="1006" w:type="dxa"/>
            <w:noWrap w:val="0"/>
            <w:tcMar>
              <w:top w:w="15" w:type="dxa"/>
              <w:left w:w="15" w:type="dxa"/>
              <w:right w:w="15" w:type="dxa"/>
            </w:tcMar>
            <w:vAlign w:val="center"/>
          </w:tcPr>
          <w:p w14:paraId="4130AA27">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90.57</w:t>
            </w:r>
          </w:p>
        </w:tc>
      </w:tr>
      <w:tr w14:paraId="65A3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8" w:type="dxa"/>
            <w:noWrap w:val="0"/>
            <w:tcMar>
              <w:top w:w="15" w:type="dxa"/>
              <w:left w:w="15" w:type="dxa"/>
              <w:right w:w="15" w:type="dxa"/>
            </w:tcMar>
            <w:vAlign w:val="center"/>
          </w:tcPr>
          <w:p w14:paraId="1C1DF90C">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23</w:t>
            </w:r>
          </w:p>
        </w:tc>
        <w:tc>
          <w:tcPr>
            <w:tcW w:w="4545" w:type="dxa"/>
            <w:noWrap w:val="0"/>
            <w:tcMar>
              <w:top w:w="15" w:type="dxa"/>
              <w:left w:w="15" w:type="dxa"/>
              <w:right w:w="15" w:type="dxa"/>
            </w:tcMar>
            <w:vAlign w:val="center"/>
          </w:tcPr>
          <w:p w14:paraId="69F692AC">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both"/>
              <w:textAlignment w:val="center"/>
              <w:outlineLvl w:val="9"/>
              <w:rPr>
                <w:rFonts w:hint="eastAsia" w:ascii="Times New Roman" w:hAnsi="Times New Roman" w:cs="Times New Roman"/>
                <w:b w:val="0"/>
                <w:bCs/>
                <w:color w:val="auto"/>
                <w:sz w:val="21"/>
                <w:szCs w:val="21"/>
                <w:highlight w:val="none"/>
                <w:shd w:val="clear" w:color="auto" w:fill="auto"/>
                <w:lang w:val="en-US" w:eastAsia="zh-CN"/>
              </w:rPr>
            </w:pPr>
            <w:r>
              <w:rPr>
                <w:rFonts w:hint="eastAsia" w:ascii="Times New Roman" w:hAnsi="Times New Roman" w:cs="Times New Roman"/>
                <w:b w:val="0"/>
                <w:bCs/>
                <w:color w:val="auto"/>
                <w:sz w:val="21"/>
                <w:szCs w:val="21"/>
                <w:highlight w:val="none"/>
                <w:shd w:val="clear" w:color="auto" w:fill="auto"/>
                <w:lang w:val="en-US" w:eastAsia="zh-CN"/>
              </w:rPr>
              <w:t>“最多跑一趟”事项（%）</w:t>
            </w:r>
          </w:p>
        </w:tc>
        <w:tc>
          <w:tcPr>
            <w:tcW w:w="1125" w:type="dxa"/>
            <w:noWrap w:val="0"/>
            <w:tcMar>
              <w:top w:w="15" w:type="dxa"/>
              <w:left w:w="15" w:type="dxa"/>
              <w:right w:w="15" w:type="dxa"/>
            </w:tcMar>
            <w:vAlign w:val="center"/>
          </w:tcPr>
          <w:p w14:paraId="1CA6FA27">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1230" w:type="dxa"/>
            <w:noWrap w:val="0"/>
            <w:tcMar>
              <w:top w:w="15" w:type="dxa"/>
              <w:left w:w="15" w:type="dxa"/>
              <w:right w:w="15" w:type="dxa"/>
            </w:tcMar>
            <w:vAlign w:val="center"/>
          </w:tcPr>
          <w:p w14:paraId="7E121804">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≥90</w:t>
            </w:r>
          </w:p>
        </w:tc>
        <w:tc>
          <w:tcPr>
            <w:tcW w:w="1006" w:type="dxa"/>
            <w:noWrap w:val="0"/>
            <w:tcMar>
              <w:top w:w="15" w:type="dxa"/>
              <w:left w:w="15" w:type="dxa"/>
              <w:right w:w="15" w:type="dxa"/>
            </w:tcMar>
            <w:vAlign w:val="center"/>
          </w:tcPr>
          <w:p w14:paraId="1D2EBB9B">
            <w:pPr>
              <w:keepNext/>
              <w:keepLines w:val="0"/>
              <w:pageBreakBefore w:val="0"/>
              <w:widowControl/>
              <w:kinsoku/>
              <w:wordWrap/>
              <w:overflowPunct/>
              <w:topLinePunct w:val="0"/>
              <w:autoSpaceDE/>
              <w:autoSpaceDN/>
              <w:bidi w:val="0"/>
              <w:adjustRightInd/>
              <w:snapToGrid/>
              <w:spacing w:line="44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100</w:t>
            </w:r>
          </w:p>
        </w:tc>
      </w:tr>
      <w:tr w14:paraId="1E0F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504" w:type="dxa"/>
            <w:gridSpan w:val="5"/>
            <w:noWrap w:val="0"/>
            <w:tcMar>
              <w:top w:w="15" w:type="dxa"/>
              <w:left w:w="15" w:type="dxa"/>
              <w:right w:w="15" w:type="dxa"/>
            </w:tcMar>
            <w:vAlign w:val="center"/>
          </w:tcPr>
          <w:p w14:paraId="5AA0F241">
            <w:pPr>
              <w:keepNext/>
              <w:keepLines w:val="0"/>
              <w:pageBreakBefore w:val="0"/>
              <w:widowControl/>
              <w:kinsoku/>
              <w:wordWrap/>
              <w:overflowPunct/>
              <w:topLinePunct w:val="0"/>
              <w:autoSpaceDE/>
              <w:autoSpaceDN/>
              <w:bidi w:val="0"/>
              <w:adjustRightInd/>
              <w:snapToGrid/>
              <w:spacing w:line="440" w:lineRule="exact"/>
              <w:ind w:firstLine="0" w:firstLineChars="0"/>
              <w:jc w:val="left"/>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strike w:val="0"/>
                <w:dstrike w:val="0"/>
                <w:color w:val="auto"/>
                <w:kern w:val="0"/>
                <w:sz w:val="21"/>
                <w:szCs w:val="21"/>
                <w:highlight w:val="none"/>
                <w:lang w:val="en-US" w:eastAsia="zh-CN"/>
              </w:rPr>
              <w:t>注：带</w:t>
            </w: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 xml:space="preserve"> </w:t>
            </w: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strike w:val="0"/>
                <w:dstrike w:val="0"/>
                <w:color w:val="auto"/>
                <w:kern w:val="0"/>
                <w:sz w:val="21"/>
                <w:szCs w:val="21"/>
                <w:highlight w:val="none"/>
                <w:lang w:val="en-US" w:eastAsia="zh-CN"/>
              </w:rPr>
              <w:t>表示五年累计数</w:t>
            </w:r>
          </w:p>
        </w:tc>
      </w:tr>
    </w:tbl>
    <w:p w14:paraId="406869B4">
      <w:pPr>
        <w:keepNext/>
        <w:keepLines w:val="0"/>
        <w:pageBreakBefore w:val="0"/>
        <w:widowControl w:val="0"/>
        <w:kinsoku/>
        <w:wordWrap/>
        <w:overflowPunct/>
        <w:topLinePunct w:val="0"/>
        <w:autoSpaceDE/>
        <w:autoSpaceDN/>
        <w:bidi w:val="0"/>
        <w:adjustRightInd/>
        <w:snapToGrid/>
        <w:spacing w:line="540" w:lineRule="exact"/>
        <w:ind w:left="0" w:right="0" w:rightChars="0" w:firstLine="640" w:firstLineChars="200"/>
        <w:jc w:val="both"/>
        <w:textAlignment w:val="auto"/>
        <w:outlineLvl w:val="9"/>
        <w:rPr>
          <w:rFonts w:hint="eastAsia" w:ascii="Times New Roman" w:hAnsi="Times New Roman" w:eastAsia="方正仿宋_GBK" w:cs="Times New Roman"/>
          <w:b w:val="0"/>
          <w:color w:val="auto"/>
          <w:kern w:val="2"/>
          <w:sz w:val="32"/>
          <w:szCs w:val="32"/>
          <w:lang w:val="en-US" w:eastAsia="zh-CN" w:bidi="ar-SA"/>
        </w:rPr>
      </w:pPr>
      <w:r>
        <w:rPr>
          <w:rFonts w:hint="eastAsia" w:ascii="Times New Roman" w:hAnsi="Times New Roman" w:eastAsia="方正仿宋_GBK" w:cs="Times New Roman"/>
          <w:color w:val="auto"/>
          <w:sz w:val="32"/>
          <w:szCs w:val="32"/>
          <w:lang w:val="en-US" w:eastAsia="zh-CN"/>
        </w:rPr>
        <w:t>“十五五”时期，乌鲁木齐市人力资源和社会保障事业发展面临诸多机遇与挑战。“一带一路”核心区建设加速推进，西部大开发新格局与自贸试验区政策双重叠加，数字经济、绿色经济等新经济、新业态快速发展，创造出大量的新职业、新岗位。自治区党委高度重视乌鲁木齐工作，为推动全市人社事业高质量发展提供了强大动力支撑。大数据、云计算、人工智能等技术在人社领域的深度应用，打破了时空限制，大幅提升了服务的可及性和均等化水平。</w:t>
      </w:r>
      <w:r>
        <w:rPr>
          <w:rFonts w:hint="eastAsia" w:ascii="Times New Roman" w:hAnsi="Times New Roman" w:eastAsia="方正仿宋_GBK" w:cs="Times New Roman"/>
          <w:b w:val="0"/>
          <w:bCs w:val="0"/>
          <w:color w:val="auto"/>
          <w:kern w:val="2"/>
          <w:sz w:val="32"/>
          <w:szCs w:val="32"/>
          <w:lang w:val="en-US" w:eastAsia="zh-CN" w:bidi="ar-SA"/>
        </w:rPr>
        <w:t>同时也要看到，</w:t>
      </w:r>
      <w:r>
        <w:rPr>
          <w:rFonts w:hint="eastAsia" w:ascii="方正仿宋_GBK" w:hAnsi="方正仿宋_GBK" w:eastAsia="方正仿宋_GBK" w:cs="方正仿宋_GBK"/>
          <w:b w:val="0"/>
          <w:bCs w:val="0"/>
          <w:color w:val="auto"/>
          <w:sz w:val="32"/>
          <w:szCs w:val="32"/>
          <w:lang w:val="en-US" w:eastAsia="zh-CN"/>
        </w:rPr>
        <w:t>人口老龄化态势加剧，劳动力供给总量增速趋缓，</w:t>
      </w:r>
      <w:r>
        <w:rPr>
          <w:rFonts w:hint="eastAsia" w:ascii="方正仿宋_GBK" w:hAnsi="方正仿宋_GBK" w:eastAsia="方正仿宋_GBK" w:cs="方正仿宋_GBK"/>
          <w:b w:val="0"/>
          <w:bCs w:val="0"/>
          <w:sz w:val="32"/>
          <w:szCs w:val="32"/>
          <w:lang w:eastAsia="zh-CN"/>
        </w:rPr>
        <w:t>结构性就业矛盾突出；</w:t>
      </w:r>
      <w:r>
        <w:rPr>
          <w:rFonts w:hint="eastAsia" w:ascii="Times New Roman" w:hAnsi="Times New Roman" w:eastAsia="方正仿宋_GBK" w:cs="Times New Roman"/>
          <w:b w:val="0"/>
          <w:color w:val="auto"/>
          <w:kern w:val="2"/>
          <w:sz w:val="32"/>
          <w:szCs w:val="32"/>
          <w:lang w:val="en-US" w:eastAsia="zh-CN" w:bidi="ar-SA"/>
        </w:rPr>
        <w:t>新就业形态人员、灵活就业人员的参保覆盖面和保障水平仍有不足；</w:t>
      </w:r>
      <w:r>
        <w:rPr>
          <w:rFonts w:hint="eastAsia" w:ascii="方正仿宋_GBK" w:hAnsi="方正仿宋_GBK" w:eastAsia="方正仿宋_GBK" w:cs="方正仿宋_GBK"/>
          <w:b w:val="0"/>
          <w:bCs w:val="0"/>
          <w:sz w:val="32"/>
          <w:szCs w:val="32"/>
          <w:lang w:eastAsia="zh-CN"/>
        </w:rPr>
        <w:t>高层次专业技术人员和新兴产业技能人才短缺</w:t>
      </w:r>
      <w:r>
        <w:rPr>
          <w:rFonts w:hint="eastAsia" w:ascii="Times New Roman" w:hAnsi="Times New Roman" w:eastAsia="方正仿宋_GBK" w:cs="Times New Roman"/>
          <w:b w:val="0"/>
          <w:color w:val="auto"/>
          <w:kern w:val="2"/>
          <w:sz w:val="32"/>
          <w:szCs w:val="32"/>
          <w:lang w:val="en-US" w:eastAsia="zh-CN" w:bidi="ar-SA"/>
        </w:rPr>
        <w:t>，人才发展环境的吸引力和竞争力有待增强；劳动关系的复杂性、不确定性增加，劳动权益保障难度加大；公共服务效能与人民群众的需求存在差距。</w:t>
      </w:r>
    </w:p>
    <w:p w14:paraId="4A94827E">
      <w:pPr>
        <w:keepNext/>
        <w:keepLines w:val="0"/>
        <w:pageBreakBefore w:val="0"/>
        <w:widowControl w:val="0"/>
        <w:kinsoku/>
        <w:wordWrap/>
        <w:overflowPunct/>
        <w:topLinePunct w:val="0"/>
        <w:autoSpaceDE/>
        <w:autoSpaceDN/>
        <w:bidi w:val="0"/>
        <w:adjustRightInd/>
        <w:snapToGrid/>
        <w:spacing w:line="540" w:lineRule="exact"/>
        <w:ind w:left="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全市人力资源和社会保障系统要深刻认识面临的新形势、新任务、新要求，加快塑造现代化人力资源，加大保障和改善民生力度，保持战略定位、增强必胜信心，在危机中育先机、于变局中开新局，为建设社会主义现代化新疆贡献首府人社力量。</w:t>
      </w:r>
    </w:p>
    <w:p w14:paraId="66976750">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lang w:eastAsia="zh-CN"/>
        </w:rPr>
      </w:pPr>
      <w:bookmarkStart w:id="2" w:name="_Toc19849"/>
      <w:r>
        <w:rPr>
          <w:rFonts w:hint="eastAsia" w:ascii="方正楷体简体" w:hAnsi="方正楷体简体" w:eastAsia="方正楷体简体" w:cs="方正楷体简体"/>
          <w:b w:val="0"/>
          <w:bCs/>
          <w:color w:val="auto"/>
          <w:lang w:eastAsia="zh-CN"/>
        </w:rPr>
        <w:t>第二节</w:t>
      </w:r>
      <w:r>
        <w:rPr>
          <w:rFonts w:hint="eastAsia" w:ascii="方正楷体简体" w:hAnsi="方正楷体简体" w:eastAsia="方正楷体简体" w:cs="方正楷体简体"/>
          <w:b w:val="0"/>
          <w:bCs/>
          <w:color w:val="auto"/>
          <w:lang w:val="en-US" w:eastAsia="zh-CN"/>
        </w:rPr>
        <w:t xml:space="preserve"> 指导思想</w:t>
      </w:r>
      <w:bookmarkEnd w:id="2"/>
    </w:p>
    <w:p w14:paraId="0B229A5A">
      <w:pPr>
        <w:keepNext/>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color w:val="auto"/>
          <w:kern w:val="2"/>
          <w:sz w:val="32"/>
          <w:szCs w:val="32"/>
          <w:lang w:val="en-US" w:eastAsia="zh-CN" w:bidi="ar-SA"/>
        </w:rPr>
      </w:pPr>
      <w:r>
        <w:rPr>
          <w:rFonts w:hint="eastAsia" w:ascii="方正仿宋_GBK" w:hAnsi="方正仿宋_GBK" w:eastAsia="方正仿宋_GBK" w:cs="方正仿宋_GBK"/>
          <w:color w:val="auto"/>
          <w:sz w:val="32"/>
          <w:szCs w:val="32"/>
          <w:lang w:eastAsia="zh-CN"/>
        </w:rPr>
        <w:t>坚持以</w:t>
      </w:r>
      <w:r>
        <w:rPr>
          <w:rFonts w:hint="eastAsia" w:ascii="方正仿宋_GBK" w:hAnsi="方正仿宋_GBK" w:eastAsia="方正仿宋_GBK" w:cs="方正仿宋_GBK"/>
          <w:color w:val="auto"/>
          <w:sz w:val="32"/>
          <w:szCs w:val="32"/>
        </w:rPr>
        <w:t>习近平新时代中国特色社会主义思想为指导，</w:t>
      </w:r>
      <w:r>
        <w:rPr>
          <w:rFonts w:hint="eastAsia" w:ascii="方正仿宋_GBK" w:hAnsi="方正仿宋_GBK" w:eastAsia="方正仿宋_GBK" w:cs="方正仿宋_GBK"/>
          <w:color w:val="auto"/>
          <w:sz w:val="32"/>
          <w:szCs w:val="32"/>
          <w:lang w:eastAsia="zh-CN"/>
        </w:rPr>
        <w:t>深入</w:t>
      </w:r>
      <w:r>
        <w:rPr>
          <w:rFonts w:hint="eastAsia" w:ascii="方正仿宋_GBK" w:hAnsi="方正仿宋_GBK" w:eastAsia="方正仿宋_GBK" w:cs="方正仿宋_GBK"/>
          <w:color w:val="auto"/>
          <w:sz w:val="32"/>
          <w:szCs w:val="32"/>
        </w:rPr>
        <w:t>贯彻党的二十大和二十届</w:t>
      </w:r>
      <w:r>
        <w:rPr>
          <w:rFonts w:hint="eastAsia" w:ascii="方正仿宋_GBK" w:hAnsi="方正仿宋_GBK" w:eastAsia="方正仿宋_GBK" w:cs="方正仿宋_GBK"/>
          <w:color w:val="auto"/>
          <w:sz w:val="32"/>
          <w:szCs w:val="32"/>
          <w:lang w:eastAsia="zh-CN"/>
        </w:rPr>
        <w:t>历次</w:t>
      </w:r>
      <w:r>
        <w:rPr>
          <w:rFonts w:hint="eastAsia" w:ascii="方正仿宋_GBK" w:hAnsi="方正仿宋_GBK" w:eastAsia="方正仿宋_GBK" w:cs="方正仿宋_GBK"/>
          <w:color w:val="auto"/>
          <w:sz w:val="32"/>
          <w:szCs w:val="32"/>
        </w:rPr>
        <w:t>全会精神，</w:t>
      </w:r>
      <w:r>
        <w:rPr>
          <w:rFonts w:hint="eastAsia" w:ascii="方正仿宋_GBK" w:hAnsi="方正仿宋_GBK" w:eastAsia="方正仿宋_GBK" w:cs="方正仿宋_GBK"/>
          <w:color w:val="auto"/>
          <w:sz w:val="32"/>
          <w:szCs w:val="32"/>
          <w:lang w:val="en-US" w:eastAsia="zh-CN"/>
        </w:rPr>
        <w:t>贯彻落实习近平总书记关于新疆工作的重要讲话重要指示批示精神</w:t>
      </w:r>
      <w:r>
        <w:rPr>
          <w:rFonts w:hint="eastAsia" w:ascii="方正仿宋_GBK" w:hAnsi="方正仿宋_GBK" w:eastAsia="方正仿宋_GBK" w:cs="方正仿宋_GBK"/>
          <w:color w:val="auto"/>
          <w:sz w:val="32"/>
          <w:szCs w:val="32"/>
        </w:rPr>
        <w:t>，完整准确</w:t>
      </w:r>
      <w:r>
        <w:rPr>
          <w:rFonts w:hint="eastAsia" w:ascii="方正仿宋_GBK" w:hAnsi="方正仿宋_GBK" w:eastAsia="方正仿宋_GBK" w:cs="方正仿宋_GBK"/>
          <w:color w:val="auto"/>
          <w:sz w:val="32"/>
          <w:szCs w:val="32"/>
          <w:lang w:val="en-US" w:eastAsia="zh-CN"/>
        </w:rPr>
        <w:t>全面</w:t>
      </w:r>
      <w:r>
        <w:rPr>
          <w:rFonts w:hint="eastAsia" w:ascii="方正仿宋_GBK" w:hAnsi="方正仿宋_GBK" w:eastAsia="方正仿宋_GBK" w:cs="方正仿宋_GBK"/>
          <w:color w:val="auto"/>
          <w:sz w:val="32"/>
          <w:szCs w:val="32"/>
        </w:rPr>
        <w:t>贯彻新时代党的治疆方略，</w:t>
      </w:r>
      <w:r>
        <w:rPr>
          <w:rFonts w:hint="eastAsia" w:ascii="方正仿宋_GBK" w:hAnsi="方正仿宋_GBK" w:eastAsia="方正仿宋_GBK" w:cs="方正仿宋_GBK"/>
          <w:color w:val="auto"/>
          <w:sz w:val="32"/>
          <w:szCs w:val="32"/>
          <w:lang w:val="en-US" w:eastAsia="zh-CN"/>
        </w:rPr>
        <w:t>牢牢扭住社会稳定和长治久安总目标，以铸牢中华民族共同体意识为主线，</w:t>
      </w:r>
      <w:r>
        <w:rPr>
          <w:rFonts w:hint="eastAsia" w:ascii="方正仿宋_GBK" w:hAnsi="方正仿宋_GBK" w:eastAsia="方正仿宋_GBK" w:cs="方正仿宋_GBK"/>
          <w:sz w:val="32"/>
          <w:szCs w:val="32"/>
          <w:lang w:val="en-US" w:eastAsia="zh-CN"/>
        </w:rPr>
        <w:t>锚定新疆在国家全局中的“五大战略定位”，围绕我市“一带一路”核心区重要节点城市，国家推进向西开放战略、构建新发展格局重要支点城市、丝绸之路经济带核心区“一港、五大中心”主要承载地的定位，</w:t>
      </w:r>
      <w:r>
        <w:rPr>
          <w:rFonts w:hint="eastAsia" w:ascii="Times New Roman" w:hAnsi="Times New Roman" w:eastAsia="方正仿宋_GBK" w:cs="Times New Roman"/>
          <w:color w:val="auto"/>
          <w:sz w:val="32"/>
          <w:szCs w:val="32"/>
          <w:lang w:val="en-US" w:eastAsia="zh-CN"/>
        </w:rPr>
        <w:t>坚持稳中求进工作总基调，</w:t>
      </w:r>
      <w:r>
        <w:rPr>
          <w:rFonts w:hint="eastAsia" w:ascii="方正仿宋_GBK" w:hAnsi="方正仿宋_GBK" w:eastAsia="方正仿宋_GBK" w:cs="方正仿宋_GBK"/>
          <w:color w:val="auto"/>
          <w:sz w:val="32"/>
          <w:szCs w:val="32"/>
        </w:rPr>
        <w:t>以就业优先战略为</w:t>
      </w:r>
      <w:r>
        <w:rPr>
          <w:rFonts w:hint="eastAsia" w:ascii="方正仿宋_GBK" w:hAnsi="方正仿宋_GBK" w:eastAsia="方正仿宋_GBK" w:cs="方正仿宋_GBK"/>
          <w:color w:val="auto"/>
          <w:sz w:val="32"/>
          <w:szCs w:val="32"/>
          <w:lang w:eastAsia="zh-CN"/>
        </w:rPr>
        <w:t>目标导向</w:t>
      </w:r>
      <w:r>
        <w:rPr>
          <w:rFonts w:hint="eastAsia" w:ascii="方正仿宋_GBK" w:hAnsi="方正仿宋_GBK" w:eastAsia="方正仿宋_GBK" w:cs="方正仿宋_GBK"/>
          <w:color w:val="auto"/>
          <w:sz w:val="32"/>
          <w:szCs w:val="32"/>
        </w:rPr>
        <w:t>、社会保障体系为安全底线</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人才强</w:t>
      </w:r>
      <w:r>
        <w:rPr>
          <w:rFonts w:hint="eastAsia" w:ascii="方正仿宋_GBK" w:hAnsi="方正仿宋_GBK" w:eastAsia="方正仿宋_GBK" w:cs="方正仿宋_GBK"/>
          <w:color w:val="auto"/>
          <w:sz w:val="32"/>
          <w:szCs w:val="32"/>
          <w:lang w:eastAsia="zh-CN"/>
        </w:rPr>
        <w:t>市</w:t>
      </w:r>
      <w:r>
        <w:rPr>
          <w:rFonts w:hint="eastAsia" w:ascii="方正仿宋_GBK" w:hAnsi="方正仿宋_GBK" w:eastAsia="方正仿宋_GBK" w:cs="方正仿宋_GBK"/>
          <w:color w:val="auto"/>
          <w:sz w:val="32"/>
          <w:szCs w:val="32"/>
        </w:rPr>
        <w:t>战略为动力引擎、劳动关系和谐为治理基石，</w:t>
      </w:r>
      <w:r>
        <w:rPr>
          <w:rFonts w:hint="eastAsia" w:ascii="方正仿宋_GBK" w:hAnsi="方正仿宋_GBK" w:eastAsia="方正仿宋_GBK" w:cs="方正仿宋_GBK"/>
          <w:color w:val="auto"/>
          <w:sz w:val="32"/>
          <w:szCs w:val="32"/>
          <w:lang w:eastAsia="zh-CN"/>
        </w:rPr>
        <w:t>全力以赴</w:t>
      </w:r>
      <w:r>
        <w:rPr>
          <w:rFonts w:hint="eastAsia" w:ascii="方正仿宋_GBK" w:hAnsi="方正仿宋_GBK" w:eastAsia="方正仿宋_GBK" w:cs="方正仿宋_GBK"/>
          <w:color w:val="auto"/>
          <w:sz w:val="32"/>
          <w:szCs w:val="32"/>
        </w:rPr>
        <w:t>构建适应高质量发展、彰显中国式现代化特征的</w:t>
      </w:r>
      <w:r>
        <w:rPr>
          <w:rFonts w:hint="eastAsia" w:ascii="方正仿宋_GBK" w:hAnsi="方正仿宋_GBK" w:eastAsia="方正仿宋_GBK" w:cs="方正仿宋_GBK"/>
          <w:color w:val="auto"/>
          <w:sz w:val="32"/>
          <w:szCs w:val="32"/>
          <w:lang w:eastAsia="zh-CN"/>
        </w:rPr>
        <w:t>首府</w:t>
      </w:r>
      <w:r>
        <w:rPr>
          <w:rFonts w:hint="eastAsia" w:ascii="方正仿宋_GBK" w:hAnsi="方正仿宋_GBK" w:eastAsia="方正仿宋_GBK" w:cs="方正仿宋_GBK"/>
          <w:color w:val="auto"/>
          <w:sz w:val="32"/>
          <w:szCs w:val="32"/>
        </w:rPr>
        <w:t>人社事业新发展格局，为全面建设</w:t>
      </w:r>
      <w:r>
        <w:rPr>
          <w:rFonts w:hint="eastAsia" w:ascii="方正仿宋_GBK" w:hAnsi="方正仿宋_GBK" w:eastAsia="方正仿宋_GBK" w:cs="方正仿宋_GBK"/>
          <w:color w:val="auto"/>
          <w:sz w:val="32"/>
          <w:szCs w:val="32"/>
          <w:lang w:eastAsia="zh-CN"/>
        </w:rPr>
        <w:t>幸福乌鲁木齐</w:t>
      </w:r>
      <w:r>
        <w:rPr>
          <w:rFonts w:hint="eastAsia" w:ascii="方正仿宋_GBK" w:hAnsi="方正仿宋_GBK" w:eastAsia="方正仿宋_GBK" w:cs="方正仿宋_GBK"/>
          <w:color w:val="auto"/>
          <w:sz w:val="32"/>
          <w:szCs w:val="32"/>
        </w:rPr>
        <w:t>提供坚实的人力资源和社会保障支撑。</w:t>
      </w:r>
    </w:p>
    <w:p w14:paraId="6B4E4BE2">
      <w:pPr>
        <w:keepNext/>
        <w:keepLines w:val="0"/>
        <w:pageBreakBefore w:val="0"/>
        <w:widowControl w:val="0"/>
        <w:kinsoku/>
        <w:wordWrap w:val="0"/>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rPr>
        <w:t>坚持党的全面领导。</w:t>
      </w:r>
      <w:r>
        <w:rPr>
          <w:rFonts w:hint="eastAsia" w:ascii="方正仿宋_GBK" w:hAnsi="方正仿宋_GBK" w:eastAsia="方正仿宋_GBK" w:cs="方正仿宋_GBK"/>
          <w:color w:val="auto"/>
          <w:sz w:val="32"/>
          <w:szCs w:val="32"/>
          <w:lang w:eastAsia="zh-CN"/>
        </w:rPr>
        <w:t>坚决维护党中央权威和集中统一领导，</w:t>
      </w:r>
      <w:r>
        <w:rPr>
          <w:rFonts w:hint="eastAsia" w:ascii="Times New Roman" w:hAnsi="Times New Roman" w:eastAsia="方正仿宋_GBK" w:cs="Times New Roman"/>
          <w:color w:val="auto"/>
          <w:sz w:val="32"/>
          <w:szCs w:val="32"/>
          <w:lang w:val="en-US" w:eastAsia="zh-CN"/>
        </w:rPr>
        <w:t>坚定拥护“两个确立”、坚决做到“两个维护”，不折不扣贯彻落实党中央部署决策，落实自治区党委、市委相关工作要求，</w:t>
      </w:r>
      <w:r>
        <w:rPr>
          <w:rFonts w:hint="eastAsia" w:ascii="方正仿宋_GBK" w:hAnsi="方正仿宋_GBK" w:eastAsia="方正仿宋_GBK" w:cs="方正仿宋_GBK"/>
          <w:color w:val="auto"/>
          <w:sz w:val="32"/>
          <w:szCs w:val="32"/>
          <w:lang w:eastAsia="zh-CN"/>
        </w:rPr>
        <w:t>推动</w:t>
      </w:r>
      <w:r>
        <w:rPr>
          <w:rFonts w:hint="eastAsia" w:ascii="Times New Roman" w:hAnsi="Times New Roman" w:eastAsia="方正仿宋_GBK" w:cs="Times New Roman"/>
          <w:color w:val="auto"/>
          <w:sz w:val="32"/>
          <w:szCs w:val="32"/>
          <w:lang w:val="en-US" w:eastAsia="zh-CN"/>
        </w:rPr>
        <w:t>党的路线方针政策落地见效。</w:t>
      </w:r>
    </w:p>
    <w:p w14:paraId="7E61159A">
      <w:pPr>
        <w:keepNext/>
        <w:keepLines w:val="0"/>
        <w:pageBreakBefore w:val="0"/>
        <w:widowControl w:val="0"/>
        <w:kinsoku/>
        <w:wordWrap w:val="0"/>
        <w:overflowPunct/>
        <w:topLinePunct w:val="0"/>
        <w:autoSpaceDE/>
        <w:autoSpaceDN/>
        <w:bidi w:val="0"/>
        <w:adjustRightInd/>
        <w:snapToGrid/>
        <w:spacing w:line="560" w:lineRule="exact"/>
        <w:ind w:left="0" w:leftChars="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lang w:eastAsia="zh-CN"/>
        </w:rPr>
        <w:t>——坚持以铸牢中华民族共同体意识为主线。</w:t>
      </w:r>
      <w:r>
        <w:rPr>
          <w:rFonts w:hint="eastAsia" w:ascii="Times New Roman" w:hAnsi="Times New Roman" w:eastAsia="方正仿宋_GBK" w:cs="Times New Roman"/>
          <w:color w:val="auto"/>
          <w:sz w:val="32"/>
          <w:szCs w:val="32"/>
          <w:lang w:val="en-US" w:eastAsia="zh-CN"/>
        </w:rPr>
        <w:t>将铸牢中华民族共同体意识融入人社事业发展各方面全过程，在有形有感有效上持续用力，不断增进各族群众“五个认同”。</w:t>
      </w:r>
    </w:p>
    <w:p w14:paraId="4E03C6E6">
      <w:pPr>
        <w:keepNext/>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outlineLvl w:val="9"/>
        <w:rPr>
          <w:rFonts w:hint="eastAsia"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rPr>
        <w:t>坚持人民</w:t>
      </w:r>
      <w:r>
        <w:rPr>
          <w:rFonts w:hint="eastAsia" w:ascii="方正仿宋_GBK" w:hAnsi="方正仿宋_GBK" w:eastAsia="方正仿宋_GBK" w:cs="方正仿宋_GBK"/>
          <w:b/>
          <w:bCs/>
          <w:color w:val="auto"/>
          <w:sz w:val="32"/>
          <w:szCs w:val="32"/>
          <w:lang w:val="en-US" w:eastAsia="zh-CN"/>
        </w:rPr>
        <w:t>至上</w:t>
      </w:r>
      <w:r>
        <w:rPr>
          <w:rFonts w:hint="eastAsia" w:ascii="方正仿宋_GBK" w:hAnsi="方正仿宋_GBK" w:eastAsia="方正仿宋_GBK" w:cs="方正仿宋_GBK"/>
          <w:b/>
          <w:bCs/>
          <w:color w:val="auto"/>
          <w:sz w:val="32"/>
          <w:szCs w:val="32"/>
        </w:rPr>
        <w:t>。</w:t>
      </w:r>
      <w:r>
        <w:rPr>
          <w:rFonts w:hint="eastAsia" w:ascii="Times New Roman" w:hAnsi="Times New Roman" w:eastAsia="方正仿宋_GBK" w:cs="Times New Roman"/>
          <w:color w:val="auto"/>
          <w:sz w:val="32"/>
          <w:szCs w:val="32"/>
          <w:lang w:val="en-US" w:eastAsia="zh-CN"/>
        </w:rPr>
        <w:t>尊重人民主体地位，紧紧依靠人民，维护人民根本利益，促进社会公平正义。加强普惠性、基础性、兜底性民生建设，解决好群众“急难愁盼”问题，注重在发展中保障和改善民生，让现代化建设成果更多更公平惠及各族群众。</w:t>
      </w:r>
    </w:p>
    <w:p w14:paraId="6E9C52B3">
      <w:pPr>
        <w:keepNext/>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b/>
          <w:bCs/>
          <w:color w:val="auto"/>
          <w:sz w:val="32"/>
          <w:szCs w:val="32"/>
          <w:lang w:eastAsia="zh-CN"/>
        </w:rPr>
        <w:t>——坚持围绕中心</w:t>
      </w:r>
      <w:r>
        <w:rPr>
          <w:rFonts w:hint="eastAsia" w:ascii="方正仿宋_GBK" w:hAnsi="方正仿宋_GBK" w:eastAsia="方正仿宋_GBK" w:cs="方正仿宋_GBK"/>
          <w:b/>
          <w:bCs/>
          <w:color w:val="auto"/>
          <w:sz w:val="32"/>
          <w:szCs w:val="32"/>
        </w:rPr>
        <w:t>服务大局。</w:t>
      </w:r>
      <w:r>
        <w:rPr>
          <w:rFonts w:hint="eastAsia" w:ascii="Times New Roman" w:hAnsi="Times New Roman" w:eastAsia="方正仿宋_GBK" w:cs="Times New Roman"/>
          <w:color w:val="auto"/>
          <w:sz w:val="32"/>
          <w:szCs w:val="32"/>
          <w:lang w:val="en-US" w:eastAsia="zh-CN"/>
        </w:rPr>
        <w:t>以新发展理念引领发展，紧扣发展新质生产力的新要求，围绕“枢纽门户、国际交往、先进制造、科技创新、和谐宜居”五大核心功能建设，推动人社工作与城市发展同频共振，服务我市高质量发展大局。</w:t>
      </w:r>
    </w:p>
    <w:p w14:paraId="6EDD6785">
      <w:pPr>
        <w:keepNext/>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rPr>
        <w:t>坚持改革创新。</w:t>
      </w:r>
      <w:r>
        <w:rPr>
          <w:rFonts w:hint="eastAsia" w:ascii="方正仿宋_GBK" w:hAnsi="方正仿宋_GBK" w:eastAsia="方正仿宋_GBK" w:cs="方正仿宋_GBK"/>
          <w:color w:val="auto"/>
          <w:sz w:val="32"/>
          <w:szCs w:val="32"/>
          <w:lang w:eastAsia="zh-CN"/>
        </w:rPr>
        <w:t>着力破解传统发展模式和体制机制障碍，创新工作思路、服务模式和管理机制，深化就业创业、社会保障、人才人事、劳动关系等领域改革，</w:t>
      </w:r>
      <w:r>
        <w:rPr>
          <w:rFonts w:hint="eastAsia" w:ascii="方正仿宋_GBK" w:hAnsi="方正仿宋_GBK" w:eastAsia="方正仿宋_GBK" w:cs="方正仿宋_GBK"/>
          <w:color w:val="auto"/>
          <w:sz w:val="32"/>
          <w:szCs w:val="32"/>
          <w:lang w:val="en-US" w:eastAsia="zh-CN"/>
        </w:rPr>
        <w:t>不断</w:t>
      </w:r>
      <w:r>
        <w:rPr>
          <w:rFonts w:hint="eastAsia" w:ascii="方正仿宋_GBK" w:hAnsi="方正仿宋_GBK" w:eastAsia="方正仿宋_GBK" w:cs="方正仿宋_GBK"/>
          <w:color w:val="auto"/>
          <w:sz w:val="32"/>
          <w:szCs w:val="32"/>
          <w:lang w:eastAsia="zh-CN"/>
        </w:rPr>
        <w:t>激发</w:t>
      </w:r>
      <w:r>
        <w:rPr>
          <w:rFonts w:hint="eastAsia" w:ascii="方正仿宋_GBK" w:hAnsi="方正仿宋_GBK" w:eastAsia="方正仿宋_GBK" w:cs="方正仿宋_GBK"/>
          <w:color w:val="auto"/>
          <w:sz w:val="32"/>
          <w:szCs w:val="32"/>
          <w:lang w:val="en-US" w:eastAsia="zh-CN"/>
        </w:rPr>
        <w:t>人社</w:t>
      </w:r>
      <w:r>
        <w:rPr>
          <w:rFonts w:hint="eastAsia" w:ascii="方正仿宋_GBK" w:hAnsi="方正仿宋_GBK" w:eastAsia="方正仿宋_GBK" w:cs="方正仿宋_GBK"/>
          <w:color w:val="auto"/>
          <w:sz w:val="32"/>
          <w:szCs w:val="32"/>
          <w:lang w:eastAsia="zh-CN"/>
        </w:rPr>
        <w:t>事业发展内生动力。</w:t>
      </w:r>
    </w:p>
    <w:p w14:paraId="2A06935B">
      <w:pPr>
        <w:keepNext/>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rPr>
        <w:t>坚持统筹协调。</w:t>
      </w:r>
      <w:r>
        <w:rPr>
          <w:rFonts w:hint="eastAsia" w:ascii="方正仿宋_GBK" w:hAnsi="方正仿宋_GBK" w:eastAsia="方正仿宋_GBK" w:cs="方正仿宋_GBK"/>
          <w:color w:val="auto"/>
          <w:sz w:val="32"/>
          <w:szCs w:val="32"/>
          <w:lang w:eastAsia="zh-CN"/>
        </w:rPr>
        <w:t>统筹促进区域间、群体间服务资源均衡配置，加强与周边地区、兵地之间人社领域合作，实现资源共享、政策互通、服务联动，形成推动乌鲁木齐都市圈发展的强大合力。</w:t>
      </w:r>
    </w:p>
    <w:p w14:paraId="46C9AC4B">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3" w:name="_Toc28161"/>
      <w:r>
        <w:rPr>
          <w:rFonts w:hint="eastAsia" w:ascii="方正楷体简体" w:hAnsi="方正楷体简体" w:eastAsia="方正楷体简体" w:cs="方正楷体简体"/>
          <w:b w:val="0"/>
          <w:bCs/>
          <w:color w:val="auto"/>
          <w:kern w:val="2"/>
          <w:sz w:val="32"/>
          <w:szCs w:val="24"/>
          <w:lang w:val="en-US" w:eastAsia="zh-CN" w:bidi="ar-SA"/>
        </w:rPr>
        <w:t>第三节 主要目标</w:t>
      </w:r>
      <w:bookmarkEnd w:id="3"/>
    </w:p>
    <w:p w14:paraId="19A56370">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按照国家、自治区的战略安排</w:t>
      </w:r>
      <w:r>
        <w:rPr>
          <w:rFonts w:hint="eastAsia" w:ascii="方正仿宋_GBK" w:hAnsi="方正仿宋_GBK" w:eastAsia="方正仿宋_GBK" w:cs="方正仿宋_GBK"/>
          <w:color w:val="auto"/>
          <w:sz w:val="32"/>
          <w:szCs w:val="32"/>
          <w:lang w:val="en-US" w:eastAsia="zh-CN"/>
        </w:rPr>
        <w:t>，乌鲁木齐市人力资源和社会保障事业发展“十五五”时期主要目标如下</w:t>
      </w:r>
      <w:r>
        <w:rPr>
          <w:rFonts w:hint="eastAsia" w:ascii="方正仿宋_GBK" w:hAnsi="方正仿宋_GBK" w:eastAsia="方正仿宋_GBK" w:cs="方正仿宋_GBK"/>
          <w:color w:val="auto"/>
          <w:sz w:val="32"/>
          <w:szCs w:val="32"/>
          <w:lang w:eastAsia="zh-CN"/>
        </w:rPr>
        <w:t>。</w:t>
      </w:r>
    </w:p>
    <w:p w14:paraId="6AF3BC9D">
      <w:pPr>
        <w:keepNext/>
        <w:keepLines w:val="0"/>
        <w:pageBreakBefore w:val="0"/>
        <w:widowControl w:val="0"/>
        <w:kinsoku/>
        <w:wordWrap w:val="0"/>
        <w:overflowPunct/>
        <w:topLinePunct w:val="0"/>
        <w:autoSpaceDE/>
        <w:autoSpaceDN/>
        <w:bidi w:val="0"/>
        <w:adjustRightInd/>
        <w:snapToGrid/>
        <w:spacing w:line="560" w:lineRule="exact"/>
        <w:ind w:firstLine="643"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——实现更加充分更高质量就业。</w:t>
      </w:r>
      <w:r>
        <w:rPr>
          <w:rFonts w:hint="eastAsia" w:ascii="方正仿宋_GBK" w:hAnsi="方正仿宋_GBK" w:eastAsia="方正仿宋_GBK" w:cs="方正仿宋_GBK"/>
          <w:color w:val="auto"/>
          <w:sz w:val="32"/>
          <w:szCs w:val="32"/>
          <w:lang w:eastAsia="zh-CN"/>
        </w:rPr>
        <w:t>就业形势总体平稳，就业质量不断提高，就业结构性矛盾有效缓解，就业服务体系更加完善，“互联网+就业”服务能力显著提升，创业带动就业效应持续释放。</w:t>
      </w:r>
    </w:p>
    <w:p w14:paraId="685D35C5">
      <w:pPr>
        <w:keepNext/>
        <w:keepLines w:val="0"/>
        <w:pageBreakBefore w:val="0"/>
        <w:widowControl w:val="0"/>
        <w:kinsoku/>
        <w:wordWrap w:val="0"/>
        <w:overflowPunct/>
        <w:topLinePunct w:val="0"/>
        <w:autoSpaceDE/>
        <w:autoSpaceDN/>
        <w:bidi w:val="0"/>
        <w:adjustRightInd/>
        <w:snapToGrid/>
        <w:spacing w:line="560" w:lineRule="exact"/>
        <w:ind w:firstLine="643"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eastAsia="zh-CN"/>
        </w:rPr>
        <w:t>——多层次社会保障体系更加健全。</w:t>
      </w:r>
      <w:r>
        <w:rPr>
          <w:rFonts w:hint="eastAsia" w:ascii="方正仿宋_GBK" w:hAnsi="方正仿宋_GBK" w:eastAsia="方正仿宋_GBK" w:cs="方正仿宋_GBK"/>
          <w:color w:val="auto"/>
          <w:sz w:val="32"/>
          <w:szCs w:val="32"/>
          <w:lang w:eastAsia="zh-CN"/>
        </w:rPr>
        <w:t>稳步推进社会保险制度改革，多层次多支柱养老保险体系更加健全，失业保险和工伤保险制度体系更加完善，参保覆盖面持续扩大，待遇水平稳步提高，</w:t>
      </w:r>
      <w:r>
        <w:rPr>
          <w:rFonts w:hint="eastAsia" w:ascii="方正仿宋_GBK" w:hAnsi="方正仿宋_GBK" w:eastAsia="方正仿宋_GBK" w:cs="方正仿宋_GBK"/>
          <w:color w:val="auto"/>
          <w:sz w:val="32"/>
          <w:szCs w:val="32"/>
          <w:lang w:val="en-US" w:eastAsia="zh-CN"/>
        </w:rPr>
        <w:t>管理</w:t>
      </w:r>
      <w:r>
        <w:rPr>
          <w:rFonts w:hint="eastAsia" w:ascii="方正仿宋_GBK" w:hAnsi="方正仿宋_GBK" w:eastAsia="方正仿宋_GBK" w:cs="方正仿宋_GBK"/>
          <w:color w:val="auto"/>
          <w:sz w:val="32"/>
          <w:szCs w:val="32"/>
          <w:lang w:eastAsia="zh-CN"/>
        </w:rPr>
        <w:t>服务便捷高效。</w:t>
      </w:r>
    </w:p>
    <w:p w14:paraId="78A7699F">
      <w:pPr>
        <w:keepNext/>
        <w:keepLines w:val="0"/>
        <w:pageBreakBefore w:val="0"/>
        <w:widowControl w:val="0"/>
        <w:kinsoku/>
        <w:wordWrap w:val="0"/>
        <w:overflowPunct/>
        <w:topLinePunct w:val="0"/>
        <w:autoSpaceDE/>
        <w:autoSpaceDN/>
        <w:bidi w:val="0"/>
        <w:adjustRightInd/>
        <w:snapToGrid/>
        <w:spacing w:line="560" w:lineRule="exact"/>
        <w:ind w:left="0" w:leftChars="0" w:firstLine="643"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Times New Roman" w:hAnsi="Times New Roman" w:eastAsia="方正仿宋_GBK" w:cs="Times New Roman"/>
          <w:b/>
          <w:bCs/>
          <w:color w:val="auto"/>
          <w:kern w:val="0"/>
          <w:sz w:val="32"/>
          <w:szCs w:val="32"/>
          <w:shd w:val="clear" w:color="auto" w:fill="FFFFFF"/>
          <w:lang w:val="en-US" w:eastAsia="zh-CN" w:bidi="ar-SA"/>
        </w:rPr>
        <w:t>——人才队伍建设水平稳步提升。</w:t>
      </w:r>
      <w:r>
        <w:rPr>
          <w:rFonts w:hint="eastAsia" w:ascii="Times New Roman" w:hAnsi="Times New Roman" w:eastAsia="方正仿宋_GBK" w:cs="Times New Roman"/>
          <w:b w:val="0"/>
          <w:bCs w:val="0"/>
          <w:color w:val="auto"/>
          <w:kern w:val="0"/>
          <w:sz w:val="32"/>
          <w:szCs w:val="32"/>
          <w:shd w:val="clear" w:color="auto" w:fill="FFFFFF"/>
          <w:lang w:val="en-US" w:eastAsia="zh-CN" w:bidi="ar-SA"/>
        </w:rPr>
        <w:t>专业技术与技能人才两类主体精准培育扩容，总量稳步增长，规模持续扩大，重点产业紧缺人才供给能力显著增强。事业单位人事制度改革落地落实，人才职业发展通道不断畅通，人才发展环境持续优化。</w:t>
      </w:r>
    </w:p>
    <w:p w14:paraId="5A5AB1F2">
      <w:pPr>
        <w:keepNext/>
        <w:keepLines w:val="0"/>
        <w:pageBreakBefore w:val="0"/>
        <w:widowControl w:val="0"/>
        <w:kinsoku/>
        <w:wordWrap w:val="0"/>
        <w:overflowPunct/>
        <w:topLinePunct w:val="0"/>
        <w:autoSpaceDE/>
        <w:autoSpaceDN/>
        <w:bidi w:val="0"/>
        <w:adjustRightInd/>
        <w:snapToGrid/>
        <w:spacing w:line="560" w:lineRule="exact"/>
        <w:ind w:firstLine="643"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——工资收入分配更加公平合理。</w:t>
      </w:r>
      <w:r>
        <w:rPr>
          <w:rFonts w:hint="eastAsia" w:ascii="方正仿宋_GBK" w:hAnsi="方正仿宋_GBK" w:eastAsia="方正仿宋_GBK" w:cs="方正仿宋_GBK"/>
          <w:color w:val="auto"/>
          <w:sz w:val="32"/>
          <w:szCs w:val="32"/>
          <w:lang w:eastAsia="zh-CN"/>
        </w:rPr>
        <w:t>兼顾激发市场活力和维护社会公平，企事业单位工资分配机制更加完善，劳动者工资决定和合理增长机制更加健全，劳动报酬在初次分配中的比重逐步提高，劳动者工资支付得到有效保障。</w:t>
      </w:r>
    </w:p>
    <w:p w14:paraId="5FE5304B">
      <w:pPr>
        <w:keepNext/>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eastAsia="zh-CN"/>
        </w:rPr>
        <w:t>——劳动</w:t>
      </w:r>
      <w:r>
        <w:rPr>
          <w:rFonts w:hint="eastAsia" w:ascii="方正仿宋_GBK" w:hAnsi="方正仿宋_GBK" w:eastAsia="方正仿宋_GBK" w:cs="方正仿宋_GBK"/>
          <w:b/>
          <w:bCs/>
          <w:color w:val="auto"/>
          <w:sz w:val="32"/>
          <w:szCs w:val="32"/>
        </w:rPr>
        <w:t>关系</w:t>
      </w:r>
      <w:r>
        <w:rPr>
          <w:rFonts w:hint="eastAsia" w:ascii="方正仿宋_GBK" w:hAnsi="方正仿宋_GBK" w:eastAsia="方正仿宋_GBK" w:cs="方正仿宋_GBK"/>
          <w:b/>
          <w:bCs/>
          <w:color w:val="auto"/>
          <w:sz w:val="32"/>
          <w:szCs w:val="32"/>
          <w:lang w:eastAsia="zh-CN"/>
        </w:rPr>
        <w:t>更加</w:t>
      </w:r>
      <w:r>
        <w:rPr>
          <w:rFonts w:hint="eastAsia" w:ascii="方正仿宋_GBK" w:hAnsi="方正仿宋_GBK" w:eastAsia="方正仿宋_GBK" w:cs="方正仿宋_GBK"/>
          <w:b/>
          <w:bCs/>
          <w:color w:val="auto"/>
          <w:sz w:val="32"/>
          <w:szCs w:val="32"/>
        </w:rPr>
        <w:t>和谐稳定</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color w:val="auto"/>
          <w:sz w:val="32"/>
          <w:szCs w:val="32"/>
          <w:lang w:eastAsia="zh-CN"/>
        </w:rPr>
        <w:t>劳动关系协调机制持续</w:t>
      </w:r>
      <w:r>
        <w:rPr>
          <w:rFonts w:hint="eastAsia" w:ascii="方正仿宋_GBK" w:hAnsi="方正仿宋_GBK" w:eastAsia="方正仿宋_GBK" w:cs="方正仿宋_GBK"/>
          <w:color w:val="auto"/>
          <w:sz w:val="32"/>
          <w:szCs w:val="32"/>
          <w:lang w:val="en-US" w:eastAsia="zh-CN"/>
        </w:rPr>
        <w:t>健全</w:t>
      </w:r>
      <w:r>
        <w:rPr>
          <w:rFonts w:hint="eastAsia" w:ascii="方正仿宋_GBK" w:hAnsi="方正仿宋_GBK" w:eastAsia="方正仿宋_GBK" w:cs="方正仿宋_GBK"/>
          <w:color w:val="auto"/>
          <w:sz w:val="32"/>
          <w:szCs w:val="32"/>
          <w:lang w:eastAsia="zh-CN"/>
        </w:rPr>
        <w:t>，劳动人事争议调解仲裁</w:t>
      </w:r>
      <w:r>
        <w:rPr>
          <w:rFonts w:hint="eastAsia" w:ascii="方正仿宋_GBK" w:hAnsi="方正仿宋_GBK" w:eastAsia="方正仿宋_GBK" w:cs="方正仿宋_GBK"/>
          <w:color w:val="auto"/>
          <w:sz w:val="32"/>
          <w:szCs w:val="32"/>
          <w:lang w:val="en-US" w:eastAsia="zh-CN"/>
        </w:rPr>
        <w:t>质效进一步提升，</w:t>
      </w:r>
      <w:r>
        <w:rPr>
          <w:rFonts w:hint="eastAsia" w:ascii="方正仿宋_GBK" w:hAnsi="方正仿宋_GBK" w:eastAsia="方正仿宋_GBK" w:cs="方正仿宋_GBK"/>
          <w:color w:val="auto"/>
          <w:sz w:val="32"/>
          <w:szCs w:val="32"/>
          <w:lang w:eastAsia="zh-CN"/>
        </w:rPr>
        <w:t>劳动保障监察执法力度不断加大，新业态劳动关系治理取得新突破，劳动者合法权益得到有力保障。</w:t>
      </w:r>
    </w:p>
    <w:p w14:paraId="5897FF91">
      <w:pPr>
        <w:keepNext/>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b/>
          <w:bCs/>
          <w:color w:val="auto"/>
          <w:sz w:val="32"/>
          <w:szCs w:val="32"/>
          <w:lang w:eastAsia="zh-CN"/>
        </w:rPr>
        <w:t>——人社</w:t>
      </w:r>
      <w:r>
        <w:rPr>
          <w:rFonts w:hint="eastAsia" w:ascii="方正仿宋_GBK" w:hAnsi="方正仿宋_GBK" w:eastAsia="方正仿宋_GBK" w:cs="方正仿宋_GBK"/>
          <w:b/>
          <w:bCs/>
          <w:color w:val="auto"/>
          <w:sz w:val="32"/>
          <w:szCs w:val="32"/>
        </w:rPr>
        <w:t>公共服务质效</w:t>
      </w:r>
      <w:r>
        <w:rPr>
          <w:rFonts w:hint="eastAsia" w:ascii="方正仿宋_GBK" w:hAnsi="方正仿宋_GBK" w:eastAsia="方正仿宋_GBK" w:cs="方正仿宋_GBK"/>
          <w:b/>
          <w:bCs/>
          <w:color w:val="auto"/>
          <w:sz w:val="32"/>
          <w:szCs w:val="32"/>
          <w:lang w:eastAsia="zh-CN"/>
        </w:rPr>
        <w:t>更加均等高效。</w:t>
      </w:r>
      <w:r>
        <w:rPr>
          <w:rFonts w:hint="eastAsia" w:ascii="方正仿宋_GBK" w:hAnsi="方正仿宋_GBK" w:eastAsia="方正仿宋_GBK" w:cs="方正仿宋_GBK"/>
          <w:color w:val="auto"/>
          <w:sz w:val="32"/>
          <w:szCs w:val="32"/>
          <w:lang w:eastAsia="zh-CN"/>
        </w:rPr>
        <w:t>公共服务体系更加完善，标准化便捷化</w:t>
      </w:r>
      <w:r>
        <w:rPr>
          <w:rFonts w:hint="eastAsia" w:ascii="方正仿宋_GBK" w:hAnsi="方正仿宋_GBK" w:eastAsia="方正仿宋_GBK" w:cs="方正仿宋_GBK"/>
          <w:color w:val="auto"/>
          <w:sz w:val="32"/>
          <w:szCs w:val="32"/>
          <w:lang w:val="en-US" w:eastAsia="zh-CN"/>
        </w:rPr>
        <w:t>大幅提升</w:t>
      </w:r>
      <w:r>
        <w:rPr>
          <w:rFonts w:hint="eastAsia" w:ascii="方正仿宋_GBK" w:hAnsi="方正仿宋_GBK" w:eastAsia="方正仿宋_GBK" w:cs="方正仿宋_GBK"/>
          <w:color w:val="auto"/>
          <w:sz w:val="32"/>
          <w:szCs w:val="32"/>
          <w:lang w:eastAsia="zh-CN"/>
        </w:rPr>
        <w:t>，均等化、</w:t>
      </w:r>
      <w:r>
        <w:rPr>
          <w:rFonts w:hint="eastAsia" w:ascii="方正仿宋_GBK" w:hAnsi="方正仿宋_GBK" w:eastAsia="方正仿宋_GBK" w:cs="方正仿宋_GBK"/>
          <w:color w:val="auto"/>
          <w:sz w:val="32"/>
          <w:szCs w:val="32"/>
          <w:lang w:val="en-US" w:eastAsia="zh-CN"/>
        </w:rPr>
        <w:t>数智化</w:t>
      </w:r>
      <w:r>
        <w:rPr>
          <w:rFonts w:hint="eastAsia" w:ascii="方正仿宋_GBK" w:hAnsi="方正仿宋_GBK" w:eastAsia="方正仿宋_GBK" w:cs="方正仿宋_GBK"/>
          <w:color w:val="auto"/>
          <w:sz w:val="32"/>
          <w:szCs w:val="32"/>
          <w:lang w:eastAsia="zh-CN"/>
        </w:rPr>
        <w:t>水平迈上新台阶，品牌化建设持续推进，群众办事体验感和满意度显著提升。</w:t>
      </w:r>
    </w:p>
    <w:p w14:paraId="5BDD42C3">
      <w:pPr>
        <w:keepNext/>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both"/>
        <w:textAlignment w:val="center"/>
        <w:outlineLvl w:val="9"/>
        <w:rPr>
          <w:rFonts w:hint="eastAsia" w:ascii="方正黑体_GBK" w:hAnsi="方正黑体_GBK" w:eastAsia="方正黑体_GBK" w:cs="方正黑体_GBK"/>
          <w:b w:val="0"/>
          <w:bCs/>
          <w:color w:val="auto"/>
          <w:sz w:val="21"/>
          <w:szCs w:val="21"/>
          <w:lang w:eastAsia="zh-CN"/>
        </w:rPr>
        <w:sectPr>
          <w:type w:val="continuous"/>
          <w:pgSz w:w="11906" w:h="16838"/>
          <w:pgMar w:top="1440" w:right="1474"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20"/>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5355"/>
        <w:gridCol w:w="960"/>
        <w:gridCol w:w="990"/>
        <w:gridCol w:w="1055"/>
      </w:tblGrid>
      <w:tr w14:paraId="6377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034" w:type="dxa"/>
            <w:gridSpan w:val="5"/>
            <w:noWrap w:val="0"/>
            <w:tcMar>
              <w:top w:w="15" w:type="dxa"/>
              <w:left w:w="15" w:type="dxa"/>
              <w:right w:w="15" w:type="dxa"/>
            </w:tcMar>
            <w:vAlign w:val="center"/>
          </w:tcPr>
          <w:p w14:paraId="72D4956A">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center"/>
              <w:textAlignment w:val="center"/>
              <w:outlineLvl w:val="9"/>
              <w:rPr>
                <w:rFonts w:hint="default" w:ascii="方正黑体_GBK" w:hAnsi="方正黑体_GBK" w:eastAsia="方正黑体_GBK" w:cs="方正黑体_GBK"/>
                <w:b w:val="0"/>
                <w:bCs/>
                <w:color w:val="auto"/>
                <w:sz w:val="21"/>
                <w:szCs w:val="21"/>
                <w:lang w:val="en-US" w:eastAsia="zh-CN"/>
              </w:rPr>
            </w:pPr>
            <w:r>
              <w:rPr>
                <w:rFonts w:hint="eastAsia" w:ascii="方正黑体_GBK" w:hAnsi="方正黑体_GBK" w:eastAsia="方正黑体_GBK" w:cs="方正黑体_GBK"/>
                <w:b w:val="0"/>
                <w:bCs/>
                <w:color w:val="auto"/>
                <w:sz w:val="21"/>
                <w:szCs w:val="21"/>
                <w:lang w:val="en-US" w:eastAsia="zh-CN"/>
              </w:rPr>
              <w:t>专栏2 “十五五”时期主要指标</w:t>
            </w:r>
          </w:p>
        </w:tc>
      </w:tr>
      <w:tr w14:paraId="62D3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6702C519">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center"/>
              <w:textAlignment w:val="center"/>
              <w:outlineLvl w:val="9"/>
              <w:rPr>
                <w:rFonts w:hint="eastAsia" w:ascii="方正黑体_GBK" w:hAnsi="方正黑体_GBK" w:eastAsia="方正黑体_GBK" w:cs="方正黑体_GBK"/>
                <w:b w:val="0"/>
                <w:bCs/>
                <w:color w:val="auto"/>
                <w:sz w:val="21"/>
                <w:szCs w:val="21"/>
                <w:lang w:eastAsia="zh-CN"/>
              </w:rPr>
            </w:pPr>
            <w:r>
              <w:rPr>
                <w:rFonts w:hint="eastAsia" w:ascii="方正黑体_GBK" w:hAnsi="方正黑体_GBK" w:eastAsia="方正黑体_GBK" w:cs="方正黑体_GBK"/>
                <w:b w:val="0"/>
                <w:bCs/>
                <w:color w:val="auto"/>
                <w:sz w:val="21"/>
                <w:szCs w:val="21"/>
                <w:lang w:eastAsia="zh-CN"/>
              </w:rPr>
              <w:t>序号</w:t>
            </w:r>
          </w:p>
        </w:tc>
        <w:tc>
          <w:tcPr>
            <w:tcW w:w="5355" w:type="dxa"/>
            <w:noWrap w:val="0"/>
            <w:tcMar>
              <w:top w:w="15" w:type="dxa"/>
              <w:left w:w="15" w:type="dxa"/>
              <w:right w:w="15" w:type="dxa"/>
            </w:tcMar>
            <w:vAlign w:val="center"/>
          </w:tcPr>
          <w:p w14:paraId="0F377549">
            <w:pPr>
              <w:keepNext/>
              <w:keepLines w:val="0"/>
              <w:pageBreakBefore w:val="0"/>
              <w:widowControl w:val="0"/>
              <w:kinsoku/>
              <w:wordWrap w:val="0"/>
              <w:overflowPunct/>
              <w:topLinePunct w:val="0"/>
              <w:autoSpaceDE/>
              <w:autoSpaceDN/>
              <w:bidi w:val="0"/>
              <w:adjustRightInd/>
              <w:snapToGrid/>
              <w:spacing w:line="300" w:lineRule="exact"/>
              <w:jc w:val="center"/>
              <w:textAlignment w:val="center"/>
              <w:outlineLvl w:val="9"/>
              <w:rPr>
                <w:rFonts w:hint="eastAsia" w:ascii="方正黑体_GBK" w:hAnsi="方正黑体_GBK" w:eastAsia="方正黑体_GBK" w:cs="方正黑体_GBK"/>
                <w:b w:val="0"/>
                <w:bCs/>
                <w:color w:val="auto"/>
                <w:sz w:val="21"/>
                <w:szCs w:val="21"/>
                <w:lang w:eastAsia="zh-CN"/>
              </w:rPr>
            </w:pPr>
            <w:r>
              <w:rPr>
                <w:rFonts w:hint="eastAsia" w:ascii="方正黑体_GBK" w:hAnsi="方正黑体_GBK" w:eastAsia="方正黑体_GBK" w:cs="方正黑体_GBK"/>
                <w:b w:val="0"/>
                <w:bCs/>
                <w:color w:val="auto"/>
                <w:sz w:val="21"/>
                <w:szCs w:val="21"/>
                <w:lang w:eastAsia="zh-CN"/>
              </w:rPr>
              <w:t>指标</w:t>
            </w:r>
          </w:p>
        </w:tc>
        <w:tc>
          <w:tcPr>
            <w:tcW w:w="960" w:type="dxa"/>
            <w:noWrap w:val="0"/>
            <w:tcMar>
              <w:top w:w="15" w:type="dxa"/>
              <w:left w:w="15" w:type="dxa"/>
              <w:right w:w="15" w:type="dxa"/>
            </w:tcMar>
            <w:vAlign w:val="center"/>
          </w:tcPr>
          <w:p w14:paraId="2DDB3E8F">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center"/>
              <w:textAlignment w:val="center"/>
              <w:outlineLvl w:val="9"/>
              <w:rPr>
                <w:rFonts w:hint="eastAsia" w:ascii="方正黑体_GBK" w:hAnsi="方正黑体_GBK" w:eastAsia="方正黑体_GBK" w:cs="方正黑体_GBK"/>
                <w:b w:val="0"/>
                <w:bCs/>
                <w:color w:val="auto"/>
                <w:sz w:val="21"/>
                <w:szCs w:val="21"/>
                <w:lang w:val="en-US" w:eastAsia="zh-CN"/>
              </w:rPr>
            </w:pPr>
            <w:r>
              <w:rPr>
                <w:rFonts w:hint="eastAsia" w:ascii="方正黑体_GBK" w:hAnsi="方正黑体_GBK" w:eastAsia="方正黑体_GBK" w:cs="方正黑体_GBK"/>
                <w:b w:val="0"/>
                <w:bCs/>
                <w:color w:val="auto"/>
                <w:sz w:val="21"/>
                <w:szCs w:val="21"/>
                <w:lang w:val="en-US" w:eastAsia="zh-CN"/>
              </w:rPr>
              <w:t>2025年</w:t>
            </w:r>
          </w:p>
        </w:tc>
        <w:tc>
          <w:tcPr>
            <w:tcW w:w="990" w:type="dxa"/>
            <w:noWrap w:val="0"/>
            <w:tcMar>
              <w:top w:w="15" w:type="dxa"/>
              <w:left w:w="15" w:type="dxa"/>
              <w:right w:w="15" w:type="dxa"/>
            </w:tcMar>
            <w:vAlign w:val="center"/>
          </w:tcPr>
          <w:p w14:paraId="6DCC30B5">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center"/>
              <w:textAlignment w:val="center"/>
              <w:outlineLvl w:val="9"/>
              <w:rPr>
                <w:rFonts w:hint="eastAsia" w:ascii="方正黑体_GBK" w:hAnsi="方正黑体_GBK" w:eastAsia="方正黑体_GBK" w:cs="方正黑体_GBK"/>
                <w:b w:val="0"/>
                <w:bCs/>
                <w:color w:val="auto"/>
                <w:sz w:val="21"/>
                <w:szCs w:val="21"/>
                <w:lang w:val="en-US" w:eastAsia="zh-CN"/>
              </w:rPr>
            </w:pPr>
            <w:r>
              <w:rPr>
                <w:rFonts w:hint="eastAsia" w:ascii="方正黑体_GBK" w:hAnsi="方正黑体_GBK" w:eastAsia="方正黑体_GBK" w:cs="方正黑体_GBK"/>
                <w:b w:val="0"/>
                <w:bCs/>
                <w:color w:val="auto"/>
                <w:sz w:val="21"/>
                <w:szCs w:val="21"/>
                <w:lang w:val="en-US" w:eastAsia="zh-CN"/>
              </w:rPr>
              <w:t>2030年</w:t>
            </w:r>
          </w:p>
        </w:tc>
        <w:tc>
          <w:tcPr>
            <w:tcW w:w="1055" w:type="dxa"/>
            <w:noWrap w:val="0"/>
            <w:tcMar>
              <w:top w:w="15" w:type="dxa"/>
              <w:left w:w="15" w:type="dxa"/>
              <w:right w:w="15" w:type="dxa"/>
            </w:tcMar>
            <w:vAlign w:val="center"/>
          </w:tcPr>
          <w:p w14:paraId="5E3E521B">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center"/>
              <w:textAlignment w:val="center"/>
              <w:outlineLvl w:val="9"/>
              <w:rPr>
                <w:rFonts w:hint="eastAsia" w:ascii="方正黑体_GBK" w:hAnsi="方正黑体_GBK" w:eastAsia="方正黑体_GBK" w:cs="方正黑体_GBK"/>
                <w:b w:val="0"/>
                <w:bCs/>
                <w:color w:val="auto"/>
                <w:sz w:val="21"/>
                <w:szCs w:val="21"/>
                <w:lang w:val="en-US" w:eastAsia="zh-CN"/>
              </w:rPr>
            </w:pPr>
            <w:r>
              <w:rPr>
                <w:rFonts w:hint="eastAsia" w:ascii="方正黑体_GBK" w:hAnsi="方正黑体_GBK" w:eastAsia="方正黑体_GBK" w:cs="方正黑体_GBK"/>
                <w:b w:val="0"/>
                <w:bCs/>
                <w:color w:val="auto"/>
                <w:sz w:val="21"/>
                <w:szCs w:val="21"/>
                <w:lang w:val="en-US" w:eastAsia="zh-CN"/>
              </w:rPr>
              <w:t>属性</w:t>
            </w:r>
          </w:p>
        </w:tc>
      </w:tr>
      <w:tr w14:paraId="7CDE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034" w:type="dxa"/>
            <w:gridSpan w:val="5"/>
            <w:noWrap w:val="0"/>
            <w:tcMar>
              <w:top w:w="15" w:type="dxa"/>
              <w:left w:w="15" w:type="dxa"/>
              <w:right w:w="15" w:type="dxa"/>
            </w:tcMar>
            <w:vAlign w:val="center"/>
          </w:tcPr>
          <w:p w14:paraId="1581FD85">
            <w:pPr>
              <w:keepNext/>
              <w:keepLines w:val="0"/>
              <w:pageBreakBefore w:val="0"/>
              <w:widowControl w:val="0"/>
              <w:kinsoku/>
              <w:wordWrap w:val="0"/>
              <w:overflowPunct/>
              <w:topLinePunct w:val="0"/>
              <w:autoSpaceDE/>
              <w:autoSpaceDN/>
              <w:bidi w:val="0"/>
              <w:adjustRightInd/>
              <w:snapToGrid/>
              <w:spacing w:line="300" w:lineRule="exact"/>
              <w:ind w:left="0" w:leftChars="0" w:firstLine="210" w:firstLineChars="100"/>
              <w:jc w:val="left"/>
              <w:textAlignment w:val="center"/>
              <w:outlineLvl w:val="9"/>
              <w:rPr>
                <w:rFonts w:hint="eastAsia" w:ascii="方正黑体_GBK" w:hAnsi="方正黑体_GBK" w:eastAsia="方正黑体_GBK" w:cs="方正黑体_GBK"/>
                <w:b w:val="0"/>
                <w:bCs/>
                <w:color w:val="auto"/>
                <w:sz w:val="21"/>
                <w:szCs w:val="21"/>
                <w:lang w:val="en-US" w:eastAsia="zh-CN"/>
              </w:rPr>
            </w:pPr>
            <w:r>
              <w:rPr>
                <w:rFonts w:hint="eastAsia" w:ascii="方正黑体_GBK" w:hAnsi="方正黑体_GBK" w:eastAsia="方正黑体_GBK" w:cs="方正黑体_GBK"/>
                <w:b w:val="0"/>
                <w:bCs/>
                <w:color w:val="auto"/>
                <w:sz w:val="21"/>
                <w:szCs w:val="21"/>
                <w:lang w:val="en-US" w:eastAsia="zh-CN"/>
              </w:rPr>
              <w:t>一、就业创业</w:t>
            </w:r>
          </w:p>
        </w:tc>
      </w:tr>
      <w:tr w14:paraId="4BB5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68ED340F">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w:t>
            </w:r>
          </w:p>
        </w:tc>
        <w:tc>
          <w:tcPr>
            <w:tcW w:w="5355" w:type="dxa"/>
            <w:noWrap w:val="0"/>
            <w:tcMar>
              <w:top w:w="15" w:type="dxa"/>
              <w:left w:w="15" w:type="dxa"/>
              <w:right w:w="15" w:type="dxa"/>
            </w:tcMar>
            <w:vAlign w:val="center"/>
          </w:tcPr>
          <w:p w14:paraId="3DB1DC22">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方正仿宋_GBK" w:cs="Times New Roman"/>
                <w:b w:val="0"/>
                <w:bCs/>
                <w:color w:val="auto"/>
                <w:sz w:val="21"/>
                <w:szCs w:val="21"/>
                <w:highlight w:val="none"/>
                <w:lang w:eastAsia="zh-CN"/>
              </w:rPr>
            </w:pPr>
            <w:r>
              <w:rPr>
                <w:rFonts w:hint="default" w:ascii="Times New Roman" w:hAnsi="Times New Roman" w:eastAsia="方正仿宋_GBK" w:cs="Times New Roman"/>
                <w:b w:val="0"/>
                <w:bCs/>
                <w:color w:val="auto"/>
                <w:sz w:val="21"/>
                <w:szCs w:val="21"/>
                <w:highlight w:val="none"/>
              </w:rPr>
              <w:t>城镇新增就业人数</w:t>
            </w:r>
            <w:r>
              <w:rPr>
                <w:rFonts w:hint="default" w:ascii="Times New Roman" w:hAnsi="Times New Roman" w:eastAsia="方正仿宋_GBK" w:cs="Times New Roman"/>
                <w:b w:val="0"/>
                <w:bCs/>
                <w:color w:val="auto"/>
                <w:sz w:val="21"/>
                <w:szCs w:val="21"/>
                <w:highlight w:val="none"/>
                <w:lang w:eastAsia="zh-CN"/>
              </w:rPr>
              <w:t>（万人）</w:t>
            </w:r>
          </w:p>
        </w:tc>
        <w:tc>
          <w:tcPr>
            <w:tcW w:w="960" w:type="dxa"/>
            <w:noWrap w:val="0"/>
            <w:tcMar>
              <w:top w:w="15" w:type="dxa"/>
              <w:left w:w="15" w:type="dxa"/>
              <w:right w:w="15" w:type="dxa"/>
            </w:tcMar>
            <w:vAlign w:val="center"/>
          </w:tcPr>
          <w:p w14:paraId="7C96E2BE">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[51.74]</w:t>
            </w:r>
          </w:p>
        </w:tc>
        <w:tc>
          <w:tcPr>
            <w:tcW w:w="990" w:type="dxa"/>
            <w:noWrap w:val="0"/>
            <w:tcMar>
              <w:top w:w="15" w:type="dxa"/>
              <w:left w:w="15" w:type="dxa"/>
              <w:right w:w="15" w:type="dxa"/>
            </w:tcMar>
            <w:vAlign w:val="center"/>
          </w:tcPr>
          <w:p w14:paraId="12696597">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&gt;50</w:t>
            </w:r>
            <w:r>
              <w:rPr>
                <w:rFonts w:hint="default" w:ascii="Times New Roman" w:hAnsi="Times New Roman" w:eastAsia="方正仿宋_GBK" w:cs="Times New Roman"/>
                <w:color w:val="auto"/>
                <w:kern w:val="0"/>
                <w:sz w:val="21"/>
                <w:szCs w:val="21"/>
                <w:highlight w:val="none"/>
                <w:lang w:val="en-US" w:eastAsia="zh-CN"/>
              </w:rPr>
              <w:t>]</w:t>
            </w:r>
          </w:p>
        </w:tc>
        <w:tc>
          <w:tcPr>
            <w:tcW w:w="1055" w:type="dxa"/>
            <w:shd w:val="clear" w:color="auto" w:fill="auto"/>
            <w:noWrap w:val="0"/>
            <w:tcMar>
              <w:top w:w="15" w:type="dxa"/>
              <w:left w:w="15" w:type="dxa"/>
              <w:right w:w="15" w:type="dxa"/>
            </w:tcMar>
            <w:vAlign w:val="center"/>
          </w:tcPr>
          <w:p w14:paraId="4A3761A3">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6478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0BE047D9">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2</w:t>
            </w:r>
          </w:p>
        </w:tc>
        <w:tc>
          <w:tcPr>
            <w:tcW w:w="5355" w:type="dxa"/>
            <w:noWrap w:val="0"/>
            <w:tcMar>
              <w:top w:w="15" w:type="dxa"/>
              <w:left w:w="15" w:type="dxa"/>
              <w:right w:w="15" w:type="dxa"/>
            </w:tcMar>
            <w:vAlign w:val="center"/>
          </w:tcPr>
          <w:p w14:paraId="01A21172">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方正仿宋_GBK" w:cs="Times New Roman"/>
                <w:b w:val="0"/>
                <w:bCs/>
                <w:color w:val="auto"/>
                <w:sz w:val="21"/>
                <w:szCs w:val="21"/>
                <w:highlight w:val="none"/>
                <w:lang w:val="en-US" w:eastAsia="zh-CN"/>
              </w:rPr>
            </w:pPr>
            <w:r>
              <w:rPr>
                <w:rFonts w:hint="default" w:ascii="Times New Roman" w:hAnsi="Times New Roman" w:eastAsia="方正仿宋_GBK" w:cs="Times New Roman"/>
                <w:b w:val="0"/>
                <w:bCs/>
                <w:color w:val="auto"/>
                <w:sz w:val="21"/>
                <w:szCs w:val="21"/>
                <w:highlight w:val="none"/>
                <w:lang w:val="en-US" w:eastAsia="zh-CN"/>
              </w:rPr>
              <w:t>城镇失业人员再就业人数（万人）</w:t>
            </w:r>
          </w:p>
        </w:tc>
        <w:tc>
          <w:tcPr>
            <w:tcW w:w="960" w:type="dxa"/>
            <w:noWrap w:val="0"/>
            <w:tcMar>
              <w:top w:w="15" w:type="dxa"/>
              <w:left w:w="15" w:type="dxa"/>
              <w:right w:w="15" w:type="dxa"/>
            </w:tcMar>
            <w:vAlign w:val="center"/>
          </w:tcPr>
          <w:p w14:paraId="609C837D">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[33.52]</w:t>
            </w:r>
          </w:p>
        </w:tc>
        <w:tc>
          <w:tcPr>
            <w:tcW w:w="990" w:type="dxa"/>
            <w:noWrap w:val="0"/>
            <w:tcMar>
              <w:top w:w="15" w:type="dxa"/>
              <w:left w:w="15" w:type="dxa"/>
              <w:right w:w="15" w:type="dxa"/>
            </w:tcMar>
            <w:vAlign w:val="center"/>
          </w:tcPr>
          <w:p w14:paraId="6434E58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30</w:t>
            </w:r>
            <w:r>
              <w:rPr>
                <w:rFonts w:hint="default" w:ascii="Times New Roman" w:hAnsi="Times New Roman" w:eastAsia="方正仿宋_GBK" w:cs="Times New Roman"/>
                <w:color w:val="auto"/>
                <w:kern w:val="0"/>
                <w:sz w:val="21"/>
                <w:szCs w:val="21"/>
                <w:highlight w:val="none"/>
                <w:lang w:val="en-US" w:eastAsia="zh-CN"/>
              </w:rPr>
              <w:t>]</w:t>
            </w:r>
          </w:p>
        </w:tc>
        <w:tc>
          <w:tcPr>
            <w:tcW w:w="1055" w:type="dxa"/>
            <w:shd w:val="clear" w:color="auto" w:fill="auto"/>
            <w:noWrap w:val="0"/>
            <w:tcMar>
              <w:top w:w="15" w:type="dxa"/>
              <w:left w:w="15" w:type="dxa"/>
              <w:right w:w="15" w:type="dxa"/>
            </w:tcMar>
            <w:vAlign w:val="center"/>
          </w:tcPr>
          <w:p w14:paraId="46B6830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5867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shd w:val="clear" w:color="auto" w:fill="auto"/>
            <w:noWrap w:val="0"/>
            <w:tcMar>
              <w:top w:w="15" w:type="dxa"/>
              <w:left w:w="15" w:type="dxa"/>
              <w:right w:w="15" w:type="dxa"/>
            </w:tcMar>
            <w:vAlign w:val="center"/>
          </w:tcPr>
          <w:p w14:paraId="2021E7F4">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3</w:t>
            </w:r>
          </w:p>
        </w:tc>
        <w:tc>
          <w:tcPr>
            <w:tcW w:w="5355" w:type="dxa"/>
            <w:shd w:val="clear" w:color="auto" w:fill="auto"/>
            <w:noWrap w:val="0"/>
            <w:tcMar>
              <w:top w:w="15" w:type="dxa"/>
              <w:left w:w="15" w:type="dxa"/>
              <w:right w:w="15" w:type="dxa"/>
            </w:tcMar>
            <w:vAlign w:val="center"/>
          </w:tcPr>
          <w:p w14:paraId="4402A441">
            <w:pPr>
              <w:keepNext/>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就业困难人员实现就业人数（万人）</w:t>
            </w:r>
          </w:p>
        </w:tc>
        <w:tc>
          <w:tcPr>
            <w:tcW w:w="960" w:type="dxa"/>
            <w:shd w:val="clear" w:color="auto" w:fill="auto"/>
            <w:noWrap w:val="0"/>
            <w:tcMar>
              <w:top w:w="15" w:type="dxa"/>
              <w:left w:w="15" w:type="dxa"/>
              <w:right w:w="15" w:type="dxa"/>
            </w:tcMar>
            <w:vAlign w:val="center"/>
          </w:tcPr>
          <w:p w14:paraId="6F46092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2.71</w:t>
            </w:r>
            <w:r>
              <w:rPr>
                <w:rFonts w:hint="default" w:ascii="Times New Roman" w:hAnsi="Times New Roman" w:eastAsia="方正仿宋_GBK" w:cs="Times New Roman"/>
                <w:color w:val="auto"/>
                <w:kern w:val="0"/>
                <w:sz w:val="21"/>
                <w:szCs w:val="21"/>
                <w:highlight w:val="none"/>
                <w:lang w:val="en-US" w:eastAsia="zh-CN"/>
              </w:rPr>
              <w:t>]</w:t>
            </w:r>
          </w:p>
        </w:tc>
        <w:tc>
          <w:tcPr>
            <w:tcW w:w="990" w:type="dxa"/>
            <w:shd w:val="clear" w:color="auto" w:fill="auto"/>
            <w:noWrap w:val="0"/>
            <w:tcMar>
              <w:top w:w="15" w:type="dxa"/>
              <w:left w:w="15" w:type="dxa"/>
              <w:right w:w="15" w:type="dxa"/>
            </w:tcMar>
            <w:vAlign w:val="center"/>
          </w:tcPr>
          <w:p w14:paraId="58B37311">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[2]</w:t>
            </w:r>
          </w:p>
        </w:tc>
        <w:tc>
          <w:tcPr>
            <w:tcW w:w="1055" w:type="dxa"/>
            <w:shd w:val="clear" w:color="auto" w:fill="auto"/>
            <w:noWrap w:val="0"/>
            <w:tcMar>
              <w:top w:w="15" w:type="dxa"/>
              <w:left w:w="15" w:type="dxa"/>
              <w:right w:w="15" w:type="dxa"/>
            </w:tcMar>
            <w:vAlign w:val="center"/>
          </w:tcPr>
          <w:p w14:paraId="00BFB6E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预期性</w:t>
            </w:r>
          </w:p>
        </w:tc>
      </w:tr>
      <w:tr w14:paraId="2D84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674" w:type="dxa"/>
            <w:shd w:val="clear" w:color="auto" w:fill="auto"/>
            <w:noWrap w:val="0"/>
            <w:tcMar>
              <w:top w:w="15" w:type="dxa"/>
              <w:left w:w="15" w:type="dxa"/>
              <w:right w:w="15" w:type="dxa"/>
            </w:tcMar>
            <w:vAlign w:val="center"/>
          </w:tcPr>
          <w:p w14:paraId="12CBF2F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4</w:t>
            </w:r>
          </w:p>
        </w:tc>
        <w:tc>
          <w:tcPr>
            <w:tcW w:w="5355" w:type="dxa"/>
            <w:shd w:val="clear" w:color="auto" w:fill="auto"/>
            <w:noWrap w:val="0"/>
            <w:tcMar>
              <w:top w:w="15" w:type="dxa"/>
              <w:left w:w="15" w:type="dxa"/>
              <w:right w:w="15" w:type="dxa"/>
            </w:tcMar>
            <w:vAlign w:val="center"/>
          </w:tcPr>
          <w:p w14:paraId="7BA1833D">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方正仿宋_GBK" w:cs="Times New Roman"/>
                <w:b w:val="0"/>
                <w:bCs/>
                <w:color w:val="auto"/>
                <w:kern w:val="2"/>
                <w:sz w:val="21"/>
                <w:szCs w:val="21"/>
                <w:highlight w:val="none"/>
                <w:lang w:val="en-US" w:eastAsia="zh-CN" w:bidi="ar-SA"/>
              </w:rPr>
            </w:pPr>
            <w:r>
              <w:rPr>
                <w:rFonts w:hint="default" w:ascii="Times New Roman" w:hAnsi="Times New Roman" w:eastAsia="方正仿宋_GBK" w:cs="Times New Roman"/>
                <w:b w:val="0"/>
                <w:bCs/>
                <w:color w:val="auto"/>
                <w:sz w:val="21"/>
                <w:szCs w:val="21"/>
                <w:highlight w:val="none"/>
                <w:lang w:val="en-US" w:eastAsia="zh-CN"/>
              </w:rPr>
              <w:t>城镇调查失业率（%）</w:t>
            </w:r>
          </w:p>
        </w:tc>
        <w:tc>
          <w:tcPr>
            <w:tcW w:w="960" w:type="dxa"/>
            <w:shd w:val="clear" w:color="auto" w:fill="auto"/>
            <w:noWrap w:val="0"/>
            <w:tcMar>
              <w:top w:w="15" w:type="dxa"/>
              <w:left w:w="15" w:type="dxa"/>
              <w:right w:w="15" w:type="dxa"/>
            </w:tcMar>
            <w:vAlign w:val="center"/>
          </w:tcPr>
          <w:p w14:paraId="5440A484">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5.0</w:t>
            </w:r>
          </w:p>
        </w:tc>
        <w:tc>
          <w:tcPr>
            <w:tcW w:w="990" w:type="dxa"/>
            <w:shd w:val="clear" w:color="auto" w:fill="auto"/>
            <w:noWrap w:val="0"/>
            <w:tcMar>
              <w:top w:w="15" w:type="dxa"/>
              <w:left w:w="15" w:type="dxa"/>
              <w:right w:w="15" w:type="dxa"/>
            </w:tcMar>
            <w:vAlign w:val="center"/>
          </w:tcPr>
          <w:p w14:paraId="4D2732A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＜5.5</w:t>
            </w:r>
          </w:p>
        </w:tc>
        <w:tc>
          <w:tcPr>
            <w:tcW w:w="1055" w:type="dxa"/>
            <w:shd w:val="clear" w:color="auto" w:fill="auto"/>
            <w:noWrap w:val="0"/>
            <w:tcMar>
              <w:top w:w="15" w:type="dxa"/>
              <w:left w:w="15" w:type="dxa"/>
              <w:right w:w="15" w:type="dxa"/>
            </w:tcMar>
            <w:vAlign w:val="center"/>
          </w:tcPr>
          <w:p w14:paraId="17991ADD">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约束性</w:t>
            </w:r>
          </w:p>
        </w:tc>
      </w:tr>
      <w:tr w14:paraId="2BF5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7B47886E">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5</w:t>
            </w:r>
          </w:p>
        </w:tc>
        <w:tc>
          <w:tcPr>
            <w:tcW w:w="5355" w:type="dxa"/>
            <w:shd w:val="clear" w:color="auto" w:fill="auto"/>
            <w:noWrap w:val="0"/>
            <w:tcMar>
              <w:top w:w="15" w:type="dxa"/>
              <w:left w:w="15" w:type="dxa"/>
              <w:right w:w="15" w:type="dxa"/>
            </w:tcMar>
            <w:vAlign w:val="center"/>
          </w:tcPr>
          <w:p w14:paraId="50BF5972">
            <w:pPr>
              <w:keepNext/>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本市户籍应届普通高校毕业生年底毕业去向落实率（%）</w:t>
            </w:r>
          </w:p>
        </w:tc>
        <w:tc>
          <w:tcPr>
            <w:tcW w:w="960" w:type="dxa"/>
            <w:shd w:val="clear" w:color="auto" w:fill="auto"/>
            <w:noWrap w:val="0"/>
            <w:tcMar>
              <w:top w:w="15" w:type="dxa"/>
              <w:left w:w="15" w:type="dxa"/>
              <w:right w:w="15" w:type="dxa"/>
            </w:tcMar>
            <w:vAlign w:val="center"/>
          </w:tcPr>
          <w:p w14:paraId="621B789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97</w:t>
            </w:r>
          </w:p>
        </w:tc>
        <w:tc>
          <w:tcPr>
            <w:tcW w:w="990" w:type="dxa"/>
            <w:shd w:val="clear" w:color="auto" w:fill="auto"/>
            <w:noWrap w:val="0"/>
            <w:tcMar>
              <w:top w:w="15" w:type="dxa"/>
              <w:left w:w="15" w:type="dxa"/>
              <w:right w:w="15" w:type="dxa"/>
            </w:tcMar>
            <w:vAlign w:val="center"/>
          </w:tcPr>
          <w:p w14:paraId="0E6370C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92</w:t>
            </w:r>
          </w:p>
        </w:tc>
        <w:tc>
          <w:tcPr>
            <w:tcW w:w="1055" w:type="dxa"/>
            <w:shd w:val="clear" w:color="auto" w:fill="auto"/>
            <w:noWrap w:val="0"/>
            <w:tcMar>
              <w:top w:w="15" w:type="dxa"/>
              <w:left w:w="15" w:type="dxa"/>
              <w:right w:w="15" w:type="dxa"/>
            </w:tcMar>
            <w:vAlign w:val="center"/>
          </w:tcPr>
          <w:p w14:paraId="755D5F4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4F26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4CE7C317">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6</w:t>
            </w:r>
          </w:p>
        </w:tc>
        <w:tc>
          <w:tcPr>
            <w:tcW w:w="5355" w:type="dxa"/>
            <w:shd w:val="clear" w:color="auto" w:fill="auto"/>
            <w:noWrap w:val="0"/>
            <w:tcMar>
              <w:top w:w="15" w:type="dxa"/>
              <w:left w:w="15" w:type="dxa"/>
              <w:right w:w="15" w:type="dxa"/>
            </w:tcMar>
            <w:vAlign w:val="center"/>
          </w:tcPr>
          <w:p w14:paraId="6B4FF29D">
            <w:pPr>
              <w:keepNext/>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城镇零就业家庭24小时动态清零（户）</w:t>
            </w:r>
          </w:p>
        </w:tc>
        <w:tc>
          <w:tcPr>
            <w:tcW w:w="960" w:type="dxa"/>
            <w:shd w:val="clear" w:color="auto" w:fill="auto"/>
            <w:noWrap w:val="0"/>
            <w:tcMar>
              <w:top w:w="15" w:type="dxa"/>
              <w:left w:w="15" w:type="dxa"/>
              <w:right w:w="15" w:type="dxa"/>
            </w:tcMar>
            <w:vAlign w:val="center"/>
          </w:tcPr>
          <w:p w14:paraId="36FE1E17">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全覆盖</w:t>
            </w:r>
          </w:p>
        </w:tc>
        <w:tc>
          <w:tcPr>
            <w:tcW w:w="990" w:type="dxa"/>
            <w:shd w:val="clear" w:color="auto" w:fill="auto"/>
            <w:noWrap w:val="0"/>
            <w:tcMar>
              <w:top w:w="15" w:type="dxa"/>
              <w:left w:w="15" w:type="dxa"/>
              <w:right w:w="15" w:type="dxa"/>
            </w:tcMar>
            <w:vAlign w:val="center"/>
          </w:tcPr>
          <w:p w14:paraId="0161DC1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全覆盖</w:t>
            </w:r>
          </w:p>
        </w:tc>
        <w:tc>
          <w:tcPr>
            <w:tcW w:w="1055" w:type="dxa"/>
            <w:shd w:val="clear" w:color="auto" w:fill="auto"/>
            <w:noWrap w:val="0"/>
            <w:tcMar>
              <w:top w:w="15" w:type="dxa"/>
              <w:left w:w="15" w:type="dxa"/>
              <w:right w:w="15" w:type="dxa"/>
            </w:tcMar>
            <w:vAlign w:val="center"/>
          </w:tcPr>
          <w:p w14:paraId="0BF52C9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约束性</w:t>
            </w:r>
          </w:p>
        </w:tc>
      </w:tr>
      <w:tr w14:paraId="18B4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03DFA0FD">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7</w:t>
            </w:r>
          </w:p>
        </w:tc>
        <w:tc>
          <w:tcPr>
            <w:tcW w:w="5355" w:type="dxa"/>
            <w:noWrap w:val="0"/>
            <w:tcMar>
              <w:top w:w="15" w:type="dxa"/>
              <w:left w:w="15" w:type="dxa"/>
              <w:right w:w="15" w:type="dxa"/>
            </w:tcMar>
            <w:vAlign w:val="center"/>
          </w:tcPr>
          <w:p w14:paraId="02079340">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eastAsia" w:ascii="方正仿宋_GBK" w:hAnsi="方正仿宋_GBK" w:eastAsia="方正仿宋_GBK" w:cs="方正仿宋_GBK"/>
                <w:b w:val="0"/>
                <w:bCs/>
                <w:strike/>
                <w:dstrike w:val="0"/>
                <w:color w:val="auto"/>
                <w:sz w:val="21"/>
                <w:szCs w:val="21"/>
                <w:highlight w:val="none"/>
              </w:rPr>
            </w:pPr>
            <w:r>
              <w:rPr>
                <w:rFonts w:hint="eastAsia" w:ascii="方正仿宋_GBK" w:hAnsi="方正仿宋_GBK" w:eastAsia="方正仿宋_GBK" w:cs="方正仿宋_GBK"/>
                <w:b w:val="0"/>
                <w:bCs/>
                <w:color w:val="auto"/>
                <w:sz w:val="21"/>
                <w:szCs w:val="21"/>
                <w:highlight w:val="none"/>
              </w:rPr>
              <w:t>开展</w:t>
            </w:r>
            <w:r>
              <w:rPr>
                <w:rFonts w:hint="eastAsia" w:ascii="方正仿宋_GBK" w:hAnsi="方正仿宋_GBK" w:eastAsia="方正仿宋_GBK" w:cs="方正仿宋_GBK"/>
                <w:b w:val="0"/>
                <w:bCs/>
                <w:color w:val="auto"/>
                <w:sz w:val="21"/>
                <w:szCs w:val="21"/>
                <w:highlight w:val="none"/>
                <w:lang w:eastAsia="zh-CN"/>
              </w:rPr>
              <w:t>各类</w:t>
            </w:r>
            <w:r>
              <w:rPr>
                <w:rFonts w:hint="eastAsia" w:ascii="方正仿宋_GBK" w:hAnsi="方正仿宋_GBK" w:eastAsia="方正仿宋_GBK" w:cs="方正仿宋_GBK"/>
                <w:b w:val="0"/>
                <w:bCs/>
                <w:color w:val="auto"/>
                <w:sz w:val="21"/>
                <w:szCs w:val="21"/>
                <w:highlight w:val="none"/>
              </w:rPr>
              <w:t>职业技能培训</w:t>
            </w:r>
            <w:r>
              <w:rPr>
                <w:rFonts w:hint="eastAsia" w:ascii="方正仿宋_GBK" w:hAnsi="方正仿宋_GBK" w:eastAsia="方正仿宋_GBK" w:cs="方正仿宋_GBK"/>
                <w:b w:val="0"/>
                <w:bCs/>
                <w:color w:val="auto"/>
                <w:sz w:val="21"/>
                <w:szCs w:val="21"/>
                <w:highlight w:val="none"/>
                <w:lang w:eastAsia="zh-CN"/>
              </w:rPr>
              <w:t>（万人次）</w:t>
            </w:r>
          </w:p>
        </w:tc>
        <w:tc>
          <w:tcPr>
            <w:tcW w:w="960" w:type="dxa"/>
            <w:noWrap w:val="0"/>
            <w:tcMar>
              <w:top w:w="15" w:type="dxa"/>
              <w:left w:w="15" w:type="dxa"/>
              <w:right w:w="15" w:type="dxa"/>
            </w:tcMar>
            <w:vAlign w:val="center"/>
          </w:tcPr>
          <w:p w14:paraId="253FC33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66.93</w:t>
            </w:r>
            <w:r>
              <w:rPr>
                <w:rFonts w:hint="default" w:ascii="Times New Roman" w:hAnsi="Times New Roman" w:eastAsia="方正仿宋_GBK" w:cs="Times New Roman"/>
                <w:color w:val="auto"/>
                <w:kern w:val="0"/>
                <w:sz w:val="21"/>
                <w:szCs w:val="21"/>
                <w:highlight w:val="none"/>
                <w:lang w:val="en-US" w:eastAsia="zh-CN"/>
              </w:rPr>
              <w:t>]</w:t>
            </w:r>
          </w:p>
        </w:tc>
        <w:tc>
          <w:tcPr>
            <w:tcW w:w="990" w:type="dxa"/>
            <w:noWrap w:val="0"/>
            <w:tcMar>
              <w:top w:w="15" w:type="dxa"/>
              <w:left w:w="15" w:type="dxa"/>
              <w:right w:w="15" w:type="dxa"/>
            </w:tcMar>
            <w:vAlign w:val="center"/>
          </w:tcPr>
          <w:p w14:paraId="795DDED9">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60</w:t>
            </w:r>
            <w:r>
              <w:rPr>
                <w:rFonts w:hint="default" w:ascii="Times New Roman" w:hAnsi="Times New Roman" w:eastAsia="方正仿宋_GBK" w:cs="Times New Roman"/>
                <w:color w:val="auto"/>
                <w:kern w:val="0"/>
                <w:sz w:val="21"/>
                <w:szCs w:val="21"/>
                <w:highlight w:val="none"/>
                <w:lang w:val="en-US" w:eastAsia="zh-CN"/>
              </w:rPr>
              <w:t>]</w:t>
            </w:r>
          </w:p>
        </w:tc>
        <w:tc>
          <w:tcPr>
            <w:tcW w:w="1055" w:type="dxa"/>
            <w:shd w:val="clear" w:color="auto" w:fill="auto"/>
            <w:noWrap w:val="0"/>
            <w:tcMar>
              <w:top w:w="15" w:type="dxa"/>
              <w:left w:w="15" w:type="dxa"/>
              <w:right w:w="15" w:type="dxa"/>
            </w:tcMar>
            <w:vAlign w:val="center"/>
          </w:tcPr>
          <w:p w14:paraId="7DB07A48">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方正仿宋_GBK" w:hAnsi="方正仿宋_GBK" w:eastAsia="方正仿宋_GBK" w:cs="方正仿宋_GBK"/>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7F9B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034" w:type="dxa"/>
            <w:gridSpan w:val="5"/>
            <w:noWrap w:val="0"/>
            <w:tcMar>
              <w:top w:w="15" w:type="dxa"/>
              <w:left w:w="15" w:type="dxa"/>
              <w:right w:w="15" w:type="dxa"/>
            </w:tcMar>
            <w:vAlign w:val="center"/>
          </w:tcPr>
          <w:p w14:paraId="2A4C3859">
            <w:pPr>
              <w:keepNext/>
              <w:keepLines w:val="0"/>
              <w:pageBreakBefore w:val="0"/>
              <w:widowControl/>
              <w:kinsoku/>
              <w:wordWrap/>
              <w:overflowPunct/>
              <w:topLinePunct w:val="0"/>
              <w:autoSpaceDE/>
              <w:autoSpaceDN/>
              <w:bidi w:val="0"/>
              <w:adjustRightInd/>
              <w:snapToGrid/>
              <w:spacing w:line="300" w:lineRule="exact"/>
              <w:ind w:firstLine="210" w:firstLineChars="100"/>
              <w:jc w:val="left"/>
              <w:textAlignment w:val="center"/>
              <w:outlineLvl w:val="9"/>
              <w:rPr>
                <w:rFonts w:hint="eastAsia" w:ascii="方正仿宋_GBK" w:hAnsi="方正仿宋_GBK" w:eastAsia="方正仿宋_GBK" w:cs="方正仿宋_GBK"/>
                <w:color w:val="auto"/>
                <w:kern w:val="0"/>
                <w:sz w:val="21"/>
                <w:szCs w:val="21"/>
                <w:highlight w:val="none"/>
                <w:lang w:val="en-US" w:eastAsia="zh-CN"/>
              </w:rPr>
            </w:pPr>
            <w:r>
              <w:rPr>
                <w:rFonts w:hint="eastAsia" w:ascii="方正黑体_GBK" w:hAnsi="方正黑体_GBK" w:eastAsia="方正黑体_GBK" w:cs="方正黑体_GBK"/>
                <w:b w:val="0"/>
                <w:bCs/>
                <w:color w:val="auto"/>
                <w:sz w:val="21"/>
                <w:szCs w:val="21"/>
                <w:highlight w:val="none"/>
                <w:lang w:val="en-US" w:eastAsia="zh-CN"/>
              </w:rPr>
              <w:t>二、社会保障</w:t>
            </w:r>
          </w:p>
        </w:tc>
      </w:tr>
      <w:tr w14:paraId="4782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6E4CA657">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8</w:t>
            </w:r>
          </w:p>
        </w:tc>
        <w:tc>
          <w:tcPr>
            <w:tcW w:w="5355" w:type="dxa"/>
            <w:noWrap w:val="0"/>
            <w:tcMar>
              <w:top w:w="15" w:type="dxa"/>
              <w:left w:w="15" w:type="dxa"/>
              <w:right w:w="15" w:type="dxa"/>
            </w:tcMar>
            <w:vAlign w:val="center"/>
          </w:tcPr>
          <w:p w14:paraId="610ABDFA">
            <w:pPr>
              <w:keepNext/>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outlineLvl w:val="9"/>
              <w:rPr>
                <w:rFonts w:hint="eastAsia" w:ascii="Times New Roman" w:hAnsi="Times New Roman"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eastAsia="zh-CN"/>
              </w:rPr>
              <w:t>职工养老保险参保人数占基本养老保险总人数比例（</w:t>
            </w:r>
            <w:r>
              <w:rPr>
                <w:rFonts w:hint="eastAsia" w:ascii="Times New Roman" w:hAnsi="Times New Roman" w:cs="Times New Roman"/>
                <w:color w:val="auto"/>
                <w:kern w:val="0"/>
                <w:sz w:val="21"/>
                <w:szCs w:val="21"/>
                <w:highlight w:val="none"/>
                <w:lang w:val="en-US" w:eastAsia="zh-CN"/>
              </w:rPr>
              <w:t>%</w:t>
            </w:r>
            <w:r>
              <w:rPr>
                <w:rFonts w:hint="eastAsia" w:ascii="Times New Roman" w:hAnsi="Times New Roman" w:cs="Times New Roman"/>
                <w:color w:val="auto"/>
                <w:kern w:val="0"/>
                <w:sz w:val="21"/>
                <w:szCs w:val="21"/>
                <w:highlight w:val="none"/>
                <w:lang w:eastAsia="zh-CN"/>
              </w:rPr>
              <w:t>）</w:t>
            </w:r>
          </w:p>
        </w:tc>
        <w:tc>
          <w:tcPr>
            <w:tcW w:w="960" w:type="dxa"/>
            <w:noWrap w:val="0"/>
            <w:tcMar>
              <w:top w:w="15" w:type="dxa"/>
              <w:left w:w="15" w:type="dxa"/>
              <w:right w:w="15" w:type="dxa"/>
            </w:tcMar>
            <w:vAlign w:val="center"/>
          </w:tcPr>
          <w:p w14:paraId="11CDA153">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990" w:type="dxa"/>
            <w:noWrap w:val="0"/>
            <w:tcMar>
              <w:top w:w="15" w:type="dxa"/>
              <w:left w:w="15" w:type="dxa"/>
              <w:right w:w="15" w:type="dxa"/>
            </w:tcMar>
            <w:vAlign w:val="center"/>
          </w:tcPr>
          <w:p w14:paraId="1BAE6C1A">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92</w:t>
            </w:r>
          </w:p>
        </w:tc>
        <w:tc>
          <w:tcPr>
            <w:tcW w:w="1055" w:type="dxa"/>
            <w:shd w:val="clear" w:color="auto" w:fill="auto"/>
            <w:noWrap w:val="0"/>
            <w:tcMar>
              <w:top w:w="15" w:type="dxa"/>
              <w:left w:w="15" w:type="dxa"/>
              <w:right w:w="15" w:type="dxa"/>
            </w:tcMar>
            <w:vAlign w:val="center"/>
          </w:tcPr>
          <w:p w14:paraId="38CE9A57">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方正仿宋_GBK" w:hAnsi="方正仿宋_GBK" w:eastAsia="方正仿宋_GBK" w:cs="方正仿宋_GBK"/>
                <w:color w:val="auto"/>
                <w:kern w:val="0"/>
                <w:sz w:val="21"/>
                <w:szCs w:val="21"/>
                <w:highlight w:val="yellow"/>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5829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52A3C4ED">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9</w:t>
            </w:r>
          </w:p>
        </w:tc>
        <w:tc>
          <w:tcPr>
            <w:tcW w:w="5355" w:type="dxa"/>
            <w:noWrap w:val="0"/>
            <w:tcMar>
              <w:top w:w="15" w:type="dxa"/>
              <w:left w:w="15" w:type="dxa"/>
              <w:right w:w="15" w:type="dxa"/>
            </w:tcMar>
            <w:vAlign w:val="center"/>
          </w:tcPr>
          <w:p w14:paraId="1A20D984">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eastAsia" w:ascii="方正仿宋_GBK" w:hAnsi="方正仿宋_GBK" w:eastAsia="方正仿宋_GBK" w:cs="方正仿宋_GBK"/>
                <w:b w:val="0"/>
                <w:bCs/>
                <w:color w:val="auto"/>
                <w:sz w:val="21"/>
                <w:szCs w:val="21"/>
                <w:highlight w:val="none"/>
                <w:lang w:eastAsia="zh-CN"/>
              </w:rPr>
            </w:pPr>
            <w:r>
              <w:rPr>
                <w:rFonts w:hint="eastAsia" w:ascii="方正仿宋_GBK" w:hAnsi="方正仿宋_GBK" w:eastAsia="方正仿宋_GBK" w:cs="方正仿宋_GBK"/>
                <w:b w:val="0"/>
                <w:bCs/>
                <w:color w:val="auto"/>
                <w:sz w:val="21"/>
                <w:szCs w:val="21"/>
                <w:highlight w:val="none"/>
              </w:rPr>
              <w:t>失业保险参保人数</w:t>
            </w:r>
            <w:r>
              <w:rPr>
                <w:rFonts w:hint="eastAsia" w:ascii="方正仿宋_GBK" w:hAnsi="方正仿宋_GBK" w:eastAsia="方正仿宋_GBK" w:cs="方正仿宋_GBK"/>
                <w:b w:val="0"/>
                <w:bCs/>
                <w:color w:val="auto"/>
                <w:sz w:val="21"/>
                <w:szCs w:val="21"/>
                <w:highlight w:val="none"/>
                <w:lang w:eastAsia="zh-CN"/>
              </w:rPr>
              <w:t>（万人）</w:t>
            </w:r>
          </w:p>
        </w:tc>
        <w:tc>
          <w:tcPr>
            <w:tcW w:w="960" w:type="dxa"/>
            <w:noWrap w:val="0"/>
            <w:tcMar>
              <w:top w:w="15" w:type="dxa"/>
              <w:left w:w="15" w:type="dxa"/>
              <w:right w:w="15" w:type="dxa"/>
            </w:tcMar>
            <w:vAlign w:val="center"/>
          </w:tcPr>
          <w:p w14:paraId="20F4F0FA">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109.30</w:t>
            </w:r>
          </w:p>
        </w:tc>
        <w:tc>
          <w:tcPr>
            <w:tcW w:w="990" w:type="dxa"/>
            <w:noWrap w:val="0"/>
            <w:tcMar>
              <w:top w:w="15" w:type="dxa"/>
              <w:left w:w="15" w:type="dxa"/>
              <w:right w:w="15" w:type="dxa"/>
            </w:tcMar>
            <w:vAlign w:val="center"/>
          </w:tcPr>
          <w:p w14:paraId="59BC3E2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110</w:t>
            </w:r>
            <w:r>
              <w:rPr>
                <w:rFonts w:hint="eastAsia" w:ascii="Times New Roman" w:hAnsi="Times New Roman" w:eastAsia="方正仿宋_GBK" w:cs="Times New Roman"/>
                <w:color w:val="auto"/>
                <w:kern w:val="0"/>
                <w:sz w:val="21"/>
                <w:szCs w:val="21"/>
                <w:highlight w:val="none"/>
                <w:lang w:val="en-US" w:eastAsia="zh-CN"/>
              </w:rPr>
              <w:t>.07</w:t>
            </w:r>
          </w:p>
        </w:tc>
        <w:tc>
          <w:tcPr>
            <w:tcW w:w="1055" w:type="dxa"/>
            <w:shd w:val="clear" w:color="auto" w:fill="auto"/>
            <w:noWrap w:val="0"/>
            <w:tcMar>
              <w:top w:w="15" w:type="dxa"/>
              <w:left w:w="15" w:type="dxa"/>
              <w:right w:w="15" w:type="dxa"/>
            </w:tcMar>
            <w:vAlign w:val="center"/>
          </w:tcPr>
          <w:p w14:paraId="28BB1CF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方正仿宋_GBK" w:hAnsi="方正仿宋_GBK" w:eastAsia="方正仿宋_GBK" w:cs="方正仿宋_GBK"/>
                <w:color w:val="auto"/>
                <w:kern w:val="0"/>
                <w:sz w:val="21"/>
                <w:szCs w:val="21"/>
                <w:highlight w:val="yellow"/>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7D69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36017804">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10</w:t>
            </w:r>
          </w:p>
        </w:tc>
        <w:tc>
          <w:tcPr>
            <w:tcW w:w="5355" w:type="dxa"/>
            <w:noWrap w:val="0"/>
            <w:tcMar>
              <w:top w:w="15" w:type="dxa"/>
              <w:left w:w="15" w:type="dxa"/>
              <w:right w:w="15" w:type="dxa"/>
            </w:tcMar>
            <w:vAlign w:val="center"/>
          </w:tcPr>
          <w:p w14:paraId="40492072">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eastAsia" w:ascii="方正仿宋_GBK" w:hAnsi="方正仿宋_GBK" w:eastAsia="方正仿宋_GBK" w:cs="方正仿宋_GBK"/>
                <w:b w:val="0"/>
                <w:bCs/>
                <w:color w:val="auto"/>
                <w:sz w:val="21"/>
                <w:szCs w:val="21"/>
                <w:highlight w:val="none"/>
                <w:lang w:eastAsia="zh-CN"/>
              </w:rPr>
            </w:pPr>
            <w:r>
              <w:rPr>
                <w:rFonts w:hint="eastAsia" w:ascii="方正仿宋_GBK" w:hAnsi="方正仿宋_GBK" w:eastAsia="方正仿宋_GBK" w:cs="方正仿宋_GBK"/>
                <w:b w:val="0"/>
                <w:bCs/>
                <w:color w:val="auto"/>
                <w:sz w:val="21"/>
                <w:szCs w:val="21"/>
                <w:highlight w:val="none"/>
              </w:rPr>
              <w:t>工伤保险（含职业伤害保障）参保人数（万人）</w:t>
            </w:r>
          </w:p>
        </w:tc>
        <w:tc>
          <w:tcPr>
            <w:tcW w:w="960" w:type="dxa"/>
            <w:noWrap w:val="0"/>
            <w:tcMar>
              <w:top w:w="15" w:type="dxa"/>
              <w:left w:w="15" w:type="dxa"/>
              <w:right w:w="15" w:type="dxa"/>
            </w:tcMar>
            <w:vAlign w:val="center"/>
          </w:tcPr>
          <w:p w14:paraId="6D12AB70">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129.53</w:t>
            </w:r>
          </w:p>
        </w:tc>
        <w:tc>
          <w:tcPr>
            <w:tcW w:w="990" w:type="dxa"/>
            <w:noWrap w:val="0"/>
            <w:tcMar>
              <w:top w:w="15" w:type="dxa"/>
              <w:left w:w="15" w:type="dxa"/>
              <w:right w:w="15" w:type="dxa"/>
            </w:tcMar>
            <w:vAlign w:val="center"/>
          </w:tcPr>
          <w:p w14:paraId="14929193">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126.53</w:t>
            </w:r>
          </w:p>
        </w:tc>
        <w:tc>
          <w:tcPr>
            <w:tcW w:w="1055" w:type="dxa"/>
            <w:shd w:val="clear" w:color="auto" w:fill="auto"/>
            <w:noWrap w:val="0"/>
            <w:tcMar>
              <w:top w:w="15" w:type="dxa"/>
              <w:left w:w="15" w:type="dxa"/>
              <w:right w:w="15" w:type="dxa"/>
            </w:tcMar>
            <w:vAlign w:val="center"/>
          </w:tcPr>
          <w:p w14:paraId="2658532C">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方正仿宋_GBK" w:hAnsi="方正仿宋_GBK" w:eastAsia="方正仿宋_GBK" w:cs="方正仿宋_GBK"/>
                <w:color w:val="auto"/>
                <w:kern w:val="0"/>
                <w:sz w:val="21"/>
                <w:szCs w:val="21"/>
                <w:highlight w:val="yellow"/>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1D0D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034" w:type="dxa"/>
            <w:gridSpan w:val="5"/>
            <w:noWrap w:val="0"/>
            <w:tcMar>
              <w:top w:w="15" w:type="dxa"/>
              <w:left w:w="15" w:type="dxa"/>
              <w:right w:w="15" w:type="dxa"/>
            </w:tcMar>
            <w:vAlign w:val="center"/>
          </w:tcPr>
          <w:p w14:paraId="706B21D0">
            <w:pPr>
              <w:keepNext/>
              <w:keepLines w:val="0"/>
              <w:pageBreakBefore w:val="0"/>
              <w:widowControl/>
              <w:kinsoku/>
              <w:wordWrap/>
              <w:overflowPunct/>
              <w:topLinePunct w:val="0"/>
              <w:autoSpaceDE/>
              <w:autoSpaceDN/>
              <w:bidi w:val="0"/>
              <w:adjustRightInd/>
              <w:snapToGrid/>
              <w:spacing w:line="300" w:lineRule="exact"/>
              <w:ind w:firstLine="210" w:firstLineChars="100"/>
              <w:jc w:val="left"/>
              <w:textAlignment w:val="center"/>
              <w:outlineLvl w:val="9"/>
              <w:rPr>
                <w:rFonts w:hint="eastAsia" w:ascii="方正仿宋_GBK" w:hAnsi="方正仿宋_GBK" w:eastAsia="方正仿宋_GBK" w:cs="方正仿宋_GBK"/>
                <w:color w:val="auto"/>
                <w:kern w:val="0"/>
                <w:sz w:val="21"/>
                <w:szCs w:val="21"/>
                <w:highlight w:val="none"/>
                <w:lang w:val="en-US" w:eastAsia="zh-CN"/>
              </w:rPr>
            </w:pPr>
            <w:r>
              <w:rPr>
                <w:rFonts w:hint="eastAsia" w:ascii="方正黑体_GBK" w:hAnsi="方正黑体_GBK" w:eastAsia="方正黑体_GBK" w:cs="方正黑体_GBK"/>
                <w:b w:val="0"/>
                <w:bCs/>
                <w:color w:val="auto"/>
                <w:sz w:val="21"/>
                <w:szCs w:val="21"/>
                <w:highlight w:val="none"/>
                <w:lang w:val="en-US" w:eastAsia="zh-CN"/>
              </w:rPr>
              <w:t>三、人才人事</w:t>
            </w:r>
          </w:p>
        </w:tc>
      </w:tr>
      <w:tr w14:paraId="22B5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5A152ECC">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11</w:t>
            </w:r>
          </w:p>
        </w:tc>
        <w:tc>
          <w:tcPr>
            <w:tcW w:w="5355" w:type="dxa"/>
            <w:noWrap w:val="0"/>
            <w:tcMar>
              <w:top w:w="15" w:type="dxa"/>
              <w:left w:w="15" w:type="dxa"/>
              <w:right w:w="15" w:type="dxa"/>
            </w:tcMar>
            <w:vAlign w:val="center"/>
          </w:tcPr>
          <w:p w14:paraId="4D01E5A5">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eastAsia" w:ascii="方正仿宋_GBK" w:hAnsi="方正仿宋_GBK" w:eastAsia="方正仿宋_GBK" w:cs="方正仿宋_GBK"/>
                <w:b w:val="0"/>
                <w:bCs/>
                <w:color w:val="auto"/>
                <w:sz w:val="21"/>
                <w:szCs w:val="21"/>
                <w:highlight w:val="none"/>
              </w:rPr>
            </w:pPr>
            <w:r>
              <w:rPr>
                <w:rFonts w:hint="eastAsia" w:ascii="方正仿宋_GBK" w:hAnsi="方正仿宋_GBK" w:eastAsia="方正仿宋_GBK" w:cs="方正仿宋_GBK"/>
                <w:b w:val="0"/>
                <w:bCs/>
                <w:color w:val="auto"/>
                <w:sz w:val="21"/>
                <w:szCs w:val="21"/>
                <w:highlight w:val="none"/>
                <w:lang w:val="en-US" w:eastAsia="zh-CN"/>
              </w:rPr>
              <w:t>新增评审取得专业技术人员职称证书人数（万人次）</w:t>
            </w:r>
          </w:p>
        </w:tc>
        <w:tc>
          <w:tcPr>
            <w:tcW w:w="960" w:type="dxa"/>
            <w:noWrap w:val="0"/>
            <w:tcMar>
              <w:top w:w="15" w:type="dxa"/>
              <w:left w:w="15" w:type="dxa"/>
              <w:right w:w="15" w:type="dxa"/>
            </w:tcMar>
            <w:vAlign w:val="center"/>
          </w:tcPr>
          <w:p w14:paraId="4983E9B8">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990" w:type="dxa"/>
            <w:noWrap w:val="0"/>
            <w:tcMar>
              <w:top w:w="15" w:type="dxa"/>
              <w:left w:w="15" w:type="dxa"/>
              <w:right w:w="15" w:type="dxa"/>
            </w:tcMar>
            <w:vAlign w:val="center"/>
          </w:tcPr>
          <w:p w14:paraId="3BCAFC5F">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7</w:t>
            </w:r>
            <w:r>
              <w:rPr>
                <w:rFonts w:hint="default" w:ascii="Times New Roman" w:hAnsi="Times New Roman" w:eastAsia="方正仿宋_GBK" w:cs="Times New Roman"/>
                <w:color w:val="auto"/>
                <w:kern w:val="0"/>
                <w:sz w:val="21"/>
                <w:szCs w:val="21"/>
                <w:highlight w:val="none"/>
                <w:lang w:val="en-US" w:eastAsia="zh-CN"/>
              </w:rPr>
              <w:t>]</w:t>
            </w:r>
          </w:p>
        </w:tc>
        <w:tc>
          <w:tcPr>
            <w:tcW w:w="1055" w:type="dxa"/>
            <w:shd w:val="clear" w:color="auto" w:fill="auto"/>
            <w:noWrap w:val="0"/>
            <w:tcMar>
              <w:top w:w="15" w:type="dxa"/>
              <w:left w:w="15" w:type="dxa"/>
              <w:right w:w="15" w:type="dxa"/>
            </w:tcMar>
            <w:vAlign w:val="center"/>
          </w:tcPr>
          <w:p w14:paraId="514CE00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方正仿宋_GBK" w:hAnsi="方正仿宋_GBK" w:eastAsia="方正仿宋_GBK" w:cs="方正仿宋_GBK"/>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1EA6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shd w:val="clear" w:color="auto" w:fill="auto"/>
            <w:noWrap w:val="0"/>
            <w:tcMar>
              <w:top w:w="15" w:type="dxa"/>
              <w:left w:w="15" w:type="dxa"/>
              <w:right w:w="15" w:type="dxa"/>
            </w:tcMar>
            <w:vAlign w:val="center"/>
          </w:tcPr>
          <w:p w14:paraId="699EABC8">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12</w:t>
            </w:r>
          </w:p>
        </w:tc>
        <w:tc>
          <w:tcPr>
            <w:tcW w:w="5355" w:type="dxa"/>
            <w:shd w:val="clear" w:color="auto" w:fill="auto"/>
            <w:noWrap w:val="0"/>
            <w:tcMar>
              <w:top w:w="15" w:type="dxa"/>
              <w:left w:w="15" w:type="dxa"/>
              <w:right w:w="15" w:type="dxa"/>
            </w:tcMar>
            <w:vAlign w:val="center"/>
          </w:tcPr>
          <w:p w14:paraId="7C90595E">
            <w:pPr>
              <w:keepNext/>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outlineLvl w:val="9"/>
              <w:rPr>
                <w:rFonts w:hint="eastAsia"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eastAsia="zh-CN"/>
              </w:rPr>
              <w:t>新增取得职业资格证书或职业技能等级证书人数（万人次）</w:t>
            </w:r>
          </w:p>
        </w:tc>
        <w:tc>
          <w:tcPr>
            <w:tcW w:w="960" w:type="dxa"/>
            <w:shd w:val="clear" w:color="auto" w:fill="auto"/>
            <w:noWrap w:val="0"/>
            <w:tcMar>
              <w:top w:w="15" w:type="dxa"/>
              <w:left w:w="15" w:type="dxa"/>
              <w:right w:w="15" w:type="dxa"/>
            </w:tcMar>
            <w:vAlign w:val="center"/>
          </w:tcPr>
          <w:p w14:paraId="3446BE76">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990" w:type="dxa"/>
            <w:shd w:val="clear" w:color="auto" w:fill="auto"/>
            <w:noWrap w:val="0"/>
            <w:tcMar>
              <w:top w:w="15" w:type="dxa"/>
              <w:left w:w="15" w:type="dxa"/>
              <w:right w:w="15" w:type="dxa"/>
            </w:tcMar>
            <w:vAlign w:val="center"/>
          </w:tcPr>
          <w:p w14:paraId="72C06BC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15</w:t>
            </w:r>
            <w:r>
              <w:rPr>
                <w:rFonts w:hint="default" w:ascii="Times New Roman" w:hAnsi="Times New Roman" w:eastAsia="方正仿宋_GBK" w:cs="Times New Roman"/>
                <w:color w:val="auto"/>
                <w:kern w:val="0"/>
                <w:sz w:val="21"/>
                <w:szCs w:val="21"/>
                <w:highlight w:val="none"/>
                <w:lang w:val="en-US" w:eastAsia="zh-CN"/>
              </w:rPr>
              <w:t>]</w:t>
            </w:r>
          </w:p>
        </w:tc>
        <w:tc>
          <w:tcPr>
            <w:tcW w:w="1055" w:type="dxa"/>
            <w:shd w:val="clear" w:color="auto" w:fill="auto"/>
            <w:noWrap w:val="0"/>
            <w:tcMar>
              <w:top w:w="15" w:type="dxa"/>
              <w:left w:w="15" w:type="dxa"/>
              <w:right w:w="15" w:type="dxa"/>
            </w:tcMar>
            <w:vAlign w:val="center"/>
          </w:tcPr>
          <w:p w14:paraId="3E41E14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方正仿宋_GBK" w:hAnsi="方正仿宋_GBK" w:eastAsia="方正仿宋_GBK" w:cs="方正仿宋_GBK"/>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3BC7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shd w:val="clear" w:color="auto" w:fill="auto"/>
            <w:noWrap w:val="0"/>
            <w:tcMar>
              <w:top w:w="15" w:type="dxa"/>
              <w:left w:w="15" w:type="dxa"/>
              <w:right w:w="15" w:type="dxa"/>
            </w:tcMar>
            <w:vAlign w:val="center"/>
          </w:tcPr>
          <w:p w14:paraId="07017AE1">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13</w:t>
            </w:r>
          </w:p>
        </w:tc>
        <w:tc>
          <w:tcPr>
            <w:tcW w:w="5355" w:type="dxa"/>
            <w:shd w:val="clear" w:color="auto" w:fill="auto"/>
            <w:noWrap w:val="0"/>
            <w:tcMar>
              <w:top w:w="15" w:type="dxa"/>
              <w:left w:w="15" w:type="dxa"/>
              <w:right w:w="15" w:type="dxa"/>
            </w:tcMar>
            <w:vAlign w:val="center"/>
          </w:tcPr>
          <w:p w14:paraId="5895AF3A">
            <w:pPr>
              <w:keepNext/>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outlineLvl w:val="9"/>
              <w:rPr>
                <w:rFonts w:hint="eastAsia" w:ascii="Times New Roman" w:hAnsi="Times New Roman" w:eastAsia="方正仿宋_GB2312"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eastAsia="zh-CN"/>
              </w:rPr>
              <w:t>其中：新增取得高级工以上职业资格证书或职业技能等级证书人数（万人次）</w:t>
            </w:r>
          </w:p>
        </w:tc>
        <w:tc>
          <w:tcPr>
            <w:tcW w:w="960" w:type="dxa"/>
            <w:shd w:val="clear" w:color="auto" w:fill="auto"/>
            <w:noWrap w:val="0"/>
            <w:tcMar>
              <w:top w:w="15" w:type="dxa"/>
              <w:left w:w="15" w:type="dxa"/>
              <w:right w:w="15" w:type="dxa"/>
            </w:tcMar>
            <w:vAlign w:val="center"/>
          </w:tcPr>
          <w:p w14:paraId="386EF371">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w:t>
            </w:r>
          </w:p>
        </w:tc>
        <w:tc>
          <w:tcPr>
            <w:tcW w:w="990" w:type="dxa"/>
            <w:shd w:val="clear" w:color="auto" w:fill="auto"/>
            <w:noWrap w:val="0"/>
            <w:tcMar>
              <w:top w:w="15" w:type="dxa"/>
              <w:left w:w="15" w:type="dxa"/>
              <w:right w:w="15" w:type="dxa"/>
            </w:tcMar>
            <w:vAlign w:val="center"/>
          </w:tcPr>
          <w:p w14:paraId="443E0859">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5</w:t>
            </w:r>
            <w:r>
              <w:rPr>
                <w:rFonts w:hint="default" w:ascii="Times New Roman" w:hAnsi="Times New Roman" w:eastAsia="方正仿宋_GBK" w:cs="Times New Roman"/>
                <w:color w:val="auto"/>
                <w:kern w:val="0"/>
                <w:sz w:val="21"/>
                <w:szCs w:val="21"/>
                <w:highlight w:val="none"/>
                <w:lang w:val="en-US" w:eastAsia="zh-CN"/>
              </w:rPr>
              <w:t>]</w:t>
            </w:r>
          </w:p>
        </w:tc>
        <w:tc>
          <w:tcPr>
            <w:tcW w:w="1055" w:type="dxa"/>
            <w:shd w:val="clear" w:color="auto" w:fill="auto"/>
            <w:noWrap w:val="0"/>
            <w:tcMar>
              <w:top w:w="15" w:type="dxa"/>
              <w:left w:w="15" w:type="dxa"/>
              <w:right w:w="15" w:type="dxa"/>
            </w:tcMar>
            <w:vAlign w:val="center"/>
          </w:tcPr>
          <w:p w14:paraId="263A95F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eastAsia" w:ascii="方正仿宋_GBK" w:hAnsi="方正仿宋_GBK" w:eastAsia="方正仿宋_GBK" w:cs="方正仿宋_GBK"/>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1ADF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034" w:type="dxa"/>
            <w:gridSpan w:val="5"/>
            <w:noWrap w:val="0"/>
            <w:tcMar>
              <w:top w:w="15" w:type="dxa"/>
              <w:left w:w="15" w:type="dxa"/>
              <w:right w:w="15" w:type="dxa"/>
            </w:tcMar>
            <w:vAlign w:val="center"/>
          </w:tcPr>
          <w:p w14:paraId="6CB631CC">
            <w:pPr>
              <w:keepNext/>
              <w:keepLines w:val="0"/>
              <w:pageBreakBefore w:val="0"/>
              <w:widowControl/>
              <w:kinsoku/>
              <w:wordWrap/>
              <w:overflowPunct/>
              <w:topLinePunct w:val="0"/>
              <w:autoSpaceDE/>
              <w:autoSpaceDN/>
              <w:bidi w:val="0"/>
              <w:adjustRightInd/>
              <w:snapToGrid/>
              <w:spacing w:line="300" w:lineRule="exact"/>
              <w:ind w:firstLine="210" w:firstLineChars="100"/>
              <w:jc w:val="left"/>
              <w:textAlignment w:val="center"/>
              <w:outlineLvl w:val="9"/>
              <w:rPr>
                <w:rFonts w:hint="eastAsia" w:ascii="方正仿宋_GBK" w:hAnsi="方正仿宋_GBK" w:eastAsia="方正仿宋_GBK" w:cs="方正仿宋_GBK"/>
                <w:color w:val="auto"/>
                <w:kern w:val="0"/>
                <w:sz w:val="21"/>
                <w:szCs w:val="21"/>
                <w:highlight w:val="none"/>
                <w:lang w:val="en-US" w:eastAsia="zh-CN"/>
              </w:rPr>
            </w:pPr>
            <w:r>
              <w:rPr>
                <w:rFonts w:hint="eastAsia" w:ascii="方正黑体_GBK" w:hAnsi="方正黑体_GBK" w:eastAsia="方正黑体_GBK" w:cs="方正黑体_GBK"/>
                <w:b w:val="0"/>
                <w:bCs/>
                <w:color w:val="auto"/>
                <w:sz w:val="21"/>
                <w:szCs w:val="21"/>
                <w:highlight w:val="none"/>
                <w:lang w:val="en-US" w:eastAsia="zh-CN"/>
              </w:rPr>
              <w:t>四、劳动关系</w:t>
            </w:r>
          </w:p>
        </w:tc>
      </w:tr>
      <w:tr w14:paraId="5214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shd w:val="clear" w:color="auto" w:fill="auto"/>
            <w:noWrap w:val="0"/>
            <w:tcMar>
              <w:top w:w="15" w:type="dxa"/>
              <w:left w:w="15" w:type="dxa"/>
              <w:right w:w="15" w:type="dxa"/>
            </w:tcMar>
            <w:vAlign w:val="center"/>
          </w:tcPr>
          <w:p w14:paraId="567410F2">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14</w:t>
            </w:r>
          </w:p>
        </w:tc>
        <w:tc>
          <w:tcPr>
            <w:tcW w:w="5355" w:type="dxa"/>
            <w:shd w:val="clear" w:color="auto" w:fill="auto"/>
            <w:noWrap w:val="0"/>
            <w:tcMar>
              <w:top w:w="15" w:type="dxa"/>
              <w:left w:w="15" w:type="dxa"/>
              <w:right w:w="15" w:type="dxa"/>
            </w:tcMar>
            <w:vAlign w:val="center"/>
          </w:tcPr>
          <w:p w14:paraId="17E4436C">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方正仿宋_GBK" w:cs="Times New Roman"/>
                <w:b w:val="0"/>
                <w:bCs/>
                <w:color w:val="auto"/>
                <w:kern w:val="2"/>
                <w:sz w:val="21"/>
                <w:szCs w:val="21"/>
                <w:highlight w:val="none"/>
                <w:lang w:val="en-US" w:eastAsia="zh-CN" w:bidi="ar-SA"/>
              </w:rPr>
            </w:pPr>
            <w:r>
              <w:rPr>
                <w:rFonts w:hint="default" w:ascii="Times New Roman" w:hAnsi="Times New Roman" w:eastAsia="方正仿宋_GBK" w:cs="Times New Roman"/>
                <w:b w:val="0"/>
                <w:bCs/>
                <w:color w:val="auto"/>
                <w:sz w:val="21"/>
                <w:szCs w:val="21"/>
                <w:highlight w:val="none"/>
              </w:rPr>
              <w:t>劳动人事争议仲裁调解成功率</w:t>
            </w:r>
            <w:r>
              <w:rPr>
                <w:rFonts w:hint="default" w:ascii="Times New Roman" w:hAnsi="Times New Roman" w:eastAsia="方正仿宋_GBK" w:cs="Times New Roman"/>
                <w:b w:val="0"/>
                <w:bCs/>
                <w:color w:val="auto"/>
                <w:sz w:val="21"/>
                <w:szCs w:val="21"/>
                <w:highlight w:val="none"/>
                <w:lang w:eastAsia="zh-CN"/>
              </w:rPr>
              <w:t>（</w:t>
            </w:r>
            <w:r>
              <w:rPr>
                <w:rFonts w:hint="default" w:ascii="Times New Roman" w:hAnsi="Times New Roman" w:eastAsia="方正仿宋_GBK" w:cs="Times New Roman"/>
                <w:b w:val="0"/>
                <w:bCs/>
                <w:color w:val="auto"/>
                <w:sz w:val="21"/>
                <w:szCs w:val="21"/>
                <w:highlight w:val="none"/>
              </w:rPr>
              <w:t>%</w:t>
            </w:r>
            <w:r>
              <w:rPr>
                <w:rFonts w:hint="default" w:ascii="Times New Roman" w:hAnsi="Times New Roman" w:eastAsia="方正仿宋_GBK" w:cs="Times New Roman"/>
                <w:b w:val="0"/>
                <w:bCs/>
                <w:color w:val="auto"/>
                <w:sz w:val="21"/>
                <w:szCs w:val="21"/>
                <w:highlight w:val="none"/>
                <w:lang w:eastAsia="zh-CN"/>
              </w:rPr>
              <w:t>）</w:t>
            </w:r>
          </w:p>
        </w:tc>
        <w:tc>
          <w:tcPr>
            <w:tcW w:w="960" w:type="dxa"/>
            <w:shd w:val="clear" w:color="auto" w:fill="auto"/>
            <w:noWrap w:val="0"/>
            <w:tcMar>
              <w:top w:w="15" w:type="dxa"/>
              <w:left w:w="15" w:type="dxa"/>
              <w:right w:w="15" w:type="dxa"/>
            </w:tcMar>
            <w:vAlign w:val="center"/>
          </w:tcPr>
          <w:p w14:paraId="26686664">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64.71</w:t>
            </w:r>
          </w:p>
        </w:tc>
        <w:tc>
          <w:tcPr>
            <w:tcW w:w="990" w:type="dxa"/>
            <w:shd w:val="clear" w:color="auto" w:fill="auto"/>
            <w:noWrap w:val="0"/>
            <w:tcMar>
              <w:top w:w="15" w:type="dxa"/>
              <w:left w:w="15" w:type="dxa"/>
              <w:right w:w="15" w:type="dxa"/>
            </w:tcMar>
            <w:vAlign w:val="center"/>
          </w:tcPr>
          <w:p w14:paraId="58349F10">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≥65</w:t>
            </w:r>
          </w:p>
        </w:tc>
        <w:tc>
          <w:tcPr>
            <w:tcW w:w="1055" w:type="dxa"/>
            <w:shd w:val="clear" w:color="auto" w:fill="auto"/>
            <w:noWrap w:val="0"/>
            <w:tcMar>
              <w:top w:w="15" w:type="dxa"/>
              <w:left w:w="15" w:type="dxa"/>
              <w:right w:w="15" w:type="dxa"/>
            </w:tcMar>
            <w:vAlign w:val="center"/>
          </w:tcPr>
          <w:p w14:paraId="1D243EBA">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预期性</w:t>
            </w:r>
          </w:p>
        </w:tc>
      </w:tr>
      <w:tr w14:paraId="74C8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5A86076F">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15</w:t>
            </w:r>
          </w:p>
        </w:tc>
        <w:tc>
          <w:tcPr>
            <w:tcW w:w="5355" w:type="dxa"/>
            <w:noWrap w:val="0"/>
            <w:tcMar>
              <w:top w:w="15" w:type="dxa"/>
              <w:left w:w="15" w:type="dxa"/>
              <w:right w:w="15" w:type="dxa"/>
            </w:tcMar>
            <w:vAlign w:val="center"/>
          </w:tcPr>
          <w:p w14:paraId="179E22A7">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方正仿宋_GBK" w:cs="Times New Roman"/>
                <w:b w:val="0"/>
                <w:bCs/>
                <w:color w:val="auto"/>
                <w:sz w:val="21"/>
                <w:szCs w:val="21"/>
                <w:highlight w:val="none"/>
              </w:rPr>
            </w:pPr>
            <w:r>
              <w:rPr>
                <w:rFonts w:hint="default" w:ascii="Times New Roman" w:hAnsi="Times New Roman" w:eastAsia="方正仿宋_GBK" w:cs="Times New Roman"/>
                <w:b w:val="0"/>
                <w:bCs/>
                <w:color w:val="auto"/>
                <w:sz w:val="21"/>
                <w:szCs w:val="21"/>
                <w:highlight w:val="none"/>
              </w:rPr>
              <w:t>劳动人事争议仲裁结案率</w:t>
            </w:r>
            <w:r>
              <w:rPr>
                <w:rFonts w:hint="default" w:ascii="Times New Roman" w:hAnsi="Times New Roman" w:eastAsia="方正仿宋_GBK" w:cs="Times New Roman"/>
                <w:b w:val="0"/>
                <w:bCs/>
                <w:color w:val="auto"/>
                <w:sz w:val="21"/>
                <w:szCs w:val="21"/>
                <w:highlight w:val="none"/>
                <w:lang w:eastAsia="zh-CN"/>
              </w:rPr>
              <w:t>（</w:t>
            </w:r>
            <w:r>
              <w:rPr>
                <w:rFonts w:hint="default" w:ascii="Times New Roman" w:hAnsi="Times New Roman" w:eastAsia="方正仿宋_GBK" w:cs="Times New Roman"/>
                <w:b w:val="0"/>
                <w:bCs/>
                <w:color w:val="auto"/>
                <w:sz w:val="21"/>
                <w:szCs w:val="21"/>
                <w:highlight w:val="none"/>
              </w:rPr>
              <w:t>%</w:t>
            </w:r>
            <w:r>
              <w:rPr>
                <w:rFonts w:hint="default" w:ascii="Times New Roman" w:hAnsi="Times New Roman" w:eastAsia="方正仿宋_GBK" w:cs="Times New Roman"/>
                <w:b w:val="0"/>
                <w:bCs/>
                <w:color w:val="auto"/>
                <w:sz w:val="21"/>
                <w:szCs w:val="21"/>
                <w:highlight w:val="none"/>
                <w:lang w:eastAsia="zh-CN"/>
              </w:rPr>
              <w:t>）</w:t>
            </w:r>
          </w:p>
        </w:tc>
        <w:tc>
          <w:tcPr>
            <w:tcW w:w="960" w:type="dxa"/>
            <w:noWrap w:val="0"/>
            <w:tcMar>
              <w:top w:w="15" w:type="dxa"/>
              <w:left w:w="15" w:type="dxa"/>
              <w:right w:w="15" w:type="dxa"/>
            </w:tcMar>
            <w:vAlign w:val="center"/>
          </w:tcPr>
          <w:p w14:paraId="3C1B2F97">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96.79</w:t>
            </w:r>
          </w:p>
        </w:tc>
        <w:tc>
          <w:tcPr>
            <w:tcW w:w="990" w:type="dxa"/>
            <w:noWrap w:val="0"/>
            <w:tcMar>
              <w:top w:w="15" w:type="dxa"/>
              <w:left w:w="15" w:type="dxa"/>
              <w:right w:w="15" w:type="dxa"/>
            </w:tcMar>
            <w:vAlign w:val="center"/>
          </w:tcPr>
          <w:p w14:paraId="04986235">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≥95</w:t>
            </w:r>
          </w:p>
        </w:tc>
        <w:tc>
          <w:tcPr>
            <w:tcW w:w="1055" w:type="dxa"/>
            <w:shd w:val="clear" w:color="auto" w:fill="auto"/>
            <w:noWrap w:val="0"/>
            <w:tcMar>
              <w:top w:w="15" w:type="dxa"/>
              <w:left w:w="15" w:type="dxa"/>
              <w:right w:w="15" w:type="dxa"/>
            </w:tcMar>
            <w:vAlign w:val="center"/>
          </w:tcPr>
          <w:p w14:paraId="2576A997">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1EB0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shd w:val="clear" w:color="auto" w:fill="auto"/>
            <w:noWrap w:val="0"/>
            <w:tcMar>
              <w:top w:w="15" w:type="dxa"/>
              <w:left w:w="15" w:type="dxa"/>
              <w:right w:w="15" w:type="dxa"/>
            </w:tcMar>
            <w:vAlign w:val="center"/>
          </w:tcPr>
          <w:p w14:paraId="2D07ACB4">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16</w:t>
            </w:r>
          </w:p>
        </w:tc>
        <w:tc>
          <w:tcPr>
            <w:tcW w:w="5355" w:type="dxa"/>
            <w:shd w:val="clear" w:color="auto" w:fill="auto"/>
            <w:noWrap w:val="0"/>
            <w:tcMar>
              <w:top w:w="15" w:type="dxa"/>
              <w:left w:w="15" w:type="dxa"/>
              <w:right w:w="15" w:type="dxa"/>
            </w:tcMar>
            <w:vAlign w:val="center"/>
          </w:tcPr>
          <w:p w14:paraId="28639CB5">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方正仿宋_GBK" w:cs="Times New Roman"/>
                <w:b w:val="0"/>
                <w:bCs/>
                <w:color w:val="auto"/>
                <w:kern w:val="2"/>
                <w:sz w:val="21"/>
                <w:szCs w:val="21"/>
                <w:highlight w:val="none"/>
                <w:lang w:val="en-US" w:eastAsia="zh-CN" w:bidi="ar-SA"/>
              </w:rPr>
            </w:pPr>
            <w:r>
              <w:rPr>
                <w:rFonts w:hint="default" w:ascii="Times New Roman" w:hAnsi="Times New Roman" w:eastAsia="方正仿宋_GBK" w:cs="Times New Roman"/>
                <w:b w:val="0"/>
                <w:bCs/>
                <w:color w:val="auto"/>
                <w:sz w:val="21"/>
                <w:szCs w:val="21"/>
                <w:highlight w:val="none"/>
              </w:rPr>
              <w:t>劳动保障监察</w:t>
            </w:r>
            <w:r>
              <w:rPr>
                <w:rFonts w:hint="eastAsia" w:ascii="Times New Roman" w:hAnsi="Times New Roman" w:eastAsia="方正仿宋_GBK" w:cs="Times New Roman"/>
                <w:b w:val="0"/>
                <w:bCs/>
                <w:color w:val="auto"/>
                <w:sz w:val="21"/>
                <w:szCs w:val="21"/>
                <w:highlight w:val="none"/>
                <w:lang w:eastAsia="zh-CN"/>
              </w:rPr>
              <w:t>举报投诉</w:t>
            </w:r>
            <w:r>
              <w:rPr>
                <w:rFonts w:hint="default" w:ascii="Times New Roman" w:hAnsi="Times New Roman" w:eastAsia="方正仿宋_GBK" w:cs="Times New Roman"/>
                <w:b w:val="0"/>
                <w:bCs/>
                <w:color w:val="auto"/>
                <w:sz w:val="21"/>
                <w:szCs w:val="21"/>
                <w:highlight w:val="none"/>
              </w:rPr>
              <w:t>案件结案率</w:t>
            </w:r>
            <w:r>
              <w:rPr>
                <w:rFonts w:hint="default" w:ascii="Times New Roman" w:hAnsi="Times New Roman" w:eastAsia="方正仿宋_GBK" w:cs="Times New Roman"/>
                <w:b w:val="0"/>
                <w:bCs/>
                <w:color w:val="auto"/>
                <w:sz w:val="21"/>
                <w:szCs w:val="21"/>
                <w:highlight w:val="none"/>
                <w:lang w:eastAsia="zh-CN"/>
              </w:rPr>
              <w:t>（</w:t>
            </w:r>
            <w:r>
              <w:rPr>
                <w:rFonts w:hint="default" w:ascii="Times New Roman" w:hAnsi="Times New Roman" w:eastAsia="方正仿宋_GBK" w:cs="Times New Roman"/>
                <w:b w:val="0"/>
                <w:bCs/>
                <w:color w:val="auto"/>
                <w:sz w:val="21"/>
                <w:szCs w:val="21"/>
                <w:highlight w:val="none"/>
              </w:rPr>
              <w:t>%</w:t>
            </w:r>
            <w:r>
              <w:rPr>
                <w:rFonts w:hint="default" w:ascii="Times New Roman" w:hAnsi="Times New Roman" w:eastAsia="方正仿宋_GBK" w:cs="Times New Roman"/>
                <w:b w:val="0"/>
                <w:bCs/>
                <w:color w:val="auto"/>
                <w:sz w:val="21"/>
                <w:szCs w:val="21"/>
                <w:highlight w:val="none"/>
                <w:lang w:eastAsia="zh-CN"/>
              </w:rPr>
              <w:t>）</w:t>
            </w:r>
          </w:p>
        </w:tc>
        <w:tc>
          <w:tcPr>
            <w:tcW w:w="960" w:type="dxa"/>
            <w:shd w:val="clear" w:color="auto" w:fill="auto"/>
            <w:noWrap w:val="0"/>
            <w:tcMar>
              <w:top w:w="15" w:type="dxa"/>
              <w:left w:w="15" w:type="dxa"/>
              <w:right w:w="15" w:type="dxa"/>
            </w:tcMar>
            <w:vAlign w:val="center"/>
          </w:tcPr>
          <w:p w14:paraId="06E0BEE8">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99.10</w:t>
            </w:r>
          </w:p>
        </w:tc>
        <w:tc>
          <w:tcPr>
            <w:tcW w:w="990" w:type="dxa"/>
            <w:shd w:val="clear" w:color="auto" w:fill="auto"/>
            <w:noWrap w:val="0"/>
            <w:tcMar>
              <w:top w:w="15" w:type="dxa"/>
              <w:left w:w="15" w:type="dxa"/>
              <w:right w:w="15" w:type="dxa"/>
            </w:tcMar>
            <w:vAlign w:val="center"/>
          </w:tcPr>
          <w:p w14:paraId="4773176E">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val="en-US" w:eastAsia="zh-CN"/>
              </w:rPr>
              <w:t>≥99</w:t>
            </w:r>
          </w:p>
        </w:tc>
        <w:tc>
          <w:tcPr>
            <w:tcW w:w="1055" w:type="dxa"/>
            <w:shd w:val="clear" w:color="auto" w:fill="auto"/>
            <w:noWrap w:val="0"/>
            <w:tcMar>
              <w:top w:w="15" w:type="dxa"/>
              <w:left w:w="15" w:type="dxa"/>
              <w:right w:w="15" w:type="dxa"/>
            </w:tcMar>
            <w:vAlign w:val="center"/>
          </w:tcPr>
          <w:p w14:paraId="4BE04F9B">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color w:val="auto"/>
                <w:kern w:val="0"/>
                <w:sz w:val="21"/>
                <w:szCs w:val="21"/>
                <w:highlight w:val="none"/>
                <w:lang w:val="en-US" w:eastAsia="zh-CN" w:bidi="ar-SA"/>
              </w:rPr>
            </w:pPr>
            <w:r>
              <w:rPr>
                <w:rFonts w:hint="eastAsia" w:ascii="Times New Roman" w:hAnsi="Times New Roman" w:eastAsia="方正仿宋_GBK" w:cs="Times New Roman"/>
                <w:color w:val="auto"/>
                <w:kern w:val="0"/>
                <w:sz w:val="21"/>
                <w:szCs w:val="21"/>
                <w:highlight w:val="none"/>
                <w:lang w:val="en-US" w:eastAsia="zh-CN"/>
              </w:rPr>
              <w:t>预期性</w:t>
            </w:r>
          </w:p>
        </w:tc>
      </w:tr>
      <w:tr w14:paraId="43F6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034" w:type="dxa"/>
            <w:gridSpan w:val="5"/>
            <w:noWrap w:val="0"/>
            <w:tcMar>
              <w:top w:w="15" w:type="dxa"/>
              <w:left w:w="15" w:type="dxa"/>
              <w:right w:w="15" w:type="dxa"/>
            </w:tcMar>
            <w:vAlign w:val="center"/>
          </w:tcPr>
          <w:p w14:paraId="40896AB8">
            <w:pPr>
              <w:keepNext/>
              <w:keepLines w:val="0"/>
              <w:pageBreakBefore w:val="0"/>
              <w:widowControl/>
              <w:kinsoku/>
              <w:wordWrap/>
              <w:overflowPunct/>
              <w:topLinePunct w:val="0"/>
              <w:autoSpaceDE/>
              <w:autoSpaceDN/>
              <w:bidi w:val="0"/>
              <w:adjustRightInd/>
              <w:snapToGrid/>
              <w:spacing w:line="300" w:lineRule="exact"/>
              <w:ind w:firstLine="210" w:firstLineChars="100"/>
              <w:jc w:val="left"/>
              <w:textAlignment w:val="center"/>
              <w:outlineLvl w:val="9"/>
              <w:rPr>
                <w:rFonts w:hint="default" w:ascii="Times New Roman" w:hAnsi="Times New Roman" w:eastAsia="方正仿宋_GBK" w:cs="Times New Roman"/>
                <w:color w:val="auto"/>
                <w:kern w:val="0"/>
                <w:sz w:val="21"/>
                <w:szCs w:val="21"/>
                <w:highlight w:val="none"/>
                <w:lang w:val="en-US" w:eastAsia="zh-CN"/>
              </w:rPr>
            </w:pPr>
            <w:r>
              <w:rPr>
                <w:rFonts w:hint="eastAsia" w:ascii="方正黑体_GBK" w:hAnsi="方正黑体_GBK" w:eastAsia="方正黑体_GBK" w:cs="方正黑体_GBK"/>
                <w:b w:val="0"/>
                <w:bCs/>
                <w:color w:val="auto"/>
                <w:sz w:val="21"/>
                <w:szCs w:val="21"/>
                <w:highlight w:val="none"/>
                <w:lang w:val="en-US" w:eastAsia="zh-CN"/>
              </w:rPr>
              <w:t>五、公共服务</w:t>
            </w:r>
          </w:p>
        </w:tc>
      </w:tr>
      <w:tr w14:paraId="596C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74" w:type="dxa"/>
            <w:noWrap w:val="0"/>
            <w:tcMar>
              <w:top w:w="15" w:type="dxa"/>
              <w:left w:w="15" w:type="dxa"/>
              <w:right w:w="15" w:type="dxa"/>
            </w:tcMar>
            <w:vAlign w:val="center"/>
          </w:tcPr>
          <w:p w14:paraId="407EE29A">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strike w:val="0"/>
                <w:dstrike w:val="0"/>
                <w:color w:val="auto"/>
                <w:kern w:val="0"/>
                <w:sz w:val="21"/>
                <w:szCs w:val="21"/>
                <w:highlight w:val="none"/>
                <w:lang w:val="en-US" w:eastAsia="zh-CN"/>
              </w:rPr>
            </w:pPr>
            <w:r>
              <w:rPr>
                <w:rFonts w:hint="eastAsia" w:ascii="Times New Roman" w:hAnsi="Times New Roman" w:eastAsia="方正仿宋_GBK" w:cs="Times New Roman"/>
                <w:strike w:val="0"/>
                <w:dstrike w:val="0"/>
                <w:color w:val="auto"/>
                <w:kern w:val="0"/>
                <w:sz w:val="21"/>
                <w:szCs w:val="21"/>
                <w:highlight w:val="none"/>
                <w:lang w:val="en-US" w:eastAsia="zh-CN"/>
              </w:rPr>
              <w:t>17</w:t>
            </w:r>
          </w:p>
        </w:tc>
        <w:tc>
          <w:tcPr>
            <w:tcW w:w="5355" w:type="dxa"/>
            <w:noWrap w:val="0"/>
            <w:tcMar>
              <w:top w:w="15" w:type="dxa"/>
              <w:left w:w="15" w:type="dxa"/>
              <w:right w:w="15" w:type="dxa"/>
            </w:tcMar>
            <w:vAlign w:val="center"/>
          </w:tcPr>
          <w:p w14:paraId="1FD71B1F">
            <w:pPr>
              <w:keepNext/>
              <w:keepLines w:val="0"/>
              <w:pageBreakBefore w:val="0"/>
              <w:widowControl w:val="0"/>
              <w:kinsoku/>
              <w:wordWrap w:val="0"/>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方正仿宋_GBK" w:cs="Times New Roman"/>
                <w:b w:val="0"/>
                <w:bCs/>
                <w:strike w:val="0"/>
                <w:dstrike w:val="0"/>
                <w:color w:val="auto"/>
                <w:sz w:val="21"/>
                <w:szCs w:val="21"/>
                <w:highlight w:val="none"/>
              </w:rPr>
            </w:pPr>
            <w:r>
              <w:rPr>
                <w:rFonts w:hint="default" w:ascii="Times New Roman" w:hAnsi="Times New Roman" w:eastAsia="方正仿宋_GBK" w:cs="Times New Roman"/>
                <w:b w:val="0"/>
                <w:bCs/>
                <w:strike w:val="0"/>
                <w:dstrike w:val="0"/>
                <w:color w:val="auto"/>
                <w:sz w:val="21"/>
                <w:szCs w:val="21"/>
                <w:highlight w:val="none"/>
              </w:rPr>
              <w:t>申领电子社保卡人口覆盖率</w:t>
            </w:r>
            <w:r>
              <w:rPr>
                <w:rFonts w:hint="default" w:ascii="Times New Roman" w:hAnsi="Times New Roman" w:eastAsia="方正仿宋_GBK" w:cs="Times New Roman"/>
                <w:b w:val="0"/>
                <w:bCs/>
                <w:strike w:val="0"/>
                <w:dstrike w:val="0"/>
                <w:color w:val="auto"/>
                <w:sz w:val="21"/>
                <w:szCs w:val="21"/>
                <w:highlight w:val="none"/>
                <w:lang w:eastAsia="zh-CN"/>
              </w:rPr>
              <w:t>（</w:t>
            </w:r>
            <w:r>
              <w:rPr>
                <w:rFonts w:hint="default" w:ascii="Times New Roman" w:hAnsi="Times New Roman" w:eastAsia="方正仿宋_GBK" w:cs="Times New Roman"/>
                <w:b w:val="0"/>
                <w:bCs/>
                <w:strike w:val="0"/>
                <w:dstrike w:val="0"/>
                <w:color w:val="auto"/>
                <w:sz w:val="21"/>
                <w:szCs w:val="21"/>
                <w:highlight w:val="none"/>
              </w:rPr>
              <w:t>%</w:t>
            </w:r>
            <w:r>
              <w:rPr>
                <w:rFonts w:hint="default" w:ascii="Times New Roman" w:hAnsi="Times New Roman" w:eastAsia="方正仿宋_GBK" w:cs="Times New Roman"/>
                <w:b w:val="0"/>
                <w:bCs/>
                <w:strike w:val="0"/>
                <w:dstrike w:val="0"/>
                <w:color w:val="auto"/>
                <w:sz w:val="21"/>
                <w:szCs w:val="21"/>
                <w:highlight w:val="none"/>
                <w:lang w:eastAsia="zh-CN"/>
              </w:rPr>
              <w:t>）</w:t>
            </w:r>
          </w:p>
        </w:tc>
        <w:tc>
          <w:tcPr>
            <w:tcW w:w="960" w:type="dxa"/>
            <w:noWrap w:val="0"/>
            <w:tcMar>
              <w:top w:w="15" w:type="dxa"/>
              <w:left w:w="15" w:type="dxa"/>
              <w:right w:w="15" w:type="dxa"/>
            </w:tcMar>
            <w:vAlign w:val="center"/>
          </w:tcPr>
          <w:p w14:paraId="6D3FD1B6">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strike w:val="0"/>
                <w:dstrike w:val="0"/>
                <w:color w:val="auto"/>
                <w:kern w:val="0"/>
                <w:sz w:val="21"/>
                <w:szCs w:val="21"/>
                <w:highlight w:val="none"/>
                <w:lang w:val="en-US" w:eastAsia="zh-CN"/>
              </w:rPr>
            </w:pPr>
            <w:r>
              <w:rPr>
                <w:rFonts w:hint="default" w:ascii="Times New Roman" w:hAnsi="Times New Roman" w:eastAsia="方正仿宋_GBK" w:cs="Times New Roman"/>
                <w:strike w:val="0"/>
                <w:dstrike w:val="0"/>
                <w:color w:val="auto"/>
                <w:kern w:val="0"/>
                <w:sz w:val="21"/>
                <w:szCs w:val="21"/>
                <w:highlight w:val="none"/>
                <w:lang w:val="en-US" w:eastAsia="zh-CN"/>
              </w:rPr>
              <w:t>81.10</w:t>
            </w:r>
          </w:p>
        </w:tc>
        <w:tc>
          <w:tcPr>
            <w:tcW w:w="990" w:type="dxa"/>
            <w:noWrap w:val="0"/>
            <w:tcMar>
              <w:top w:w="15" w:type="dxa"/>
              <w:left w:w="15" w:type="dxa"/>
              <w:right w:w="15" w:type="dxa"/>
            </w:tcMar>
            <w:vAlign w:val="center"/>
          </w:tcPr>
          <w:p w14:paraId="4FDAB49E">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strike w:val="0"/>
                <w:dstrike w:val="0"/>
                <w:color w:val="auto"/>
                <w:kern w:val="0"/>
                <w:sz w:val="21"/>
                <w:szCs w:val="21"/>
                <w:highlight w:val="none"/>
                <w:lang w:val="en-US" w:eastAsia="zh-CN"/>
              </w:rPr>
            </w:pPr>
            <w:r>
              <w:rPr>
                <w:rFonts w:hint="eastAsia" w:ascii="Times New Roman" w:hAnsi="Times New Roman" w:eastAsia="方正仿宋_GBK" w:cs="Times New Roman"/>
                <w:strike w:val="0"/>
                <w:dstrike w:val="0"/>
                <w:color w:val="auto"/>
                <w:kern w:val="0"/>
                <w:sz w:val="21"/>
                <w:szCs w:val="21"/>
                <w:highlight w:val="none"/>
                <w:lang w:val="en-US" w:eastAsia="zh-CN"/>
              </w:rPr>
              <w:t>90</w:t>
            </w:r>
          </w:p>
        </w:tc>
        <w:tc>
          <w:tcPr>
            <w:tcW w:w="1055" w:type="dxa"/>
            <w:shd w:val="clear" w:color="auto" w:fill="auto"/>
            <w:noWrap w:val="0"/>
            <w:tcMar>
              <w:top w:w="15" w:type="dxa"/>
              <w:left w:w="15" w:type="dxa"/>
              <w:right w:w="15" w:type="dxa"/>
            </w:tcMar>
            <w:vAlign w:val="center"/>
          </w:tcPr>
          <w:p w14:paraId="128E6E33">
            <w:pPr>
              <w:keepNext/>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outlineLvl w:val="9"/>
              <w:rPr>
                <w:rFonts w:hint="default" w:ascii="Times New Roman" w:hAnsi="Times New Roman" w:eastAsia="方正仿宋_GBK" w:cs="Times New Roman"/>
                <w:strike w:val="0"/>
                <w:dstrike w:val="0"/>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预期性</w:t>
            </w:r>
          </w:p>
        </w:tc>
      </w:tr>
      <w:tr w14:paraId="53DC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034" w:type="dxa"/>
            <w:gridSpan w:val="5"/>
            <w:noWrap w:val="0"/>
            <w:tcMar>
              <w:top w:w="15" w:type="dxa"/>
              <w:left w:w="15" w:type="dxa"/>
              <w:right w:w="15" w:type="dxa"/>
            </w:tcMar>
            <w:vAlign w:val="center"/>
          </w:tcPr>
          <w:p w14:paraId="417EE433">
            <w:pPr>
              <w:keepNext/>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outlineLvl w:val="9"/>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strike w:val="0"/>
                <w:dstrike w:val="0"/>
                <w:color w:val="auto"/>
                <w:kern w:val="0"/>
                <w:sz w:val="21"/>
                <w:szCs w:val="21"/>
                <w:highlight w:val="none"/>
                <w:lang w:val="en-US" w:eastAsia="zh-CN"/>
              </w:rPr>
              <w:t>注：带</w:t>
            </w: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color w:val="auto"/>
                <w:kern w:val="0"/>
                <w:sz w:val="21"/>
                <w:szCs w:val="21"/>
                <w:highlight w:val="none"/>
                <w:lang w:val="en-US" w:eastAsia="zh-CN"/>
              </w:rPr>
              <w:t xml:space="preserve"> </w:t>
            </w:r>
            <w:r>
              <w:rPr>
                <w:rFonts w:hint="default" w:ascii="Times New Roman" w:hAnsi="Times New Roman" w:eastAsia="方正仿宋_GBK" w:cs="Times New Roman"/>
                <w:color w:val="auto"/>
                <w:kern w:val="0"/>
                <w:sz w:val="21"/>
                <w:szCs w:val="21"/>
                <w:highlight w:val="none"/>
                <w:lang w:val="en-US" w:eastAsia="zh-CN"/>
              </w:rPr>
              <w:t>]</w:t>
            </w:r>
            <w:r>
              <w:rPr>
                <w:rFonts w:hint="eastAsia" w:ascii="Times New Roman" w:hAnsi="Times New Roman" w:eastAsia="方正仿宋_GBK" w:cs="Times New Roman"/>
                <w:strike w:val="0"/>
                <w:dstrike w:val="0"/>
                <w:color w:val="auto"/>
                <w:kern w:val="0"/>
                <w:sz w:val="21"/>
                <w:szCs w:val="21"/>
                <w:highlight w:val="none"/>
                <w:lang w:val="en-US" w:eastAsia="zh-CN"/>
              </w:rPr>
              <w:t>表示五年累计数</w:t>
            </w:r>
          </w:p>
        </w:tc>
      </w:tr>
    </w:tbl>
    <w:p w14:paraId="3AC697F4">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仿宋_GBK" w:hAnsi="方正仿宋_GBK" w:eastAsia="方正仿宋_GBK" w:cs="方正仿宋_GBK"/>
          <w:color w:val="auto"/>
          <w:highlight w:val="none"/>
          <w:lang w:val="en-US" w:eastAsia="zh-CN"/>
        </w:rPr>
      </w:pPr>
      <w:bookmarkStart w:id="4" w:name="_Toc17264"/>
      <w:r>
        <w:rPr>
          <w:rFonts w:hint="eastAsia" w:ascii="方正黑体_GBK" w:hAnsi="方正黑体_GBK" w:eastAsia="方正黑体_GBK" w:cs="方正黑体_GBK"/>
          <w:b w:val="0"/>
          <w:bCs/>
          <w:color w:val="auto"/>
          <w:highlight w:val="none"/>
          <w:lang w:val="en-US" w:eastAsia="zh-CN"/>
        </w:rPr>
        <w:t>第二章</w:t>
      </w:r>
      <w:r>
        <w:rPr>
          <w:rFonts w:hint="eastAsia" w:ascii="方正黑体_GBK" w:hAnsi="方正黑体_GBK" w:eastAsia="方正黑体_GBK" w:cs="方正黑体_GBK"/>
          <w:b w:val="0"/>
          <w:bCs/>
          <w:color w:val="auto"/>
          <w:highlight w:val="none"/>
          <w:lang w:val="en-US" w:eastAsia="zh-CN"/>
        </w:rPr>
        <w:fldChar w:fldCharType="begin"/>
      </w:r>
      <w:r>
        <w:rPr>
          <w:rFonts w:hint="eastAsia" w:ascii="方正黑体_GBK" w:hAnsi="方正黑体_GBK" w:eastAsia="方正黑体_GBK" w:cs="方正黑体_GBK"/>
          <w:b w:val="0"/>
          <w:bCs/>
          <w:color w:val="auto"/>
          <w:highlight w:val="none"/>
          <w:lang w:val="en-US" w:eastAsia="zh-CN"/>
        </w:rPr>
        <w:instrText xml:space="preserve"> HYPERLINK \l _Toc1433_WPSOffice_Level1 </w:instrText>
      </w:r>
      <w:r>
        <w:rPr>
          <w:rFonts w:hint="eastAsia" w:ascii="方正黑体_GBK" w:hAnsi="方正黑体_GBK" w:eastAsia="方正黑体_GBK" w:cs="方正黑体_GBK"/>
          <w:b w:val="0"/>
          <w:bCs/>
          <w:color w:val="auto"/>
          <w:highlight w:val="none"/>
          <w:lang w:val="en-US" w:eastAsia="zh-CN"/>
        </w:rPr>
        <w:fldChar w:fldCharType="separate"/>
      </w:r>
      <w:r>
        <w:rPr>
          <w:rFonts w:hint="eastAsia" w:ascii="方正黑体_GBK" w:hAnsi="方正黑体_GBK" w:eastAsia="方正黑体_GBK" w:cs="方正黑体_GBK"/>
          <w:b w:val="0"/>
          <w:bCs/>
          <w:color w:val="auto"/>
          <w:highlight w:val="none"/>
          <w:lang w:val="en-US" w:eastAsia="zh-CN"/>
        </w:rPr>
        <w:t xml:space="preserve"> 实施就业优先战略，</w:t>
      </w:r>
      <w:r>
        <w:rPr>
          <w:rFonts w:hint="eastAsia" w:ascii="方正黑体_GBK" w:hAnsi="方正黑体_GBK" w:eastAsia="方正黑体_GBK" w:cs="方正黑体_GBK"/>
          <w:b w:val="0"/>
          <w:bCs/>
          <w:color w:val="auto"/>
          <w:highlight w:val="none"/>
          <w:lang w:val="en-US" w:eastAsia="zh-CN"/>
        </w:rPr>
        <w:fldChar w:fldCharType="end"/>
      </w:r>
      <w:r>
        <w:rPr>
          <w:rFonts w:hint="eastAsia" w:ascii="方正黑体_GBK" w:hAnsi="方正黑体_GBK" w:eastAsia="方正黑体_GBK" w:cs="方正黑体_GBK"/>
          <w:b w:val="0"/>
          <w:bCs/>
          <w:color w:val="auto"/>
          <w:highlight w:val="none"/>
          <w:lang w:val="en-US" w:eastAsia="zh-CN"/>
        </w:rPr>
        <w:t>促进高质量充分就业</w:t>
      </w:r>
      <w:bookmarkEnd w:id="4"/>
    </w:p>
    <w:p w14:paraId="5E6BE362">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健全完善就业促进机制，构建就业友好型发展方式，推进人力资源更好更优配置，着力破解结构性就业矛盾，促进首府实现就业量的合理增长和质的有效提升，确保首府就业形势总体稳定。</w:t>
      </w:r>
    </w:p>
    <w:p w14:paraId="28FFCDB4">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5" w:name="_Toc16335"/>
      <w:r>
        <w:rPr>
          <w:rFonts w:hint="eastAsia" w:ascii="方正楷体简体" w:hAnsi="方正楷体简体" w:eastAsia="方正楷体简体" w:cs="方正楷体简体"/>
          <w:b w:val="0"/>
          <w:bCs/>
          <w:color w:val="auto"/>
          <w:kern w:val="2"/>
          <w:sz w:val="32"/>
          <w:szCs w:val="24"/>
          <w:lang w:val="en-US" w:eastAsia="zh-CN" w:bidi="ar-SA"/>
        </w:rPr>
        <w:t>第一节 构建就业友好型发展方式</w:t>
      </w:r>
      <w:bookmarkEnd w:id="5"/>
    </w:p>
    <w:p w14:paraId="2FBE9F11">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方正仿宋_GBK" w:cs="Times New Roman"/>
          <w:b w:val="0"/>
          <w:bCs w:val="0"/>
          <w:color w:val="auto"/>
          <w:kern w:val="0"/>
          <w:sz w:val="32"/>
          <w:szCs w:val="32"/>
          <w:highlight w:val="none"/>
          <w:u w:val="none"/>
          <w:lang w:val="en-US" w:eastAsia="zh-CN" w:bidi="ar-SA"/>
        </w:rPr>
      </w:pPr>
      <w:r>
        <w:rPr>
          <w:rFonts w:hint="eastAsia" w:ascii="Times New Roman" w:hAnsi="Times New Roman" w:eastAsia="方正仿宋_GBK" w:cs="Times New Roman"/>
          <w:color w:val="auto"/>
          <w:kern w:val="0"/>
          <w:sz w:val="32"/>
          <w:szCs w:val="32"/>
          <w:highlight w:val="none"/>
          <w:u w:val="none"/>
          <w:lang w:val="en-US" w:eastAsia="zh-CN"/>
        </w:rPr>
        <w:t>突出就业优先政策导向，坚持把高质量充分就业作为经济社会发展的优先目标，落实就业工作目标责任制。围绕首府“5+2”现代工业体系和“6+8”现代服务业布局，加强财政、金融、产业、投资、消费等政策与就业政策的协同联动，提高发展的就业带动力。探索建立符合首府实际的就业影响评估机制，将增加就业作为政府投资和重大项目前期的社会效益分析评价重要内容。创建高质量充分就业示范区和单位，发挥典型引领作用。</w:t>
      </w:r>
    </w:p>
    <w:p w14:paraId="39CB5703">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方正仿宋_GBK" w:cs="Times New Roman"/>
          <w:b w:val="0"/>
          <w:bCs w:val="0"/>
          <w:color w:val="auto"/>
          <w:kern w:val="0"/>
          <w:sz w:val="32"/>
          <w:szCs w:val="32"/>
          <w:highlight w:val="none"/>
          <w:u w:val="none"/>
          <w:lang w:val="en-US" w:eastAsia="zh-CN" w:bidi="ar-SA"/>
        </w:rPr>
      </w:pPr>
      <w:r>
        <w:rPr>
          <w:rFonts w:hint="eastAsia" w:ascii="Times New Roman" w:hAnsi="Times New Roman" w:eastAsia="方正仿宋_GBK" w:cs="Times New Roman"/>
          <w:color w:val="auto"/>
          <w:kern w:val="0"/>
          <w:sz w:val="32"/>
          <w:szCs w:val="32"/>
          <w:highlight w:val="none"/>
          <w:u w:val="none"/>
          <w:lang w:val="en-US" w:eastAsia="zh-CN"/>
        </w:rPr>
        <w:t>支持疆内外劳动者来乌就业创业，促进各民族劳动者在首府共事共业，着力构建就业友好型城市。支持新就业形态创新发展，壮大数字经济、绿色经济、银发经济，推动数字化转型中的岗位挖潜和职业转换，优先支持就业容量大的产业，依托产业培育更多新的就业增长点，努力提高第二产业就业占比，持续提升第三产业就业质量。</w:t>
      </w:r>
    </w:p>
    <w:p w14:paraId="6831AEB8">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6" w:name="_Toc12573"/>
      <w:r>
        <w:rPr>
          <w:rFonts w:hint="eastAsia" w:ascii="方正楷体简体" w:hAnsi="方正楷体简体" w:eastAsia="方正楷体简体" w:cs="方正楷体简体"/>
          <w:b w:val="0"/>
          <w:bCs/>
          <w:color w:val="auto"/>
          <w:kern w:val="2"/>
          <w:sz w:val="32"/>
          <w:szCs w:val="24"/>
          <w:lang w:val="en-US" w:eastAsia="zh-CN" w:bidi="ar-SA"/>
        </w:rPr>
        <w:t>第二节 多措并举促进重点群体就业</w:t>
      </w:r>
      <w:bookmarkEnd w:id="6"/>
    </w:p>
    <w:p w14:paraId="36A8894D">
      <w:pPr>
        <w:keepNext/>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加大高校毕业生等青年就业创业资源供给，做实做优毕业生离校前和毕业后两个关键阶段专项就业服务。按需提供各类就业创业专项推介活动，畅通高校毕业生人岗对接渠道。建立“政—校—企”常态化联动机制，</w:t>
      </w:r>
      <w:r>
        <w:rPr>
          <w:rFonts w:hint="default" w:ascii="方正仿宋_GBK" w:hAnsi="方正仿宋_GBK" w:eastAsia="方正仿宋_GBK" w:cs="方正仿宋_GBK"/>
          <w:color w:val="auto"/>
          <w:kern w:val="2"/>
          <w:sz w:val="32"/>
          <w:szCs w:val="32"/>
          <w:highlight w:val="none"/>
          <w:lang w:val="en-US" w:eastAsia="zh-CN" w:bidi="ar-SA"/>
        </w:rPr>
        <w:t>推进</w:t>
      </w:r>
      <w:r>
        <w:rPr>
          <w:rFonts w:hint="eastAsia" w:ascii="方正仿宋_GBK" w:hAnsi="方正仿宋_GBK" w:eastAsia="方正仿宋_GBK" w:cs="方正仿宋_GBK"/>
          <w:color w:val="auto"/>
          <w:kern w:val="2"/>
          <w:sz w:val="32"/>
          <w:szCs w:val="32"/>
          <w:highlight w:val="none"/>
          <w:lang w:val="en-US" w:eastAsia="zh-CN" w:bidi="ar-SA"/>
        </w:rPr>
        <w:t>高校</w:t>
      </w:r>
      <w:r>
        <w:rPr>
          <w:rFonts w:hint="default" w:ascii="方正仿宋_GBK" w:hAnsi="方正仿宋_GBK" w:eastAsia="方正仿宋_GBK" w:cs="方正仿宋_GBK"/>
          <w:color w:val="auto"/>
          <w:kern w:val="2"/>
          <w:sz w:val="32"/>
          <w:szCs w:val="32"/>
          <w:highlight w:val="none"/>
          <w:lang w:val="en-US" w:eastAsia="zh-CN" w:bidi="ar-SA"/>
        </w:rPr>
        <w:t>就业服务站建设</w:t>
      </w:r>
      <w:r>
        <w:rPr>
          <w:rFonts w:hint="eastAsia" w:ascii="方正仿宋_GBK" w:hAnsi="方正仿宋_GBK" w:eastAsia="方正仿宋_GBK" w:cs="方正仿宋_GBK"/>
          <w:color w:val="auto"/>
          <w:kern w:val="2"/>
          <w:sz w:val="32"/>
          <w:szCs w:val="32"/>
          <w:highlight w:val="none"/>
          <w:lang w:val="en-US" w:eastAsia="zh-CN" w:bidi="ar-SA"/>
        </w:rPr>
        <w:t>，开展全国城市联合招聘、公共就业服务进校园、就业服务攻坚行动等系列活动。创新开展求职能力实训营、职业体验和企业开放日活动。持续实施就业见习岗位募集计划和“三支一扶”基层服务计划。聚焦人工智能、电子商务等领域试点项目制孵化培育模式，打通高校毕业生创业路径。</w:t>
      </w:r>
    </w:p>
    <w:p w14:paraId="7F750141">
      <w:pPr>
        <w:keepNext/>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实施就业困难人员就业帮扶行动，强化对大龄、残疾、较长时间失业等失业群体摸排，开展“一对一”就业援助。扎实做好退役军人、妇女、残疾人等重点群体就业帮扶。统筹用好公益性岗位，确保城镇零就业家庭动态清零。</w:t>
      </w:r>
    </w:p>
    <w:p w14:paraId="68CA2CF4">
      <w:pPr>
        <w:keepNext/>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highlight w:val="none"/>
          <w:lang w:val="en-US" w:eastAsia="zh-CN"/>
        </w:rPr>
      </w:pPr>
      <w:r>
        <w:rPr>
          <w:rFonts w:hint="eastAsia" w:ascii="方正仿宋_GBK" w:hAnsi="方正仿宋_GBK" w:eastAsia="方正仿宋_GBK" w:cs="方正仿宋_GBK"/>
          <w:color w:val="auto"/>
          <w:kern w:val="2"/>
          <w:sz w:val="32"/>
          <w:szCs w:val="32"/>
          <w:highlight w:val="none"/>
          <w:lang w:val="en-US" w:eastAsia="zh-CN" w:bidi="ar-SA"/>
        </w:rPr>
        <w:t>结合新型城镇化和乡村全面振兴，支持和引导农村劳动力就地就近和外出务工就业。做好劳务品牌发现培育和评选认定工作，促进更多城乡劳动力实现就业增收。开展常态化帮扶，确保有劳动能力和就业意愿的就业重点帮扶群体所在家庭至少一人实现就业。深化疆内外劳务协作，持续开展“春暖农民工”服务行动，强化服务保障，提高农民工市民化质量。</w:t>
      </w:r>
    </w:p>
    <w:tbl>
      <w:tblPr>
        <w:tblStyle w:val="21"/>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0"/>
      </w:tblGrid>
      <w:tr w14:paraId="6417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040" w:type="dxa"/>
            <w:noWrap w:val="0"/>
            <w:vAlign w:val="top"/>
          </w:tcPr>
          <w:p w14:paraId="4FD24F0C">
            <w:pPr>
              <w:keepNext/>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color w:val="auto"/>
                <w:sz w:val="32"/>
                <w:szCs w:val="32"/>
                <w:highlight w:val="none"/>
                <w:vertAlign w:val="baseline"/>
                <w:lang w:val="en-US" w:eastAsia="zh-CN"/>
              </w:rPr>
            </w:pPr>
            <w:r>
              <w:rPr>
                <w:rFonts w:hint="default" w:ascii="Times New Roman" w:hAnsi="Times New Roman" w:eastAsia="方正黑体_GBK" w:cs="Times New Roman"/>
                <w:b w:val="0"/>
                <w:bCs/>
                <w:color w:val="auto"/>
                <w:sz w:val="24"/>
                <w:szCs w:val="24"/>
                <w:highlight w:val="none"/>
                <w:lang w:val="en-US" w:eastAsia="zh-CN"/>
              </w:rPr>
              <w:t>专栏</w:t>
            </w:r>
            <w:r>
              <w:rPr>
                <w:rFonts w:hint="eastAsia" w:ascii="Times New Roman" w:hAnsi="Times New Roman" w:eastAsia="方正黑体_GBK" w:cs="Times New Roman"/>
                <w:b w:val="0"/>
                <w:bCs/>
                <w:color w:val="auto"/>
                <w:sz w:val="24"/>
                <w:szCs w:val="24"/>
                <w:highlight w:val="none"/>
                <w:lang w:val="en-US" w:eastAsia="zh-CN"/>
              </w:rPr>
              <w:t>3</w:t>
            </w:r>
            <w:r>
              <w:rPr>
                <w:rFonts w:hint="default" w:ascii="Times New Roman" w:hAnsi="Times New Roman" w:eastAsia="方正黑体_GBK" w:cs="Times New Roman"/>
                <w:b w:val="0"/>
                <w:bCs/>
                <w:color w:val="auto"/>
                <w:sz w:val="24"/>
                <w:szCs w:val="24"/>
                <w:highlight w:val="none"/>
                <w:lang w:val="en-US" w:eastAsia="zh-CN"/>
              </w:rPr>
              <w:t xml:space="preserve"> 重点群体就业服务</w:t>
            </w:r>
          </w:p>
        </w:tc>
      </w:tr>
      <w:tr w14:paraId="3A09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40" w:type="dxa"/>
            <w:noWrap w:val="0"/>
            <w:vAlign w:val="top"/>
          </w:tcPr>
          <w:p w14:paraId="12FE514F">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eastAsia"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1.实施就业惠民行动。</w:t>
            </w:r>
            <w:r>
              <w:rPr>
                <w:rFonts w:hint="default" w:ascii="Times New Roman" w:hAnsi="Times New Roman" w:eastAsia="方正仿宋_GBK" w:cs="Times New Roman"/>
                <w:b w:val="0"/>
                <w:bCs/>
                <w:color w:val="auto"/>
                <w:sz w:val="24"/>
                <w:szCs w:val="24"/>
                <w:highlight w:val="none"/>
                <w:lang w:val="en-US" w:eastAsia="zh-CN"/>
              </w:rPr>
              <w:t>将就业创业服务纳入政府民生实事项目，每年帮扶</w:t>
            </w:r>
            <w:r>
              <w:rPr>
                <w:rFonts w:hint="eastAsia" w:ascii="Times New Roman" w:hAnsi="Times New Roman" w:eastAsia="方正仿宋_GBK" w:cs="Times New Roman"/>
                <w:b w:val="0"/>
                <w:bCs/>
                <w:color w:val="auto"/>
                <w:sz w:val="24"/>
                <w:szCs w:val="24"/>
                <w:highlight w:val="none"/>
                <w:lang w:val="en-US" w:eastAsia="zh-CN"/>
              </w:rPr>
              <w:t>6</w:t>
            </w:r>
            <w:r>
              <w:rPr>
                <w:rFonts w:hint="default" w:ascii="Times New Roman" w:hAnsi="Times New Roman" w:eastAsia="方正仿宋_GBK" w:cs="Times New Roman"/>
                <w:b w:val="0"/>
                <w:bCs/>
                <w:color w:val="auto"/>
                <w:sz w:val="24"/>
                <w:szCs w:val="24"/>
                <w:highlight w:val="none"/>
                <w:lang w:val="en-US" w:eastAsia="zh-CN"/>
              </w:rPr>
              <w:t>万名登记失业人员</w:t>
            </w:r>
            <w:r>
              <w:rPr>
                <w:rFonts w:hint="eastAsia" w:ascii="Times New Roman" w:hAnsi="Times New Roman" w:eastAsia="方正仿宋_GBK" w:cs="Times New Roman"/>
                <w:b w:val="0"/>
                <w:bCs/>
                <w:color w:val="auto"/>
                <w:sz w:val="24"/>
                <w:szCs w:val="24"/>
                <w:highlight w:val="none"/>
                <w:lang w:val="en-US" w:eastAsia="zh-CN"/>
              </w:rPr>
              <w:t>实现再就业。</w:t>
            </w:r>
          </w:p>
          <w:p w14:paraId="033C956F">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2.</w:t>
            </w:r>
            <w:r>
              <w:rPr>
                <w:rFonts w:hint="eastAsia" w:ascii="Times New Roman" w:hAnsi="Times New Roman" w:eastAsia="方正仿宋_GBK" w:cs="Times New Roman"/>
                <w:b/>
                <w:bCs w:val="0"/>
                <w:color w:val="auto"/>
                <w:sz w:val="24"/>
                <w:szCs w:val="24"/>
                <w:highlight w:val="none"/>
                <w:lang w:val="en-US" w:eastAsia="zh-CN"/>
              </w:rPr>
              <w:t>建立健全院校就业服务站。</w:t>
            </w:r>
            <w:r>
              <w:rPr>
                <w:rFonts w:hint="eastAsia" w:ascii="Times New Roman" w:hAnsi="Times New Roman" w:eastAsia="方正仿宋_GBK" w:cs="Times New Roman"/>
                <w:b w:val="0"/>
                <w:bCs/>
                <w:color w:val="auto"/>
                <w:sz w:val="24"/>
                <w:szCs w:val="24"/>
                <w:highlight w:val="none"/>
                <w:lang w:val="en-US" w:eastAsia="zh-CN"/>
              </w:rPr>
              <w:t>依托院校就业服务站开展招聘对接、就业指导、创业服务、政策宣讲、职业培训及其他公共就业服务等“</w:t>
            </w:r>
            <w:r>
              <w:rPr>
                <w:rFonts w:hint="default" w:ascii="Times New Roman" w:hAnsi="Times New Roman" w:eastAsia="方正仿宋_GBK" w:cs="Times New Roman"/>
                <w:b w:val="0"/>
                <w:bCs/>
                <w:color w:val="auto"/>
                <w:sz w:val="24"/>
                <w:szCs w:val="24"/>
                <w:highlight w:val="none"/>
                <w:lang w:val="en-US" w:eastAsia="zh-CN"/>
              </w:rPr>
              <w:t>5+X</w:t>
            </w:r>
            <w:r>
              <w:rPr>
                <w:rFonts w:hint="eastAsia" w:ascii="Times New Roman" w:hAnsi="Times New Roman" w:eastAsia="方正仿宋_GBK" w:cs="Times New Roman"/>
                <w:b w:val="0"/>
                <w:bCs/>
                <w:color w:val="auto"/>
                <w:sz w:val="24"/>
                <w:szCs w:val="24"/>
                <w:highlight w:val="none"/>
                <w:lang w:val="en-US" w:eastAsia="zh-CN"/>
              </w:rPr>
              <w:t>”服务活动。</w:t>
            </w:r>
          </w:p>
          <w:p w14:paraId="5891149B">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3.</w:t>
            </w:r>
            <w:r>
              <w:rPr>
                <w:rFonts w:hint="eastAsia" w:ascii="Times New Roman" w:hAnsi="Times New Roman" w:eastAsia="方正仿宋_GBK" w:cs="Times New Roman"/>
                <w:b/>
                <w:bCs w:val="0"/>
                <w:color w:val="auto"/>
                <w:sz w:val="24"/>
                <w:szCs w:val="24"/>
                <w:highlight w:val="none"/>
                <w:lang w:val="en-US" w:eastAsia="zh-CN"/>
              </w:rPr>
              <w:t>开展</w:t>
            </w:r>
            <w:r>
              <w:rPr>
                <w:rFonts w:hint="eastAsia" w:ascii="Times New Roman" w:hAnsi="Times New Roman" w:eastAsia="方正仿宋_GBK" w:cs="Times New Roman"/>
                <w:b/>
                <w:bCs w:val="0"/>
                <w:kern w:val="2"/>
                <w:sz w:val="24"/>
                <w:szCs w:val="24"/>
                <w:highlight w:val="none"/>
                <w:lang w:val="en-US" w:eastAsia="zh-CN" w:bidi="ar-SA"/>
              </w:rPr>
              <w:t>求职能力实训师资培训</w:t>
            </w:r>
            <w:r>
              <w:rPr>
                <w:rFonts w:hint="default" w:ascii="Times New Roman" w:hAnsi="Times New Roman" w:eastAsia="方正仿宋_GBK" w:cs="Times New Roman"/>
                <w:b/>
                <w:bCs w:val="0"/>
                <w:color w:val="auto"/>
                <w:sz w:val="24"/>
                <w:szCs w:val="24"/>
                <w:highlight w:val="none"/>
                <w:lang w:val="en-US" w:eastAsia="zh-CN"/>
              </w:rPr>
              <w:t>。</w:t>
            </w:r>
            <w:r>
              <w:rPr>
                <w:rFonts w:hint="default" w:ascii="Times New Roman" w:hAnsi="Times New Roman" w:eastAsia="方正仿宋_GBK" w:cs="Times New Roman"/>
                <w:b w:val="0"/>
                <w:bCs/>
                <w:color w:val="auto"/>
                <w:sz w:val="24"/>
                <w:szCs w:val="24"/>
                <w:highlight w:val="none"/>
                <w:lang w:val="en-US" w:eastAsia="zh-CN"/>
              </w:rPr>
              <w:t>组织公共就业服务机构、高校、人力资源服务机构业务骨干</w:t>
            </w:r>
            <w:r>
              <w:rPr>
                <w:rFonts w:hint="eastAsia" w:ascii="Times New Roman" w:hAnsi="Times New Roman" w:eastAsia="方正仿宋_GBK" w:cs="Times New Roman"/>
                <w:b w:val="0"/>
                <w:bCs/>
                <w:color w:val="auto"/>
                <w:sz w:val="24"/>
                <w:szCs w:val="24"/>
                <w:highlight w:val="none"/>
                <w:lang w:val="en-US" w:eastAsia="zh-CN"/>
              </w:rPr>
              <w:t>参加</w:t>
            </w:r>
            <w:r>
              <w:rPr>
                <w:rFonts w:hint="default" w:ascii="Times New Roman" w:hAnsi="Times New Roman" w:eastAsia="方正仿宋_GBK" w:cs="Times New Roman"/>
                <w:b w:val="0"/>
                <w:bCs/>
                <w:color w:val="auto"/>
                <w:sz w:val="24"/>
                <w:szCs w:val="24"/>
                <w:highlight w:val="none"/>
                <w:lang w:val="en-US" w:eastAsia="zh-CN"/>
              </w:rPr>
              <w:t>求职能力师资培训，提升高校毕业生就业职业指导师资力量。</w:t>
            </w:r>
          </w:p>
          <w:p w14:paraId="7013221D">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4.</w:t>
            </w:r>
            <w:r>
              <w:rPr>
                <w:rFonts w:hint="eastAsia" w:ascii="Times New Roman" w:hAnsi="Times New Roman" w:eastAsia="方正仿宋_GBK" w:cs="Times New Roman"/>
                <w:b/>
                <w:bCs w:val="0"/>
                <w:color w:val="auto"/>
                <w:sz w:val="24"/>
                <w:szCs w:val="24"/>
                <w:highlight w:val="none"/>
                <w:lang w:val="en-US" w:eastAsia="zh-CN"/>
              </w:rPr>
              <w:t>开展</w:t>
            </w:r>
            <w:r>
              <w:rPr>
                <w:rFonts w:hint="default" w:ascii="Times New Roman" w:hAnsi="Times New Roman" w:eastAsia="方正仿宋_GBK" w:cs="Times New Roman"/>
                <w:b/>
                <w:bCs w:val="0"/>
                <w:color w:val="auto"/>
                <w:sz w:val="24"/>
                <w:szCs w:val="24"/>
                <w:highlight w:val="none"/>
                <w:lang w:val="en-US" w:eastAsia="zh-CN"/>
              </w:rPr>
              <w:t>高校毕业生实名登记服务</w:t>
            </w:r>
            <w:r>
              <w:rPr>
                <w:rFonts w:hint="eastAsia" w:ascii="Times New Roman" w:hAnsi="Times New Roman" w:eastAsia="方正仿宋_GBK" w:cs="Times New Roman"/>
                <w:b/>
                <w:bCs w:val="0"/>
                <w:color w:val="auto"/>
                <w:sz w:val="24"/>
                <w:szCs w:val="24"/>
                <w:highlight w:val="none"/>
                <w:lang w:val="en-US" w:eastAsia="zh-CN"/>
              </w:rPr>
              <w:t>。</w:t>
            </w:r>
            <w:r>
              <w:rPr>
                <w:rFonts w:hint="eastAsia" w:ascii="Times New Roman" w:hAnsi="Times New Roman" w:eastAsia="方正仿宋_GBK" w:cs="Times New Roman"/>
                <w:b w:val="0"/>
                <w:bCs/>
                <w:color w:val="auto"/>
                <w:sz w:val="24"/>
                <w:szCs w:val="24"/>
                <w:highlight w:val="none"/>
                <w:lang w:val="en-US" w:eastAsia="zh-CN"/>
              </w:rPr>
              <w:t>每年</w:t>
            </w:r>
            <w:r>
              <w:rPr>
                <w:rFonts w:hint="default" w:ascii="Times New Roman" w:hAnsi="Times New Roman" w:eastAsia="方正仿宋_GBK" w:cs="Times New Roman"/>
                <w:b w:val="0"/>
                <w:bCs/>
                <w:color w:val="auto"/>
                <w:sz w:val="24"/>
                <w:szCs w:val="24"/>
                <w:highlight w:val="none"/>
                <w:lang w:val="en-US" w:eastAsia="zh-CN"/>
              </w:rPr>
              <w:t>本市户籍应届普通高校毕业生毕业去向落实率达到90%以上。</w:t>
            </w:r>
          </w:p>
          <w:p w14:paraId="7C47FA5C">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5.实施高校毕业生基层成长计划。</w:t>
            </w:r>
            <w:r>
              <w:rPr>
                <w:rFonts w:hint="default" w:ascii="Times New Roman" w:hAnsi="Times New Roman" w:eastAsia="方正仿宋_GBK" w:cs="Times New Roman"/>
                <w:b w:val="0"/>
                <w:bCs/>
                <w:color w:val="auto"/>
                <w:sz w:val="24"/>
                <w:szCs w:val="24"/>
                <w:highlight w:val="none"/>
                <w:lang w:val="en-US" w:eastAsia="zh-CN"/>
              </w:rPr>
              <w:t>统</w:t>
            </w:r>
            <w:r>
              <w:rPr>
                <w:rFonts w:hint="eastAsia" w:ascii="方正仿宋_GBK" w:hAnsi="方正仿宋_GBK" w:eastAsia="方正仿宋_GBK" w:cs="方正仿宋_GBK"/>
                <w:b w:val="0"/>
                <w:bCs/>
                <w:color w:val="auto"/>
                <w:sz w:val="24"/>
                <w:szCs w:val="24"/>
                <w:highlight w:val="none"/>
                <w:lang w:val="en-US" w:eastAsia="zh-CN"/>
              </w:rPr>
              <w:t>筹实施“三支一扶”基层就业服务项目，引导鼓励高校毕业生到基层一线就业，积极向自治区争取政策支持，扩</w:t>
            </w:r>
            <w:r>
              <w:rPr>
                <w:rFonts w:hint="eastAsia" w:ascii="Times New Roman" w:hAnsi="Times New Roman" w:eastAsia="方正仿宋_GBK" w:cs="Times New Roman"/>
                <w:b w:val="0"/>
                <w:bCs/>
                <w:color w:val="auto"/>
                <w:sz w:val="24"/>
                <w:szCs w:val="24"/>
                <w:highlight w:val="none"/>
                <w:lang w:val="en-US" w:eastAsia="zh-CN"/>
              </w:rPr>
              <w:t>大招募规模</w:t>
            </w:r>
            <w:r>
              <w:rPr>
                <w:rFonts w:hint="default" w:ascii="Times New Roman" w:hAnsi="Times New Roman" w:eastAsia="方正仿宋_GBK" w:cs="Times New Roman"/>
                <w:b w:val="0"/>
                <w:bCs/>
                <w:color w:val="auto"/>
                <w:sz w:val="24"/>
                <w:szCs w:val="24"/>
                <w:highlight w:val="none"/>
                <w:lang w:val="en-US" w:eastAsia="zh-CN"/>
              </w:rPr>
              <w:t>。</w:t>
            </w:r>
          </w:p>
          <w:p w14:paraId="7479BF4B">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6.实施高校毕业生就业见习计划。</w:t>
            </w:r>
            <w:r>
              <w:rPr>
                <w:rFonts w:hint="default" w:ascii="Times New Roman" w:hAnsi="Times New Roman" w:eastAsia="方正仿宋_GBK" w:cs="Times New Roman"/>
                <w:b w:val="0"/>
                <w:bCs/>
                <w:color w:val="auto"/>
                <w:sz w:val="24"/>
                <w:szCs w:val="24"/>
                <w:highlight w:val="none"/>
                <w:lang w:val="en-US" w:eastAsia="zh-CN"/>
              </w:rPr>
              <w:t>将有意愿参加就业见习离校2年内未就业高校毕业生及16-24岁失业青年纳入就业见习范围，落实就业见习补贴，鼓励见习单位提前留用见习人员。</w:t>
            </w:r>
          </w:p>
          <w:p w14:paraId="10414D39">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highlight w:val="none"/>
                <w:lang w:val="en-US" w:eastAsia="zh-CN"/>
              </w:rPr>
            </w:pPr>
            <w:r>
              <w:rPr>
                <w:rFonts w:hint="eastAsia" w:ascii="Times New Roman" w:hAnsi="Times New Roman" w:eastAsia="方正仿宋_GBK" w:cs="Times New Roman"/>
                <w:b/>
                <w:bCs w:val="0"/>
                <w:color w:val="auto"/>
                <w:sz w:val="24"/>
                <w:szCs w:val="24"/>
                <w:highlight w:val="none"/>
                <w:lang w:val="en-US" w:eastAsia="zh-CN"/>
              </w:rPr>
              <w:t>7</w:t>
            </w:r>
            <w:r>
              <w:rPr>
                <w:rFonts w:hint="default" w:ascii="Times New Roman" w:hAnsi="Times New Roman" w:eastAsia="方正仿宋_GBK" w:cs="Times New Roman"/>
                <w:b/>
                <w:bCs w:val="0"/>
                <w:color w:val="auto"/>
                <w:sz w:val="24"/>
                <w:szCs w:val="24"/>
                <w:highlight w:val="none"/>
                <w:lang w:val="en-US" w:eastAsia="zh-CN"/>
              </w:rPr>
              <w:t>.</w:t>
            </w:r>
            <w:r>
              <w:rPr>
                <w:rFonts w:hint="eastAsia" w:ascii="Times New Roman" w:hAnsi="Times New Roman" w:eastAsia="方正仿宋_GBK" w:cs="Times New Roman"/>
                <w:b/>
                <w:bCs w:val="0"/>
                <w:color w:val="auto"/>
                <w:sz w:val="24"/>
                <w:szCs w:val="24"/>
                <w:highlight w:val="none"/>
                <w:lang w:val="en-US" w:eastAsia="zh-CN"/>
              </w:rPr>
              <w:t>开展就业困难人员就业帮扶行动。</w:t>
            </w:r>
            <w:r>
              <w:rPr>
                <w:rFonts w:hint="eastAsia" w:ascii="Times New Roman" w:hAnsi="Times New Roman" w:eastAsia="方正仿宋_GBK" w:cs="Times New Roman"/>
                <w:b w:val="0"/>
                <w:bCs/>
                <w:color w:val="auto"/>
                <w:sz w:val="24"/>
                <w:szCs w:val="24"/>
                <w:highlight w:val="none"/>
                <w:lang w:val="en-US" w:eastAsia="zh-CN"/>
              </w:rPr>
              <w:t>推</w:t>
            </w:r>
            <w:r>
              <w:rPr>
                <w:rFonts w:hint="default" w:ascii="Times New Roman" w:hAnsi="Times New Roman" w:eastAsia="方正仿宋_GBK" w:cs="Times New Roman"/>
                <w:b w:val="0"/>
                <w:bCs/>
                <w:color w:val="auto"/>
                <w:sz w:val="24"/>
                <w:szCs w:val="24"/>
                <w:highlight w:val="none"/>
                <w:lang w:val="en-US" w:eastAsia="zh-CN"/>
              </w:rPr>
              <w:t>进</w:t>
            </w:r>
            <w:r>
              <w:rPr>
                <w:rFonts w:hint="eastAsia" w:ascii="Times New Roman" w:hAnsi="Times New Roman" w:eastAsia="方正仿宋_GBK" w:cs="Times New Roman"/>
                <w:b w:val="0"/>
                <w:bCs/>
                <w:color w:val="auto"/>
                <w:sz w:val="24"/>
                <w:szCs w:val="24"/>
                <w:highlight w:val="none"/>
                <w:lang w:val="en-US" w:eastAsia="zh-CN"/>
              </w:rPr>
              <w:t>就业困难人员</w:t>
            </w:r>
            <w:r>
              <w:rPr>
                <w:rFonts w:hint="default" w:ascii="Times New Roman" w:hAnsi="Times New Roman" w:eastAsia="方正仿宋_GBK" w:cs="Times New Roman"/>
                <w:b w:val="0"/>
                <w:bCs/>
                <w:color w:val="auto"/>
                <w:sz w:val="24"/>
                <w:szCs w:val="24"/>
                <w:highlight w:val="none"/>
                <w:lang w:val="en-US" w:eastAsia="zh-CN"/>
              </w:rPr>
              <w:t>实名制动态管理和分类精准帮扶，统筹开发公益性岗位进行安置，每</w:t>
            </w:r>
            <w:r>
              <w:rPr>
                <w:rFonts w:hint="eastAsia" w:ascii="Times New Roman" w:hAnsi="Times New Roman" w:eastAsia="方正仿宋_GBK" w:cs="Times New Roman"/>
                <w:b w:val="0"/>
                <w:bCs/>
                <w:color w:val="auto"/>
                <w:sz w:val="24"/>
                <w:szCs w:val="24"/>
                <w:highlight w:val="none"/>
                <w:lang w:val="en-US" w:eastAsia="zh-CN"/>
              </w:rPr>
              <w:t>年至少帮扶4000</w:t>
            </w:r>
            <w:r>
              <w:rPr>
                <w:rFonts w:hint="default" w:ascii="Times New Roman" w:hAnsi="Times New Roman" w:eastAsia="方正仿宋_GBK" w:cs="Times New Roman"/>
                <w:b w:val="0"/>
                <w:bCs/>
                <w:color w:val="auto"/>
                <w:sz w:val="24"/>
                <w:szCs w:val="24"/>
                <w:highlight w:val="none"/>
                <w:lang w:val="en-US" w:eastAsia="zh-CN"/>
              </w:rPr>
              <w:t>名就业困难人员实现就业。</w:t>
            </w:r>
          </w:p>
        </w:tc>
      </w:tr>
    </w:tbl>
    <w:p w14:paraId="14C4AFB4">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7" w:name="_Toc21666"/>
      <w:r>
        <w:rPr>
          <w:rFonts w:hint="eastAsia" w:ascii="方正楷体简体" w:hAnsi="方正楷体简体" w:eastAsia="方正楷体简体" w:cs="方正楷体简体"/>
          <w:b w:val="0"/>
          <w:bCs/>
          <w:color w:val="auto"/>
          <w:kern w:val="2"/>
          <w:sz w:val="32"/>
          <w:szCs w:val="24"/>
          <w:lang w:val="en-US" w:eastAsia="zh-CN" w:bidi="ar-SA"/>
        </w:rPr>
        <w:t>第三节 健全精准高效就业公共服务体系</w:t>
      </w:r>
      <w:bookmarkEnd w:id="7"/>
    </w:p>
    <w:p w14:paraId="3BF39563">
      <w:pPr>
        <w:keepNext w:val="0"/>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ascii="Times New Roman" w:hAnsi="Times New Roman"/>
          <w:highlight w:val="none"/>
          <w:lang w:val="en-US" w:eastAsia="zh-CN"/>
        </w:rPr>
      </w:pPr>
      <w:r>
        <w:rPr>
          <w:rFonts w:hint="eastAsia" w:ascii="Times New Roman" w:hAnsi="Times New Roman"/>
          <w:highlight w:val="none"/>
          <w:lang w:val="en-US" w:eastAsia="zh-CN"/>
        </w:rPr>
        <w:t>完善发现识别机制，畅通求职登记、失业登记和就业援助对象申请认定通道，推广“大数据+铁脚板”服务模式，精准摸排就业服务对象，实施分层分类服务。建立企业岗位常态化归集制度，推动就业岗位信息通过统一平台“一张网”归集，实现用工需求线上归集、集中发布、精准推送。对重点产业链、重大项目用工需求实行动态摸排，形成要素齐备的企业服务清单。健全人力资源市场供求信息发布机制，扩大招聘岗位、见习岗位供给，创新开展人力资源需求引导预测。动态发布急需紧缺职业（工种）目录、职业培训需求指导目录，定期发布分职业、分岗位等级工资价位信息。</w:t>
      </w:r>
    </w:p>
    <w:p w14:paraId="37371581">
      <w:pPr>
        <w:keepNext w:val="0"/>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lang w:eastAsia="zh-CN"/>
        </w:rPr>
      </w:pPr>
      <w:r>
        <w:rPr>
          <w:rFonts w:hint="eastAsia" w:ascii="Times New Roman" w:hAnsi="Times New Roman"/>
          <w:highlight w:val="none"/>
          <w:lang w:val="en-US" w:eastAsia="zh-CN"/>
        </w:rPr>
        <w:t>实施全面提升就业公共服务能力三年行动（2025—2027年），因地制宜布局就业驿站、院校就业服务站、创业指导服务站，在零工聚集区域打造零工市场，推动服务资源向基层延伸，形成市、区（县）联动的基层服务阵地体系。深化“人工智能+就业”行动，打造数智就业服务模式，创新智能招聘、职业指导、求职画像等应用场景，实现人岗需求精准匹配、服务事项精细办理。培育壮大专业化就业服务力量，支持经营性人力资源服务机构、社会组织承接公共就业服务项目，构建“公共机构+社会力量”协同发力的服务体系。</w:t>
      </w:r>
    </w:p>
    <w:tbl>
      <w:tblPr>
        <w:tblStyle w:val="21"/>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
        <w:gridCol w:w="9047"/>
        <w:gridCol w:w="26"/>
      </w:tblGrid>
      <w:tr w14:paraId="1018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583" w:hRule="exact"/>
          <w:jc w:val="center"/>
        </w:trPr>
        <w:tc>
          <w:tcPr>
            <w:tcW w:w="9053" w:type="dxa"/>
            <w:gridSpan w:val="2"/>
            <w:noWrap w:val="0"/>
            <w:vAlign w:val="top"/>
          </w:tcPr>
          <w:p w14:paraId="5C47BA7D">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color w:val="auto"/>
                <w:sz w:val="32"/>
                <w:szCs w:val="32"/>
                <w:highlight w:val="none"/>
                <w:vertAlign w:val="baseline"/>
                <w:lang w:val="en-US" w:eastAsia="zh-CN"/>
              </w:rPr>
            </w:pPr>
            <w:r>
              <w:rPr>
                <w:rFonts w:hint="default" w:ascii="Times New Roman" w:hAnsi="Times New Roman" w:eastAsia="方正黑体_GBK" w:cs="Times New Roman"/>
                <w:b w:val="0"/>
                <w:bCs/>
                <w:color w:val="auto"/>
                <w:sz w:val="24"/>
                <w:szCs w:val="24"/>
                <w:highlight w:val="none"/>
                <w:lang w:val="en-US" w:eastAsia="zh-CN"/>
              </w:rPr>
              <w:t>专栏</w:t>
            </w:r>
            <w:r>
              <w:rPr>
                <w:rFonts w:hint="eastAsia" w:ascii="Times New Roman" w:hAnsi="Times New Roman" w:eastAsia="方正黑体_GBK" w:cs="Times New Roman"/>
                <w:b w:val="0"/>
                <w:bCs/>
                <w:color w:val="auto"/>
                <w:sz w:val="24"/>
                <w:szCs w:val="24"/>
                <w:highlight w:val="none"/>
                <w:lang w:val="en-US" w:eastAsia="zh-CN"/>
              </w:rPr>
              <w:t xml:space="preserve">4 </w:t>
            </w:r>
            <w:r>
              <w:rPr>
                <w:rFonts w:hint="default" w:ascii="Times New Roman" w:hAnsi="Times New Roman" w:eastAsia="方正黑体_GBK" w:cs="Times New Roman"/>
                <w:b w:val="0"/>
                <w:bCs/>
                <w:color w:val="auto"/>
                <w:sz w:val="24"/>
                <w:szCs w:val="24"/>
                <w:highlight w:val="none"/>
                <w:lang w:val="en-US" w:eastAsia="zh-CN"/>
              </w:rPr>
              <w:t>基层就业公共服务网点分类分级建设</w:t>
            </w:r>
            <w:r>
              <w:rPr>
                <w:rFonts w:hint="eastAsia" w:ascii="Times New Roman" w:hAnsi="Times New Roman" w:eastAsia="方正黑体_GBK" w:cs="Times New Roman"/>
                <w:b w:val="0"/>
                <w:bCs/>
                <w:color w:val="auto"/>
                <w:sz w:val="24"/>
                <w:szCs w:val="24"/>
                <w:highlight w:val="none"/>
                <w:lang w:val="en-US" w:eastAsia="zh-CN"/>
              </w:rPr>
              <w:t>行动</w:t>
            </w:r>
          </w:p>
        </w:tc>
      </w:tr>
      <w:tr w14:paraId="7765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813" w:hRule="atLeast"/>
          <w:jc w:val="center"/>
        </w:trPr>
        <w:tc>
          <w:tcPr>
            <w:tcW w:w="9053" w:type="dxa"/>
            <w:gridSpan w:val="2"/>
            <w:noWrap w:val="0"/>
            <w:vAlign w:val="top"/>
          </w:tcPr>
          <w:p w14:paraId="5810756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both"/>
              <w:textAlignment w:val="auto"/>
              <w:outlineLvl w:val="9"/>
              <w:rPr>
                <w:rFonts w:hint="eastAsia"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1.</w:t>
            </w:r>
            <w:r>
              <w:rPr>
                <w:rFonts w:hint="eastAsia" w:ascii="Times New Roman" w:hAnsi="Times New Roman" w:eastAsia="方正仿宋_GBK" w:cs="Times New Roman"/>
                <w:b/>
                <w:bCs w:val="0"/>
                <w:color w:val="auto"/>
                <w:sz w:val="24"/>
                <w:szCs w:val="24"/>
                <w:highlight w:val="none"/>
                <w:lang w:val="en-US" w:eastAsia="zh-CN"/>
              </w:rPr>
              <w:t>打造基层就业公共服务网络体系。</w:t>
            </w:r>
            <w:r>
              <w:rPr>
                <w:rFonts w:hint="eastAsia" w:ascii="Times New Roman" w:hAnsi="Times New Roman" w:eastAsia="方正仿宋_GBK" w:cs="Times New Roman"/>
                <w:b w:val="0"/>
                <w:bCs/>
                <w:color w:val="auto"/>
                <w:sz w:val="24"/>
                <w:szCs w:val="24"/>
                <w:highlight w:val="none"/>
                <w:lang w:val="en-US" w:eastAsia="zh-CN"/>
              </w:rPr>
              <w:t>统筹推进街道（乡镇）和社区（村）基层就业公共服务网点分类分级建设，覆盖街道（乡镇）基层公共就业服务网点112个、社区（村）基层公共就业服务网点1000个。健全完善“就业驿站+零工市场”体系，推进就业驿站、零工市场、院校就业服务站扩面提质，实现每个区（县）至少有一个零工市场（零工驿站）。</w:t>
            </w:r>
          </w:p>
          <w:p w14:paraId="69219F3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both"/>
              <w:textAlignment w:val="auto"/>
              <w:outlineLvl w:val="9"/>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b/>
                <w:bCs w:val="0"/>
                <w:color w:val="auto"/>
                <w:sz w:val="24"/>
                <w:szCs w:val="24"/>
                <w:highlight w:val="none"/>
                <w:lang w:val="en-US" w:eastAsia="zh-CN"/>
              </w:rPr>
              <w:t>2.基层就业服务队伍能力提升行动。</w:t>
            </w:r>
            <w:r>
              <w:rPr>
                <w:rFonts w:hint="eastAsia" w:ascii="Times New Roman" w:hAnsi="Times New Roman" w:eastAsia="方正仿宋_GBK" w:cs="Times New Roman"/>
                <w:b w:val="0"/>
                <w:bCs/>
                <w:color w:val="auto"/>
                <w:sz w:val="24"/>
                <w:szCs w:val="24"/>
                <w:highlight w:val="none"/>
                <w:lang w:val="en-US" w:eastAsia="zh-CN"/>
              </w:rPr>
              <w:t>开展公共就业服务机构工作人员培训，组织全市公共就业服务业务练兵比武竞赛，提升基层就业服务队伍专业化水平。</w:t>
            </w:r>
          </w:p>
        </w:tc>
      </w:tr>
      <w:tr w14:paraId="6F90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583" w:hRule="exact"/>
          <w:jc w:val="center"/>
        </w:trPr>
        <w:tc>
          <w:tcPr>
            <w:tcW w:w="9073" w:type="dxa"/>
            <w:gridSpan w:val="2"/>
            <w:noWrap w:val="0"/>
            <w:vAlign w:val="top"/>
          </w:tcPr>
          <w:p w14:paraId="526E05A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center"/>
              <w:textAlignment w:val="auto"/>
              <w:outlineLvl w:val="9"/>
              <w:rPr>
                <w:rFonts w:hint="default" w:ascii="Times New Roman" w:hAnsi="Times New Roman" w:eastAsia="方正仿宋_GBK" w:cs="Times New Roman"/>
                <w:b w:val="0"/>
                <w:bCs/>
                <w:color w:val="auto"/>
                <w:sz w:val="32"/>
                <w:szCs w:val="32"/>
                <w:highlight w:val="none"/>
                <w:vertAlign w:val="baseline"/>
                <w:lang w:val="en-US" w:eastAsia="zh-CN"/>
              </w:rPr>
            </w:pPr>
            <w:r>
              <w:rPr>
                <w:rFonts w:hint="default" w:ascii="Times New Roman" w:hAnsi="Times New Roman" w:eastAsia="方正黑体_GBK" w:cs="Times New Roman"/>
                <w:b w:val="0"/>
                <w:bCs/>
                <w:color w:val="auto"/>
                <w:sz w:val="24"/>
                <w:szCs w:val="24"/>
                <w:highlight w:val="none"/>
                <w:lang w:val="en-US" w:eastAsia="zh-CN"/>
              </w:rPr>
              <w:t>专栏</w:t>
            </w:r>
            <w:r>
              <w:rPr>
                <w:rFonts w:hint="eastAsia" w:ascii="Times New Roman" w:hAnsi="Times New Roman" w:eastAsia="方正黑体_GBK" w:cs="Times New Roman"/>
                <w:b w:val="0"/>
                <w:bCs/>
                <w:color w:val="auto"/>
                <w:sz w:val="24"/>
                <w:szCs w:val="24"/>
                <w:highlight w:val="none"/>
                <w:lang w:val="en-US" w:eastAsia="zh-CN"/>
              </w:rPr>
              <w:t>5</w:t>
            </w:r>
            <w:r>
              <w:rPr>
                <w:rFonts w:hint="default" w:ascii="Times New Roman" w:hAnsi="Times New Roman" w:eastAsia="方正黑体_GBK" w:cs="Times New Roman"/>
                <w:b w:val="0"/>
                <w:bCs/>
                <w:color w:val="auto"/>
                <w:sz w:val="24"/>
                <w:szCs w:val="24"/>
                <w:highlight w:val="none"/>
                <w:lang w:val="en-US" w:eastAsia="zh-CN"/>
              </w:rPr>
              <w:t xml:space="preserve"> 就业服务数字化转型行动</w:t>
            </w:r>
          </w:p>
        </w:tc>
      </w:tr>
      <w:tr w14:paraId="7003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99" w:hRule="atLeast"/>
          <w:jc w:val="center"/>
        </w:trPr>
        <w:tc>
          <w:tcPr>
            <w:tcW w:w="9073" w:type="dxa"/>
            <w:gridSpan w:val="2"/>
            <w:noWrap w:val="0"/>
            <w:vAlign w:val="top"/>
          </w:tcPr>
          <w:p w14:paraId="38125EE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b/>
                <w:bCs w:val="0"/>
                <w:color w:val="FF0000"/>
                <w:sz w:val="24"/>
                <w:szCs w:val="24"/>
                <w:highlight w:val="none"/>
                <w:lang w:val="en-US" w:eastAsia="zh-CN"/>
              </w:rPr>
            </w:pPr>
            <w:r>
              <w:rPr>
                <w:rFonts w:hint="eastAsia" w:ascii="Times New Roman" w:hAnsi="Times New Roman" w:eastAsia="方正仿宋_GBK" w:cs="Times New Roman"/>
                <w:b/>
                <w:bCs w:val="0"/>
                <w:color w:val="auto"/>
                <w:sz w:val="24"/>
                <w:szCs w:val="24"/>
                <w:highlight w:val="none"/>
                <w:lang w:val="en-US" w:eastAsia="zh-CN"/>
              </w:rPr>
              <w:t>1</w:t>
            </w:r>
            <w:r>
              <w:rPr>
                <w:rFonts w:hint="default" w:ascii="Times New Roman" w:hAnsi="Times New Roman" w:eastAsia="方正仿宋_GBK" w:cs="Times New Roman"/>
                <w:b/>
                <w:bCs w:val="0"/>
                <w:color w:val="auto"/>
                <w:sz w:val="24"/>
                <w:szCs w:val="24"/>
                <w:highlight w:val="none"/>
                <w:lang w:val="en-US" w:eastAsia="zh-CN"/>
              </w:rPr>
              <w:t>.实施就业数据互通赋能行动。</w:t>
            </w:r>
            <w:r>
              <w:rPr>
                <w:rFonts w:hint="default" w:ascii="Times New Roman" w:hAnsi="Times New Roman" w:eastAsia="方正仿宋_GBK" w:cs="Times New Roman"/>
                <w:b w:val="0"/>
                <w:bCs/>
                <w:color w:val="auto"/>
                <w:sz w:val="24"/>
                <w:szCs w:val="24"/>
                <w:highlight w:val="none"/>
                <w:lang w:val="en-US" w:eastAsia="zh-CN"/>
              </w:rPr>
              <w:t>打通就业供需数据壁垒，搭建市级人社平台与中国新疆人才网常态化数据互通渠道，实现求职者简历、企业招聘、岗位供需等业务数据实时回流与同步更新，并生成可视化数据地图，精准研判就业形势与岗位缺口。</w:t>
            </w:r>
          </w:p>
          <w:p w14:paraId="4CD0A62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eastAsia" w:ascii="Times New Roman" w:hAnsi="Times New Roman" w:eastAsia="方正仿宋_GBK" w:cs="Times New Roman"/>
                <w:b/>
                <w:bCs w:val="0"/>
                <w:color w:val="auto"/>
                <w:sz w:val="24"/>
                <w:szCs w:val="24"/>
                <w:highlight w:val="none"/>
                <w:lang w:val="en-US" w:eastAsia="zh-CN"/>
              </w:rPr>
              <w:t>2</w:t>
            </w:r>
            <w:r>
              <w:rPr>
                <w:rFonts w:hint="default" w:ascii="Times New Roman" w:hAnsi="Times New Roman" w:eastAsia="方正仿宋_GBK" w:cs="Times New Roman"/>
                <w:b/>
                <w:bCs w:val="0"/>
                <w:color w:val="auto"/>
                <w:sz w:val="24"/>
                <w:szCs w:val="24"/>
                <w:highlight w:val="none"/>
                <w:lang w:val="en-US" w:eastAsia="zh-CN"/>
              </w:rPr>
              <w:t>.</w:t>
            </w:r>
            <w:r>
              <w:rPr>
                <w:rFonts w:hint="eastAsia" w:ascii="Times New Roman" w:hAnsi="Times New Roman" w:eastAsia="方正仿宋_GBK" w:cs="Times New Roman"/>
                <w:b/>
                <w:bCs w:val="0"/>
                <w:color w:val="auto"/>
                <w:sz w:val="24"/>
                <w:szCs w:val="24"/>
                <w:highlight w:val="none"/>
                <w:lang w:val="en-US" w:eastAsia="zh-CN"/>
              </w:rPr>
              <w:t>实施多形式招聘“扩渠”行动</w:t>
            </w:r>
            <w:r>
              <w:rPr>
                <w:rFonts w:hint="default" w:ascii="Times New Roman" w:hAnsi="Times New Roman" w:eastAsia="方正仿宋_GBK" w:cs="Times New Roman"/>
                <w:b/>
                <w:bCs w:val="0"/>
                <w:color w:val="auto"/>
                <w:sz w:val="24"/>
                <w:szCs w:val="24"/>
                <w:highlight w:val="none"/>
                <w:lang w:val="en-US" w:eastAsia="zh-CN"/>
              </w:rPr>
              <w:t>。</w:t>
            </w:r>
            <w:r>
              <w:rPr>
                <w:rFonts w:hint="default" w:ascii="Times New Roman" w:hAnsi="Times New Roman" w:eastAsia="方正仿宋_GBK" w:cs="Times New Roman"/>
                <w:b w:val="0"/>
                <w:bCs/>
                <w:color w:val="auto"/>
                <w:sz w:val="24"/>
                <w:szCs w:val="24"/>
                <w:highlight w:val="none"/>
                <w:lang w:val="en-US" w:eastAsia="zh-CN"/>
              </w:rPr>
              <w:t>建立统一岗位归集机制，实现</w:t>
            </w:r>
            <w:r>
              <w:rPr>
                <w:rFonts w:hint="eastAsia" w:ascii="方正仿宋_GBK" w:hAnsi="方正仿宋_GBK" w:eastAsia="方正仿宋_GBK" w:cs="方正仿宋_GBK"/>
                <w:b w:val="0"/>
                <w:bCs/>
                <w:color w:val="auto"/>
                <w:sz w:val="24"/>
                <w:szCs w:val="24"/>
                <w:highlight w:val="none"/>
                <w:lang w:val="en-US" w:eastAsia="zh-CN"/>
              </w:rPr>
              <w:t>“一端采集、多端共享”</w:t>
            </w:r>
            <w:r>
              <w:rPr>
                <w:rFonts w:hint="default" w:ascii="Times New Roman" w:hAnsi="Times New Roman" w:eastAsia="方正仿宋_GBK" w:cs="Times New Roman"/>
                <w:b w:val="0"/>
                <w:bCs/>
                <w:color w:val="auto"/>
                <w:sz w:val="24"/>
                <w:szCs w:val="24"/>
                <w:highlight w:val="none"/>
                <w:lang w:val="en-US" w:eastAsia="zh-CN"/>
              </w:rPr>
              <w:t>，归集岗位不少于</w:t>
            </w:r>
            <w:r>
              <w:rPr>
                <w:rFonts w:hint="eastAsia" w:ascii="Times New Roman" w:hAnsi="Times New Roman" w:eastAsia="方正仿宋_GBK" w:cs="Times New Roman"/>
                <w:b w:val="0"/>
                <w:bCs/>
                <w:color w:val="auto"/>
                <w:sz w:val="24"/>
                <w:szCs w:val="24"/>
                <w:highlight w:val="none"/>
                <w:lang w:val="en-US" w:eastAsia="zh-CN"/>
              </w:rPr>
              <w:t>100</w:t>
            </w:r>
            <w:r>
              <w:rPr>
                <w:rFonts w:hint="default" w:ascii="Times New Roman" w:hAnsi="Times New Roman" w:eastAsia="方正仿宋_GBK" w:cs="Times New Roman"/>
                <w:b w:val="0"/>
                <w:bCs/>
                <w:color w:val="auto"/>
                <w:sz w:val="24"/>
                <w:szCs w:val="24"/>
                <w:highlight w:val="none"/>
                <w:lang w:val="en-US" w:eastAsia="zh-CN"/>
              </w:rPr>
              <w:t>万个。密集举办线上线下招聘服务活动，组织现场招聘</w:t>
            </w:r>
            <w:r>
              <w:rPr>
                <w:rFonts w:hint="eastAsia" w:ascii="Times New Roman" w:hAnsi="Times New Roman" w:eastAsia="方正仿宋_GBK" w:cs="Times New Roman"/>
                <w:b w:val="0"/>
                <w:bCs/>
                <w:color w:val="auto"/>
                <w:sz w:val="24"/>
                <w:szCs w:val="24"/>
                <w:highlight w:val="none"/>
                <w:lang w:val="en-US" w:eastAsia="zh-CN"/>
              </w:rPr>
              <w:t>会</w:t>
            </w:r>
            <w:r>
              <w:rPr>
                <w:rFonts w:hint="default" w:ascii="Times New Roman" w:hAnsi="Times New Roman" w:eastAsia="方正仿宋_GBK" w:cs="Times New Roman"/>
                <w:b w:val="0"/>
                <w:bCs/>
                <w:color w:val="auto"/>
                <w:sz w:val="24"/>
                <w:szCs w:val="24"/>
                <w:highlight w:val="none"/>
                <w:lang w:val="en-US" w:eastAsia="zh-CN"/>
              </w:rPr>
              <w:t>不少于1500场。</w:t>
            </w:r>
          </w:p>
          <w:p w14:paraId="1203097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b w:val="0"/>
                <w:bCs/>
                <w:color w:val="auto"/>
                <w:sz w:val="24"/>
                <w:szCs w:val="24"/>
                <w:highlight w:val="none"/>
                <w:vertAlign w:val="baseline"/>
                <w:lang w:val="en-US" w:eastAsia="zh-CN"/>
              </w:rPr>
            </w:pPr>
            <w:r>
              <w:rPr>
                <w:rFonts w:hint="eastAsia" w:ascii="Times New Roman" w:hAnsi="Times New Roman" w:eastAsia="方正仿宋_GBK" w:cs="Times New Roman"/>
                <w:b/>
                <w:bCs w:val="0"/>
                <w:color w:val="auto"/>
                <w:sz w:val="24"/>
                <w:szCs w:val="24"/>
                <w:highlight w:val="none"/>
                <w:lang w:val="en-US" w:eastAsia="zh-CN"/>
              </w:rPr>
              <w:t>3</w:t>
            </w:r>
            <w:r>
              <w:rPr>
                <w:rFonts w:hint="default" w:ascii="Times New Roman" w:hAnsi="Times New Roman" w:eastAsia="方正仿宋_GBK" w:cs="Times New Roman"/>
                <w:b/>
                <w:bCs w:val="0"/>
                <w:color w:val="auto"/>
                <w:sz w:val="24"/>
                <w:szCs w:val="24"/>
                <w:highlight w:val="none"/>
                <w:lang w:val="en-US" w:eastAsia="zh-CN"/>
              </w:rPr>
              <w:t>.</w:t>
            </w:r>
            <w:r>
              <w:rPr>
                <w:rFonts w:hint="eastAsia" w:ascii="Times New Roman" w:hAnsi="Times New Roman" w:eastAsia="方正仿宋_GBK" w:cs="Times New Roman"/>
                <w:b/>
                <w:bCs w:val="0"/>
                <w:color w:val="auto"/>
                <w:sz w:val="24"/>
                <w:szCs w:val="24"/>
                <w:highlight w:val="none"/>
                <w:lang w:val="en-US" w:eastAsia="zh-CN"/>
              </w:rPr>
              <w:t>实施</w:t>
            </w:r>
            <w:r>
              <w:rPr>
                <w:rFonts w:hint="default" w:ascii="Times New Roman" w:hAnsi="Times New Roman" w:eastAsia="方正仿宋_GBK" w:cs="Times New Roman"/>
                <w:b/>
                <w:bCs w:val="0"/>
                <w:color w:val="auto"/>
                <w:sz w:val="24"/>
                <w:szCs w:val="24"/>
                <w:highlight w:val="none"/>
                <w:lang w:val="en-US" w:eastAsia="zh-CN"/>
              </w:rPr>
              <w:t>流动人员档案数字化</w:t>
            </w:r>
            <w:r>
              <w:rPr>
                <w:rFonts w:hint="eastAsia" w:ascii="Times New Roman" w:hAnsi="Times New Roman" w:eastAsia="方正仿宋_GBK" w:cs="Times New Roman"/>
                <w:b/>
                <w:bCs w:val="0"/>
                <w:color w:val="auto"/>
                <w:sz w:val="24"/>
                <w:szCs w:val="24"/>
                <w:highlight w:val="none"/>
                <w:lang w:val="en-US" w:eastAsia="zh-CN"/>
              </w:rPr>
              <w:t>行动</w:t>
            </w:r>
            <w:r>
              <w:rPr>
                <w:rFonts w:hint="default" w:ascii="Times New Roman" w:hAnsi="Times New Roman" w:eastAsia="方正仿宋_GBK" w:cs="Times New Roman"/>
                <w:b/>
                <w:bCs w:val="0"/>
                <w:color w:val="auto"/>
                <w:sz w:val="24"/>
                <w:szCs w:val="24"/>
                <w:highlight w:val="none"/>
                <w:lang w:val="en-US" w:eastAsia="zh-CN"/>
              </w:rPr>
              <w:t>。</w:t>
            </w:r>
            <w:r>
              <w:rPr>
                <w:rFonts w:hint="default" w:ascii="Times New Roman" w:hAnsi="Times New Roman" w:eastAsia="方正仿宋_GBK" w:cs="Times New Roman"/>
                <w:b w:val="0"/>
                <w:bCs/>
                <w:color w:val="auto"/>
                <w:sz w:val="24"/>
                <w:szCs w:val="24"/>
                <w:highlight w:val="none"/>
                <w:lang w:val="en-US" w:eastAsia="zh-CN"/>
              </w:rPr>
              <w:t>持续推进档案数据迁移与系统优化，强化档案库房安全建设与制度规范，提升档案管理规范化、信息化、安全化水平。</w:t>
            </w:r>
          </w:p>
        </w:tc>
      </w:tr>
    </w:tbl>
    <w:p w14:paraId="6B680D4F">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b w:val="0"/>
          <w:bCs w:val="0"/>
          <w:color w:val="auto"/>
          <w:kern w:val="2"/>
          <w:sz w:val="32"/>
          <w:szCs w:val="32"/>
          <w:highlight w:val="none"/>
          <w:lang w:val="en-US" w:eastAsia="zh-CN" w:bidi="ar-SA"/>
        </w:rPr>
        <w:sectPr>
          <w:footerReference r:id="rId6" w:type="default"/>
          <w:type w:val="continuous"/>
          <w:pgSz w:w="11906" w:h="16838"/>
          <w:pgMar w:top="2098"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449" w:charSpace="0"/>
        </w:sectPr>
      </w:pPr>
    </w:p>
    <w:p w14:paraId="058B73F7">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8" w:name="_Toc17334"/>
      <w:r>
        <w:rPr>
          <w:rFonts w:hint="eastAsia" w:ascii="方正楷体简体" w:hAnsi="方正楷体简体" w:eastAsia="方正楷体简体" w:cs="方正楷体简体"/>
          <w:b w:val="0"/>
          <w:bCs/>
          <w:color w:val="auto"/>
          <w:kern w:val="2"/>
          <w:sz w:val="32"/>
          <w:szCs w:val="24"/>
          <w:lang w:val="en-US" w:eastAsia="zh-CN" w:bidi="ar-SA"/>
        </w:rPr>
        <w:t>第四节 提升创业质量和创业创新活力</w:t>
      </w:r>
      <w:bookmarkEnd w:id="8"/>
    </w:p>
    <w:p w14:paraId="70EABDF8">
      <w:pPr>
        <w:keepNext w:val="0"/>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支持发展灵活就业和新就业形态，鼓励劳动者依托平台经济、数字经济等渠道实现灵活就业，鼓励重点群体创业，加大政策支持</w:t>
      </w:r>
      <w:r>
        <w:rPr>
          <w:rFonts w:hint="eastAsia" w:ascii="Times New Roman" w:hAnsi="Times New Roman" w:eastAsia="方正仿宋_GBK" w:cs="Times New Roman"/>
          <w:color w:val="auto"/>
          <w:kern w:val="2"/>
          <w:sz w:val="32"/>
          <w:szCs w:val="32"/>
          <w:highlight w:val="none"/>
          <w:lang w:val="en-US" w:eastAsia="zh-CN" w:bidi="ar-SA"/>
        </w:rPr>
        <w:t>力度</w:t>
      </w:r>
      <w:r>
        <w:rPr>
          <w:rFonts w:hint="default" w:ascii="Times New Roman" w:hAnsi="Times New Roman" w:eastAsia="方正仿宋_GBK" w:cs="Times New Roman"/>
          <w:color w:val="auto"/>
          <w:kern w:val="2"/>
          <w:sz w:val="32"/>
          <w:szCs w:val="32"/>
          <w:highlight w:val="none"/>
          <w:lang w:val="en-US" w:eastAsia="zh-CN" w:bidi="ar-SA"/>
        </w:rPr>
        <w:t>。强化创业载体建设</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规范开展市级创业孵化示范基地评定，组织优质载体申报自治区创业孵化载体名录。联动辖区高校推进创业苗圃孵化，推动创业课程进校园、创业导师进课堂，引导更多高校毕业生留乌创新创业。依托创业指导服务站、就业驿站、创业街区等基层服务阵地开展</w:t>
      </w:r>
      <w:r>
        <w:rPr>
          <w:rFonts w:hint="eastAsia" w:ascii="Times New Roman" w:hAnsi="Times New Roman" w:eastAsia="方正仿宋_GBK" w:cs="Times New Roman"/>
          <w:color w:val="auto"/>
          <w:kern w:val="2"/>
          <w:sz w:val="32"/>
          <w:szCs w:val="32"/>
          <w:highlight w:val="none"/>
          <w:lang w:val="en-US" w:eastAsia="zh-CN" w:bidi="ar-SA"/>
        </w:rPr>
        <w:t>各类</w:t>
      </w:r>
      <w:r>
        <w:rPr>
          <w:rFonts w:hint="default" w:ascii="Times New Roman" w:hAnsi="Times New Roman" w:eastAsia="方正仿宋_GBK" w:cs="Times New Roman"/>
          <w:color w:val="auto"/>
          <w:kern w:val="2"/>
          <w:sz w:val="32"/>
          <w:szCs w:val="32"/>
          <w:highlight w:val="none"/>
          <w:lang w:val="en-US" w:eastAsia="zh-CN" w:bidi="ar-SA"/>
        </w:rPr>
        <w:t>创业</w:t>
      </w:r>
      <w:r>
        <w:rPr>
          <w:rFonts w:hint="eastAsia" w:ascii="Times New Roman" w:hAnsi="Times New Roman" w:eastAsia="方正仿宋_GBK" w:cs="Times New Roman"/>
          <w:color w:val="auto"/>
          <w:kern w:val="2"/>
          <w:sz w:val="32"/>
          <w:szCs w:val="32"/>
          <w:highlight w:val="none"/>
          <w:lang w:val="en-US" w:eastAsia="zh-CN" w:bidi="ar-SA"/>
        </w:rPr>
        <w:t>服务</w:t>
      </w:r>
      <w:r>
        <w:rPr>
          <w:rFonts w:hint="default" w:ascii="Times New Roman" w:hAnsi="Times New Roman" w:eastAsia="方正仿宋_GBK" w:cs="Times New Roman"/>
          <w:color w:val="auto"/>
          <w:kern w:val="2"/>
          <w:sz w:val="32"/>
          <w:szCs w:val="32"/>
          <w:highlight w:val="none"/>
          <w:lang w:val="en-US" w:eastAsia="zh-CN" w:bidi="ar-SA"/>
        </w:rPr>
        <w:t>活动，提升初创主体创业实操能力。举办市级创业大赛，挖掘培育优质创业项目，大力宣传本土创业典型案例，营造良好创业氛围。</w:t>
      </w:r>
    </w:p>
    <w:tbl>
      <w:tblPr>
        <w:tblStyle w:val="21"/>
        <w:tblpPr w:leftFromText="180" w:rightFromText="180" w:vertAnchor="text" w:horzAnchor="page" w:tblpX="1532" w:tblpY="256"/>
        <w:tblOverlap w:val="never"/>
        <w:tblW w:w="9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4"/>
      </w:tblGrid>
      <w:tr w14:paraId="09D9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254" w:type="dxa"/>
            <w:noWrap w:val="0"/>
            <w:vAlign w:val="top"/>
          </w:tcPr>
          <w:p w14:paraId="3B2A0582">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color w:val="auto"/>
                <w:sz w:val="32"/>
                <w:szCs w:val="32"/>
                <w:highlight w:val="none"/>
                <w:vertAlign w:val="baseline"/>
                <w:lang w:val="en-US" w:eastAsia="zh-CN"/>
              </w:rPr>
            </w:pPr>
            <w:r>
              <w:rPr>
                <w:rFonts w:hint="eastAsia" w:ascii="方正黑体_GBK" w:hAnsi="方正黑体_GBK" w:eastAsia="方正黑体_GBK" w:cs="方正黑体_GBK"/>
                <w:b w:val="0"/>
                <w:bCs w:val="0"/>
                <w:color w:val="auto"/>
                <w:sz w:val="24"/>
                <w:szCs w:val="24"/>
                <w:highlight w:val="none"/>
                <w:lang w:val="en-US" w:eastAsia="zh-CN"/>
              </w:rPr>
              <w:t>专栏</w:t>
            </w:r>
            <w:r>
              <w:rPr>
                <w:rFonts w:hint="default" w:ascii="Times New Roman" w:hAnsi="Times New Roman" w:eastAsia="方正黑体_GBK" w:cs="Times New Roman"/>
                <w:b w:val="0"/>
                <w:bCs w:val="0"/>
                <w:color w:val="auto"/>
                <w:sz w:val="24"/>
                <w:szCs w:val="24"/>
                <w:highlight w:val="none"/>
                <w:lang w:val="en-US" w:eastAsia="zh-CN"/>
              </w:rPr>
              <w:t xml:space="preserve">6 </w:t>
            </w:r>
            <w:r>
              <w:rPr>
                <w:rFonts w:hint="eastAsia" w:ascii="方正黑体_GBK" w:hAnsi="方正黑体_GBK" w:eastAsia="方正黑体_GBK" w:cs="方正黑体_GBK"/>
                <w:b w:val="0"/>
                <w:bCs w:val="0"/>
                <w:color w:val="auto"/>
                <w:sz w:val="24"/>
                <w:szCs w:val="24"/>
                <w:highlight w:val="none"/>
                <w:lang w:val="en-US" w:eastAsia="zh-CN"/>
              </w:rPr>
              <w:t>创业服务模式升级</w:t>
            </w:r>
          </w:p>
        </w:tc>
      </w:tr>
      <w:tr w14:paraId="7B33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4" w:type="dxa"/>
            <w:noWrap w:val="0"/>
            <w:vAlign w:val="top"/>
          </w:tcPr>
          <w:p w14:paraId="479982D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left"/>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1.举办创业创新大赛。</w:t>
            </w:r>
            <w:r>
              <w:rPr>
                <w:rFonts w:hint="default" w:ascii="Times New Roman" w:hAnsi="Times New Roman" w:eastAsia="方正仿宋_GBK" w:cs="Times New Roman"/>
                <w:b w:val="0"/>
                <w:bCs/>
                <w:color w:val="auto"/>
                <w:sz w:val="24"/>
                <w:szCs w:val="24"/>
                <w:highlight w:val="none"/>
                <w:lang w:val="en-US" w:eastAsia="zh-CN"/>
              </w:rPr>
              <w:t>培育储备优秀创业项目</w:t>
            </w:r>
            <w:r>
              <w:rPr>
                <w:rFonts w:hint="eastAsia" w:ascii="Times New Roman" w:hAnsi="Times New Roman" w:eastAsia="方正仿宋_GBK" w:cs="Times New Roman"/>
                <w:b w:val="0"/>
                <w:bCs/>
                <w:color w:val="auto"/>
                <w:sz w:val="24"/>
                <w:szCs w:val="24"/>
                <w:highlight w:val="none"/>
                <w:lang w:val="en-US" w:eastAsia="zh-CN"/>
              </w:rPr>
              <w:t>，每两年</w:t>
            </w:r>
            <w:r>
              <w:rPr>
                <w:rFonts w:hint="default" w:ascii="Times New Roman" w:hAnsi="Times New Roman" w:eastAsia="方正仿宋_GBK" w:cs="Times New Roman"/>
                <w:b w:val="0"/>
                <w:bCs/>
                <w:color w:val="auto"/>
                <w:sz w:val="24"/>
                <w:szCs w:val="24"/>
                <w:highlight w:val="none"/>
                <w:lang w:val="en-US" w:eastAsia="zh-CN"/>
              </w:rPr>
              <w:t>举办</w:t>
            </w:r>
            <w:r>
              <w:rPr>
                <w:rFonts w:hint="eastAsia" w:ascii="Times New Roman" w:hAnsi="Times New Roman" w:eastAsia="方正仿宋_GBK" w:cs="Times New Roman"/>
                <w:b w:val="0"/>
                <w:bCs/>
                <w:color w:val="auto"/>
                <w:sz w:val="24"/>
                <w:szCs w:val="24"/>
                <w:highlight w:val="none"/>
                <w:lang w:val="en-US" w:eastAsia="zh-CN"/>
              </w:rPr>
              <w:t>1场</w:t>
            </w:r>
            <w:r>
              <w:rPr>
                <w:rFonts w:hint="default" w:ascii="Times New Roman" w:hAnsi="Times New Roman" w:eastAsia="方正仿宋_GBK" w:cs="Times New Roman"/>
                <w:b w:val="0"/>
                <w:bCs/>
                <w:color w:val="auto"/>
                <w:sz w:val="24"/>
                <w:szCs w:val="24"/>
                <w:highlight w:val="none"/>
                <w:lang w:val="en-US" w:eastAsia="zh-CN"/>
              </w:rPr>
              <w:t>创业创新大赛。</w:t>
            </w:r>
          </w:p>
          <w:p w14:paraId="46E3C82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left"/>
              <w:textAlignment w:val="auto"/>
              <w:outlineLvl w:val="9"/>
              <w:rPr>
                <w:rFonts w:hint="eastAsia"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2.开展创业服务活动。</w:t>
            </w:r>
            <w:r>
              <w:rPr>
                <w:rFonts w:hint="default" w:ascii="Times New Roman" w:hAnsi="Times New Roman" w:eastAsia="方正仿宋_GBK" w:cs="Times New Roman"/>
                <w:b w:val="0"/>
                <w:bCs/>
                <w:color w:val="auto"/>
                <w:sz w:val="24"/>
                <w:szCs w:val="24"/>
                <w:highlight w:val="none"/>
                <w:lang w:val="en-US" w:eastAsia="zh-CN"/>
              </w:rPr>
              <w:t>开展创业导师区（县）行、创业沙龙、创业讲堂等各类创业活动不少于</w:t>
            </w:r>
            <w:r>
              <w:rPr>
                <w:rFonts w:hint="eastAsia" w:ascii="Times New Roman" w:hAnsi="Times New Roman" w:eastAsia="方正仿宋_GBK" w:cs="Times New Roman"/>
                <w:b w:val="0"/>
                <w:bCs/>
                <w:color w:val="auto"/>
                <w:sz w:val="24"/>
                <w:szCs w:val="24"/>
                <w:highlight w:val="none"/>
                <w:lang w:val="en-US" w:eastAsia="zh-CN"/>
              </w:rPr>
              <w:t>750场。</w:t>
            </w:r>
          </w:p>
          <w:p w14:paraId="3B50081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left"/>
              <w:textAlignment w:val="auto"/>
              <w:outlineLvl w:val="9"/>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b/>
                <w:bCs w:val="0"/>
                <w:color w:val="auto"/>
                <w:sz w:val="24"/>
                <w:szCs w:val="24"/>
                <w:highlight w:val="none"/>
                <w:lang w:val="en-US" w:eastAsia="zh-CN"/>
              </w:rPr>
              <w:t>3</w:t>
            </w:r>
            <w:r>
              <w:rPr>
                <w:rFonts w:hint="default" w:ascii="Times New Roman" w:hAnsi="Times New Roman" w:eastAsia="方正仿宋_GBK" w:cs="Times New Roman"/>
                <w:b/>
                <w:bCs w:val="0"/>
                <w:color w:val="auto"/>
                <w:sz w:val="24"/>
                <w:szCs w:val="24"/>
                <w:highlight w:val="none"/>
                <w:lang w:val="en-US" w:eastAsia="zh-CN"/>
              </w:rPr>
              <w:t>.搭建创业服务平台。</w:t>
            </w:r>
            <w:r>
              <w:rPr>
                <w:rFonts w:hint="default" w:ascii="Times New Roman" w:hAnsi="Times New Roman" w:eastAsia="方正仿宋_GBK" w:cs="Times New Roman"/>
                <w:b w:val="0"/>
                <w:bCs/>
                <w:color w:val="auto"/>
                <w:sz w:val="24"/>
                <w:szCs w:val="24"/>
                <w:highlight w:val="none"/>
                <w:lang w:val="en-US" w:eastAsia="zh-CN"/>
              </w:rPr>
              <w:t>集成政策宣传、成果展示与专业服务功能，建设创业指导服务站</w:t>
            </w:r>
            <w:r>
              <w:rPr>
                <w:rFonts w:hint="eastAsia" w:ascii="Times New Roman" w:hAnsi="Times New Roman" w:eastAsia="方正仿宋_GBK" w:cs="Times New Roman"/>
                <w:b w:val="0"/>
                <w:bCs/>
                <w:color w:val="auto"/>
                <w:sz w:val="24"/>
                <w:szCs w:val="24"/>
                <w:highlight w:val="none"/>
                <w:lang w:val="en-US" w:eastAsia="zh-CN"/>
              </w:rPr>
              <w:t>5</w:t>
            </w:r>
            <w:r>
              <w:rPr>
                <w:rFonts w:hint="default" w:ascii="Times New Roman" w:hAnsi="Times New Roman" w:eastAsia="方正仿宋_GBK" w:cs="Times New Roman"/>
                <w:b w:val="0"/>
                <w:bCs/>
                <w:color w:val="auto"/>
                <w:sz w:val="24"/>
                <w:szCs w:val="24"/>
                <w:highlight w:val="none"/>
                <w:lang w:val="en-US" w:eastAsia="zh-CN"/>
              </w:rPr>
              <w:t>个</w:t>
            </w:r>
            <w:r>
              <w:rPr>
                <w:rFonts w:hint="eastAsia" w:ascii="Times New Roman" w:hAnsi="Times New Roman" w:eastAsia="方正仿宋_GBK" w:cs="Times New Roman"/>
                <w:b w:val="0"/>
                <w:bCs/>
                <w:color w:val="auto"/>
                <w:sz w:val="24"/>
                <w:szCs w:val="24"/>
                <w:highlight w:val="none"/>
                <w:lang w:val="en-US" w:eastAsia="zh-CN"/>
              </w:rPr>
              <w:t>。</w:t>
            </w:r>
          </w:p>
        </w:tc>
      </w:tr>
    </w:tbl>
    <w:p w14:paraId="31BA8FE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9" w:name="_Toc27074"/>
      <w:r>
        <w:rPr>
          <w:rFonts w:hint="eastAsia" w:ascii="方正楷体简体" w:hAnsi="方正楷体简体" w:eastAsia="方正楷体简体" w:cs="方正楷体简体"/>
          <w:b w:val="0"/>
          <w:bCs/>
          <w:color w:val="auto"/>
          <w:kern w:val="2"/>
          <w:sz w:val="32"/>
          <w:szCs w:val="24"/>
          <w:lang w:val="en-US" w:eastAsia="zh-CN" w:bidi="ar-SA"/>
        </w:rPr>
        <w:t>第五节 着力缓解结构性就业矛盾</w:t>
      </w:r>
      <w:bookmarkEnd w:id="9"/>
    </w:p>
    <w:p w14:paraId="5417E9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方正仿宋_GBK" w:cs="Times New Roman"/>
          <w:sz w:val="32"/>
          <w:szCs w:val="40"/>
          <w:highlight w:val="none"/>
          <w:lang w:val="en-US" w:eastAsia="zh-CN"/>
        </w:rPr>
      </w:pPr>
      <w:r>
        <w:rPr>
          <w:rFonts w:hint="eastAsia" w:ascii="Times New Roman" w:hAnsi="Times New Roman" w:eastAsia="方正仿宋_GBK" w:cs="Times New Roman"/>
          <w:sz w:val="32"/>
          <w:szCs w:val="40"/>
          <w:highlight w:val="none"/>
          <w:lang w:val="en-US" w:eastAsia="zh-CN"/>
        </w:rPr>
        <w:t>动态编制发布数字经济、人工智能、先进制造、绿色能源等支柱产业职业技能培训需求指导目录、急需紧缺职业技能培训项目和职业培训机构目录，引导培训资源向急需紧缺产业倾斜。深入实施“技能照亮前程”职业技能培训专项行动，推行“岗位需求+技能培训+技能评价+就业服务”项目制培训模式。全面构建“人社+N”协同培训体系，落实“强基筑梦 技能兴疆”大规模精准化职业技能培训行动，推动培训资源与产业需求精准对接。深化“政校企”合作、产教融合，推行工学一体化、学徒制等培养培训模式，组织开展职业“技能+创业”培训，落实国家百万青年职业技能提升行动。培育技能生态链链主企业，打造以企业为主体、院校、培训机构等共同参与，产业、创新、人才、政策衔接融通的技能人才培养生态体系。</w:t>
      </w:r>
    </w:p>
    <w:tbl>
      <w:tblPr>
        <w:tblStyle w:val="21"/>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0"/>
      </w:tblGrid>
      <w:tr w14:paraId="2BF3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040" w:type="dxa"/>
            <w:noWrap w:val="0"/>
            <w:vAlign w:val="top"/>
          </w:tcPr>
          <w:p w14:paraId="113EF758">
            <w:pPr>
              <w:keepNext/>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color w:val="auto"/>
                <w:sz w:val="32"/>
                <w:szCs w:val="32"/>
                <w:highlight w:val="none"/>
                <w:vertAlign w:val="baseline"/>
                <w:lang w:val="en-US" w:eastAsia="zh-CN"/>
              </w:rPr>
            </w:pPr>
            <w:r>
              <w:rPr>
                <w:rFonts w:hint="eastAsia" w:ascii="方正黑体_GBK" w:hAnsi="方正黑体_GBK" w:eastAsia="方正黑体_GBK" w:cs="方正黑体_GBK"/>
                <w:b w:val="0"/>
                <w:bCs w:val="0"/>
                <w:color w:val="auto"/>
                <w:sz w:val="24"/>
                <w:szCs w:val="24"/>
                <w:highlight w:val="none"/>
                <w:lang w:val="en-US" w:eastAsia="zh-CN"/>
              </w:rPr>
              <w:t>专栏</w:t>
            </w:r>
            <w:r>
              <w:rPr>
                <w:rFonts w:hint="default" w:ascii="Times New Roman" w:hAnsi="Times New Roman" w:eastAsia="方正黑体_GBK" w:cs="Times New Roman"/>
                <w:b w:val="0"/>
                <w:bCs w:val="0"/>
                <w:color w:val="auto"/>
                <w:sz w:val="24"/>
                <w:szCs w:val="24"/>
                <w:highlight w:val="none"/>
                <w:lang w:val="en-US" w:eastAsia="zh-CN"/>
              </w:rPr>
              <w:t>7</w:t>
            </w:r>
            <w:r>
              <w:rPr>
                <w:rFonts w:hint="eastAsia" w:ascii="Times New Roman" w:hAnsi="Times New Roman" w:eastAsia="方正黑体_GBK" w:cs="Times New Roman"/>
                <w:b w:val="0"/>
                <w:bCs w:val="0"/>
                <w:color w:val="auto"/>
                <w:sz w:val="24"/>
                <w:szCs w:val="24"/>
                <w:highlight w:val="none"/>
                <w:lang w:val="en-US" w:eastAsia="zh-CN"/>
              </w:rPr>
              <w:t xml:space="preserve"> </w:t>
            </w:r>
            <w:r>
              <w:rPr>
                <w:rFonts w:hint="eastAsia" w:ascii="方正黑体_GBK" w:hAnsi="方正黑体_GBK" w:eastAsia="方正黑体_GBK" w:cs="方正黑体_GBK"/>
                <w:b w:val="0"/>
                <w:bCs w:val="0"/>
                <w:color w:val="auto"/>
                <w:sz w:val="24"/>
                <w:szCs w:val="24"/>
                <w:highlight w:val="none"/>
                <w:lang w:val="en-US" w:eastAsia="zh-CN"/>
              </w:rPr>
              <w:t>大规模职业技能培训提升行动</w:t>
            </w:r>
          </w:p>
        </w:tc>
      </w:tr>
      <w:tr w14:paraId="25BA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40" w:type="dxa"/>
            <w:noWrap w:val="0"/>
            <w:vAlign w:val="top"/>
          </w:tcPr>
          <w:p w14:paraId="56A0E66D">
            <w:pPr>
              <w:keepNext/>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both"/>
              <w:textAlignment w:val="auto"/>
              <w:outlineLvl w:val="9"/>
              <w:rPr>
                <w:rFonts w:hint="eastAsia"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1.</w:t>
            </w:r>
            <w:r>
              <w:rPr>
                <w:rFonts w:hint="eastAsia" w:ascii="方正仿宋_GBK" w:hAnsi="方正仿宋_GBK" w:eastAsia="方正仿宋_GBK" w:cs="方正仿宋_GBK"/>
                <w:b/>
                <w:bCs w:val="0"/>
                <w:color w:val="auto"/>
                <w:sz w:val="24"/>
                <w:szCs w:val="24"/>
                <w:highlight w:val="none"/>
                <w:lang w:val="en-US" w:eastAsia="zh-CN"/>
              </w:rPr>
              <w:t>“技能照亮前程”培</w:t>
            </w:r>
            <w:r>
              <w:rPr>
                <w:rFonts w:hint="default" w:ascii="Times New Roman" w:hAnsi="Times New Roman" w:eastAsia="方正仿宋_GBK" w:cs="Times New Roman"/>
                <w:b/>
                <w:bCs w:val="0"/>
                <w:color w:val="auto"/>
                <w:sz w:val="24"/>
                <w:szCs w:val="24"/>
                <w:highlight w:val="none"/>
                <w:lang w:val="en-US" w:eastAsia="zh-CN"/>
              </w:rPr>
              <w:t>训行动</w:t>
            </w:r>
            <w:r>
              <w:rPr>
                <w:rFonts w:hint="eastAsia" w:ascii="方正仿宋_GBK" w:hAnsi="方正仿宋_GBK" w:eastAsia="方正仿宋_GBK" w:cs="方正仿宋_GBK"/>
                <w:b/>
                <w:bCs w:val="0"/>
                <w:color w:val="auto"/>
                <w:sz w:val="24"/>
                <w:szCs w:val="24"/>
                <w:highlight w:val="none"/>
                <w:lang w:val="en-US" w:eastAsia="zh-CN"/>
              </w:rPr>
              <w:t>。</w:t>
            </w:r>
            <w:r>
              <w:rPr>
                <w:rFonts w:hint="eastAsia" w:ascii="Times New Roman" w:hAnsi="Times New Roman" w:eastAsia="方正仿宋_GBK" w:cs="Times New Roman"/>
                <w:b w:val="0"/>
                <w:bCs/>
                <w:color w:val="auto"/>
                <w:sz w:val="24"/>
                <w:szCs w:val="24"/>
                <w:highlight w:val="none"/>
                <w:lang w:val="en-US" w:eastAsia="zh-CN"/>
              </w:rPr>
              <w:t>围绕首府重点领域产业需求和劳动者职业技能要求，面向有就业和培训意愿毕业年度高校毕业生、农村转移就业劳动者、城乡未继续升学的应届初高中毕业生、城镇登记失业人员、就业困难人员等重点群体及企业职工，推行“产教评”“订单班”“项目制”等培训模式，开展补贴性职业技能培训不少于17万人次。</w:t>
            </w:r>
          </w:p>
          <w:p w14:paraId="23FB107E">
            <w:pPr>
              <w:keepNext/>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both"/>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2.</w:t>
            </w:r>
            <w:r>
              <w:rPr>
                <w:rFonts w:hint="eastAsia" w:ascii="Times New Roman" w:hAnsi="Times New Roman" w:eastAsia="方正仿宋_GBK" w:cs="Times New Roman"/>
                <w:b/>
                <w:bCs w:val="0"/>
                <w:color w:val="auto"/>
                <w:sz w:val="24"/>
                <w:szCs w:val="24"/>
                <w:highlight w:val="none"/>
                <w:lang w:val="en-US" w:eastAsia="zh-CN"/>
              </w:rPr>
              <w:t>开展</w:t>
            </w:r>
            <w:r>
              <w:rPr>
                <w:rFonts w:hint="default" w:ascii="Times New Roman" w:hAnsi="Times New Roman" w:eastAsia="方正仿宋_GBK" w:cs="Times New Roman"/>
                <w:b/>
                <w:bCs w:val="0"/>
                <w:color w:val="auto"/>
                <w:sz w:val="24"/>
                <w:szCs w:val="24"/>
                <w:highlight w:val="none"/>
                <w:lang w:val="en-US" w:eastAsia="zh-CN"/>
              </w:rPr>
              <w:t>大规模精准化职业技能培训行动</w:t>
            </w:r>
            <w:r>
              <w:rPr>
                <w:rFonts w:hint="eastAsia" w:ascii="Times New Roman" w:hAnsi="Times New Roman" w:eastAsia="方正仿宋_GBK" w:cs="Times New Roman"/>
                <w:b/>
                <w:bCs w:val="0"/>
                <w:color w:val="auto"/>
                <w:sz w:val="24"/>
                <w:szCs w:val="24"/>
                <w:highlight w:val="none"/>
                <w:lang w:val="en-US" w:eastAsia="zh-CN"/>
              </w:rPr>
              <w:t>。</w:t>
            </w:r>
            <w:r>
              <w:rPr>
                <w:rFonts w:hint="default" w:ascii="Times New Roman" w:hAnsi="Times New Roman" w:eastAsia="方正仿宋_GBK" w:cs="Times New Roman"/>
                <w:b w:val="0"/>
                <w:bCs/>
                <w:color w:val="auto"/>
                <w:sz w:val="24"/>
                <w:szCs w:val="24"/>
                <w:highlight w:val="none"/>
                <w:lang w:val="en-US" w:eastAsia="zh-CN"/>
              </w:rPr>
              <w:t>实施</w:t>
            </w:r>
            <w:r>
              <w:rPr>
                <w:rFonts w:hint="eastAsia" w:ascii="方正仿宋_GBK" w:hAnsi="方正仿宋_GBK" w:eastAsia="方正仿宋_GBK" w:cs="方正仿宋_GBK"/>
                <w:b w:val="0"/>
                <w:bCs/>
                <w:color w:val="auto"/>
                <w:sz w:val="24"/>
                <w:szCs w:val="24"/>
                <w:highlight w:val="none"/>
                <w:lang w:val="en-US" w:eastAsia="zh-CN"/>
              </w:rPr>
              <w:t>自治区“强基筑梦 技能兴疆”大</w:t>
            </w:r>
            <w:r>
              <w:rPr>
                <w:rFonts w:hint="default" w:ascii="Times New Roman" w:hAnsi="Times New Roman" w:eastAsia="方正仿宋_GBK" w:cs="Times New Roman"/>
                <w:b w:val="0"/>
                <w:bCs/>
                <w:color w:val="auto"/>
                <w:sz w:val="24"/>
                <w:szCs w:val="24"/>
                <w:highlight w:val="none"/>
                <w:lang w:val="en-US" w:eastAsia="zh-CN"/>
              </w:rPr>
              <w:t>规模精准化职业技能提升培训行动，分行业分领域开展各类职业技能培训不少于</w:t>
            </w:r>
            <w:r>
              <w:rPr>
                <w:rFonts w:hint="eastAsia" w:ascii="Times New Roman" w:hAnsi="Times New Roman" w:eastAsia="方正仿宋_GBK" w:cs="Times New Roman"/>
                <w:b w:val="0"/>
                <w:bCs/>
                <w:color w:val="auto"/>
                <w:sz w:val="24"/>
                <w:szCs w:val="24"/>
                <w:highlight w:val="none"/>
                <w:lang w:val="en-US" w:eastAsia="zh-CN"/>
              </w:rPr>
              <w:t>60</w:t>
            </w:r>
            <w:r>
              <w:rPr>
                <w:rFonts w:hint="default" w:ascii="Times New Roman" w:hAnsi="Times New Roman" w:eastAsia="方正仿宋_GBK" w:cs="Times New Roman"/>
                <w:b w:val="0"/>
                <w:bCs/>
                <w:color w:val="auto"/>
                <w:sz w:val="24"/>
                <w:szCs w:val="24"/>
                <w:highlight w:val="none"/>
                <w:lang w:val="en-US" w:eastAsia="zh-CN"/>
              </w:rPr>
              <w:t>万人次。</w:t>
            </w:r>
          </w:p>
          <w:p w14:paraId="2470264E">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eastAsia" w:ascii="Times New Roman" w:hAnsi="Times New Roman" w:eastAsia="方正仿宋_GBK" w:cs="Times New Roman"/>
                <w:b/>
                <w:bCs w:val="0"/>
                <w:color w:val="auto"/>
                <w:sz w:val="24"/>
                <w:szCs w:val="24"/>
                <w:highlight w:val="none"/>
                <w:lang w:val="en-US" w:eastAsia="zh-CN"/>
              </w:rPr>
              <w:t>3</w:t>
            </w:r>
            <w:r>
              <w:rPr>
                <w:rFonts w:hint="default" w:ascii="Times New Roman" w:hAnsi="Times New Roman" w:eastAsia="方正仿宋_GBK" w:cs="Times New Roman"/>
                <w:b/>
                <w:bCs w:val="0"/>
                <w:color w:val="auto"/>
                <w:sz w:val="24"/>
                <w:szCs w:val="24"/>
                <w:highlight w:val="none"/>
                <w:lang w:val="en-US" w:eastAsia="zh-CN"/>
              </w:rPr>
              <w:t>.终生职业技能培训基础能力升级</w:t>
            </w:r>
            <w:r>
              <w:rPr>
                <w:rFonts w:hint="eastAsia" w:ascii="Times New Roman" w:hAnsi="Times New Roman" w:eastAsia="方正仿宋_GBK" w:cs="Times New Roman"/>
                <w:b/>
                <w:bCs w:val="0"/>
                <w:color w:val="auto"/>
                <w:sz w:val="24"/>
                <w:szCs w:val="24"/>
                <w:highlight w:val="none"/>
                <w:lang w:val="en-US" w:eastAsia="zh-CN"/>
              </w:rPr>
              <w:t>行动。</w:t>
            </w:r>
            <w:r>
              <w:rPr>
                <w:rFonts w:hint="default" w:ascii="Times New Roman" w:hAnsi="Times New Roman" w:eastAsia="方正仿宋_GBK" w:cs="Times New Roman"/>
                <w:b w:val="0"/>
                <w:bCs/>
                <w:color w:val="auto"/>
                <w:sz w:val="24"/>
                <w:szCs w:val="24"/>
                <w:highlight w:val="none"/>
                <w:lang w:val="en-US" w:eastAsia="zh-CN"/>
              </w:rPr>
              <w:t>推荐一批国家级、自治区级</w:t>
            </w:r>
            <w:r>
              <w:rPr>
                <w:rFonts w:hint="eastAsia" w:ascii="Times New Roman" w:hAnsi="Times New Roman" w:eastAsia="方正仿宋_GBK" w:cs="Times New Roman"/>
                <w:b w:val="0"/>
                <w:bCs/>
                <w:color w:val="auto"/>
                <w:sz w:val="24"/>
                <w:szCs w:val="24"/>
                <w:highlight w:val="none"/>
                <w:lang w:val="en-US" w:eastAsia="zh-CN"/>
              </w:rPr>
              <w:t>高技</w:t>
            </w:r>
            <w:r>
              <w:rPr>
                <w:rFonts w:hint="default" w:ascii="Times New Roman" w:hAnsi="Times New Roman" w:eastAsia="方正仿宋_GBK" w:cs="Times New Roman"/>
                <w:b w:val="0"/>
                <w:bCs/>
                <w:color w:val="auto"/>
                <w:sz w:val="24"/>
                <w:szCs w:val="24"/>
                <w:highlight w:val="none"/>
                <w:lang w:val="en-US" w:eastAsia="zh-CN"/>
              </w:rPr>
              <w:t>能人才培训基地，打造技能大师工作室和高水平企业培训中心</w:t>
            </w:r>
            <w:r>
              <w:rPr>
                <w:rFonts w:hint="eastAsia" w:ascii="Times New Roman" w:hAnsi="Times New Roman" w:eastAsia="方正仿宋_GBK" w:cs="Times New Roman"/>
                <w:b w:val="0"/>
                <w:bCs/>
                <w:color w:val="auto"/>
                <w:sz w:val="24"/>
                <w:szCs w:val="24"/>
                <w:highlight w:val="none"/>
                <w:lang w:val="en-US" w:eastAsia="zh-CN"/>
              </w:rPr>
              <w:t>，</w:t>
            </w:r>
            <w:r>
              <w:rPr>
                <w:rFonts w:hint="default" w:ascii="Times New Roman" w:hAnsi="Times New Roman" w:eastAsia="方正仿宋_GBK" w:cs="Times New Roman"/>
                <w:b w:val="0"/>
                <w:bCs/>
                <w:color w:val="auto"/>
                <w:sz w:val="24"/>
                <w:szCs w:val="24"/>
                <w:highlight w:val="none"/>
                <w:lang w:val="en-US" w:eastAsia="zh-CN"/>
              </w:rPr>
              <w:t>提升职业技能培训机构水平。</w:t>
            </w:r>
          </w:p>
          <w:p w14:paraId="27FB84E3">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highlight w:val="none"/>
                <w:lang w:val="en-US" w:eastAsia="zh-CN"/>
              </w:rPr>
            </w:pPr>
            <w:r>
              <w:rPr>
                <w:rFonts w:hint="eastAsia" w:ascii="Times New Roman" w:hAnsi="Times New Roman" w:eastAsia="方正仿宋_GBK" w:cs="Times New Roman"/>
                <w:b/>
                <w:bCs w:val="0"/>
                <w:color w:val="auto"/>
                <w:sz w:val="24"/>
                <w:szCs w:val="24"/>
                <w:highlight w:val="none"/>
                <w:lang w:val="en-US" w:eastAsia="zh-CN"/>
              </w:rPr>
              <w:t>4</w:t>
            </w:r>
            <w:r>
              <w:rPr>
                <w:rFonts w:hint="default" w:ascii="Times New Roman" w:hAnsi="Times New Roman" w:eastAsia="方正仿宋_GBK" w:cs="Times New Roman"/>
                <w:b/>
                <w:bCs w:val="0"/>
                <w:color w:val="auto"/>
                <w:sz w:val="24"/>
                <w:szCs w:val="24"/>
                <w:highlight w:val="none"/>
                <w:lang w:val="en-US" w:eastAsia="zh-CN"/>
              </w:rPr>
              <w:t>.职业技能培训信息化建设</w:t>
            </w:r>
            <w:r>
              <w:rPr>
                <w:rFonts w:hint="eastAsia" w:ascii="Times New Roman" w:hAnsi="Times New Roman" w:eastAsia="方正仿宋_GBK" w:cs="Times New Roman"/>
                <w:b/>
                <w:bCs w:val="0"/>
                <w:color w:val="auto"/>
                <w:sz w:val="24"/>
                <w:szCs w:val="24"/>
                <w:highlight w:val="none"/>
                <w:lang w:val="en-US" w:eastAsia="zh-CN"/>
              </w:rPr>
              <w:t>。</w:t>
            </w:r>
            <w:r>
              <w:rPr>
                <w:rFonts w:hint="default" w:ascii="Times New Roman" w:hAnsi="Times New Roman" w:eastAsia="方正仿宋_GBK" w:cs="Times New Roman"/>
                <w:b w:val="0"/>
                <w:bCs/>
                <w:color w:val="auto"/>
                <w:sz w:val="24"/>
                <w:szCs w:val="24"/>
                <w:highlight w:val="none"/>
                <w:lang w:val="en-US" w:eastAsia="zh-CN"/>
              </w:rPr>
              <w:t>配合自治区职业培训管理系统</w:t>
            </w:r>
            <w:r>
              <w:rPr>
                <w:rFonts w:hint="eastAsia" w:ascii="Times New Roman" w:hAnsi="Times New Roman" w:eastAsia="方正仿宋_GBK" w:cs="Times New Roman"/>
                <w:b w:val="0"/>
                <w:bCs/>
                <w:color w:val="auto"/>
                <w:sz w:val="24"/>
                <w:szCs w:val="24"/>
                <w:highlight w:val="none"/>
                <w:lang w:val="en-US" w:eastAsia="zh-CN"/>
              </w:rPr>
              <w:t>建设</w:t>
            </w:r>
            <w:r>
              <w:rPr>
                <w:rFonts w:hint="default" w:ascii="Times New Roman" w:hAnsi="Times New Roman" w:eastAsia="方正仿宋_GBK" w:cs="Times New Roman"/>
                <w:b w:val="0"/>
                <w:bCs/>
                <w:color w:val="auto"/>
                <w:sz w:val="24"/>
                <w:szCs w:val="24"/>
                <w:highlight w:val="none"/>
                <w:lang w:val="en-US" w:eastAsia="zh-CN"/>
              </w:rPr>
              <w:t>，加强乌鲁木齐人力资源和社会保障信息系统培训平台建设，全</w:t>
            </w:r>
            <w:r>
              <w:rPr>
                <w:rFonts w:hint="eastAsia" w:ascii="方正仿宋_GBK" w:hAnsi="方正仿宋_GBK" w:eastAsia="方正仿宋_GBK" w:cs="方正仿宋_GBK"/>
                <w:b w:val="0"/>
                <w:bCs/>
                <w:color w:val="auto"/>
                <w:sz w:val="24"/>
                <w:szCs w:val="24"/>
                <w:highlight w:val="none"/>
                <w:lang w:val="en-US" w:eastAsia="zh-CN"/>
              </w:rPr>
              <w:t>力打造“岗位需求+精准培训+高效监管+优质就业”的全链条服务体系。</w:t>
            </w:r>
          </w:p>
        </w:tc>
      </w:tr>
    </w:tbl>
    <w:p w14:paraId="188AD640">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auto"/>
        <w:outlineLvl w:val="9"/>
        <w:rPr>
          <w:rFonts w:hint="default" w:ascii="Times New Roman" w:hAnsi="Times New Roman" w:eastAsia="方正仿宋_GBK" w:cs="Times New Roman"/>
          <w:color w:val="auto"/>
          <w:sz w:val="24"/>
          <w:szCs w:val="24"/>
          <w:highlight w:val="none"/>
          <w:lang w:val="en-US" w:eastAsia="zh-CN"/>
        </w:rPr>
        <w:sectPr>
          <w:type w:val="continuous"/>
          <w:pgSz w:w="11906" w:h="16838"/>
          <w:pgMar w:top="2098" w:right="1531" w:bottom="1587" w:left="1531" w:header="851" w:footer="992" w:gutter="0"/>
          <w:pgBorders>
            <w:top w:val="none" w:sz="0" w:space="0"/>
            <w:left w:val="none" w:sz="0" w:space="0"/>
            <w:bottom w:val="none" w:sz="0" w:space="0"/>
            <w:right w:val="none" w:sz="0" w:space="0"/>
          </w:pgBorders>
          <w:pgNumType w:fmt="decimal"/>
          <w:cols w:space="0" w:num="1"/>
          <w:rtlGutter w:val="0"/>
          <w:docGrid w:type="lines" w:linePitch="449" w:charSpace="0"/>
        </w:sectPr>
      </w:pPr>
    </w:p>
    <w:p w14:paraId="08918957">
      <w:pPr>
        <w:keepNext/>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10" w:name="_Toc23861"/>
      <w:r>
        <w:rPr>
          <w:rFonts w:hint="eastAsia" w:ascii="方正楷体简体" w:hAnsi="方正楷体简体" w:eastAsia="方正楷体简体" w:cs="方正楷体简体"/>
          <w:b w:val="0"/>
          <w:bCs/>
          <w:color w:val="auto"/>
          <w:kern w:val="2"/>
          <w:sz w:val="32"/>
          <w:szCs w:val="24"/>
          <w:lang w:val="en-US" w:eastAsia="zh-CN" w:bidi="ar-SA"/>
        </w:rPr>
        <w:t>第六节 加强统一规范人力资源市场体系建设</w:t>
      </w:r>
      <w:bookmarkEnd w:id="10"/>
    </w:p>
    <w:p w14:paraId="7F5B4B44">
      <w:pPr>
        <w:keepNext/>
        <w:keepLines w:val="0"/>
        <w:pageBreakBefore w:val="0"/>
        <w:widowControl w:val="0"/>
        <w:kinsoku w:val="0"/>
        <w:wordWrap w:val="0"/>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lang w:eastAsia="zh-CN"/>
        </w:rPr>
        <w:t>强化有为政府与有效市场“双轮驱动”，以构建“四维一体”人力资源服务体系为核心抓手，统筹园区集聚、企业培育、协会自律、公共就业协同联动，助推人力资源服务产业整体发展。组建乌鲁木齐市人力资源服务协会，搭建政企平台，打通公共就业服务与市场化人力资源服务衔接通道，规范行业经营行为。以国家级新疆人力资源服务产业园为依托，推动经开区、高新区人力资源服务产业园区提档升级，发挥人力资服务产业园集聚、培育、孵化、拓展核心功能，引育一批专业性、行业性人力资源服务机构，重点培育猎头寻访、人才测评、管理咨询、人力资源外包等领域优质企业，引导本地人力资源服务企业走专业化、精细化、特色化发展道路。支持规上人力资源服务企业提质扩容，搭建人力资源服务出口国际平台，拓展跨境人力资源服务业务。围绕重点产业链精准匹配人才供给、优化用工服务，以高端业态赋能重点产业高质量发展，推动人力资源服务业与制造业、现代服务业等深度融合。</w:t>
      </w:r>
    </w:p>
    <w:tbl>
      <w:tblPr>
        <w:tblStyle w:val="21"/>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5"/>
      </w:tblGrid>
      <w:tr w14:paraId="14AF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075" w:type="dxa"/>
            <w:noWrap w:val="0"/>
            <w:vAlign w:val="top"/>
          </w:tcPr>
          <w:p w14:paraId="687AA7E0">
            <w:pPr>
              <w:keepNext/>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color w:val="auto"/>
                <w:sz w:val="32"/>
                <w:szCs w:val="32"/>
                <w:highlight w:val="none"/>
                <w:vertAlign w:val="baseline"/>
                <w:lang w:val="en-US" w:eastAsia="zh-CN"/>
              </w:rPr>
            </w:pPr>
            <w:r>
              <w:rPr>
                <w:rFonts w:hint="default" w:ascii="Times New Roman" w:hAnsi="Times New Roman" w:eastAsia="方正黑体_GBK" w:cs="Times New Roman"/>
                <w:b w:val="0"/>
                <w:bCs/>
                <w:color w:val="auto"/>
                <w:sz w:val="24"/>
                <w:szCs w:val="24"/>
                <w:highlight w:val="none"/>
                <w:lang w:val="en-US" w:eastAsia="zh-CN"/>
              </w:rPr>
              <w:t>专栏</w:t>
            </w:r>
            <w:r>
              <w:rPr>
                <w:rFonts w:hint="eastAsia" w:ascii="Times New Roman" w:hAnsi="Times New Roman" w:eastAsia="方正黑体_GBK" w:cs="Times New Roman"/>
                <w:b w:val="0"/>
                <w:bCs/>
                <w:color w:val="auto"/>
                <w:sz w:val="24"/>
                <w:szCs w:val="24"/>
                <w:highlight w:val="none"/>
                <w:lang w:val="en-US" w:eastAsia="zh-CN"/>
              </w:rPr>
              <w:t>8</w:t>
            </w:r>
            <w:r>
              <w:rPr>
                <w:rFonts w:hint="default" w:ascii="Times New Roman" w:hAnsi="Times New Roman" w:eastAsia="方正黑体_GBK" w:cs="Times New Roman"/>
                <w:b w:val="0"/>
                <w:bCs/>
                <w:color w:val="auto"/>
                <w:sz w:val="24"/>
                <w:szCs w:val="24"/>
                <w:highlight w:val="none"/>
                <w:lang w:val="en-US" w:eastAsia="zh-CN"/>
              </w:rPr>
              <w:t xml:space="preserve"> 人力资源市场体系升级行动</w:t>
            </w:r>
          </w:p>
        </w:tc>
      </w:tr>
      <w:tr w14:paraId="52C1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5" w:type="dxa"/>
            <w:noWrap w:val="0"/>
            <w:vAlign w:val="top"/>
          </w:tcPr>
          <w:p w14:paraId="3ADF1A2F">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1.市场智能化改造项目。</w:t>
            </w:r>
            <w:r>
              <w:rPr>
                <w:rFonts w:hint="default" w:ascii="Times New Roman" w:hAnsi="Times New Roman" w:eastAsia="方正仿宋_GBK" w:cs="Times New Roman"/>
                <w:b w:val="0"/>
                <w:bCs/>
                <w:color w:val="auto"/>
                <w:sz w:val="24"/>
                <w:szCs w:val="24"/>
                <w:highlight w:val="none"/>
                <w:lang w:val="en-US" w:eastAsia="zh-CN"/>
              </w:rPr>
              <w:t>全面配置涵盖智能咨询、简历解析等功能的AI智能服务终端，实现简历智能解析、岗位初筛、政策查询等基础业务自助办理。建设集成AI面试官、场景化实训的模拟面试舱，配套全行业场景题库、AI点评及岗位适配分析功能，为各类求职者提供免费实训与适配性指导。</w:t>
            </w:r>
          </w:p>
          <w:p w14:paraId="75E4AFB8">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2.数据统计分析平台建设项目。</w:t>
            </w:r>
            <w:r>
              <w:rPr>
                <w:rFonts w:hint="default" w:ascii="Times New Roman" w:hAnsi="Times New Roman" w:eastAsia="方正仿宋_GBK" w:cs="Times New Roman"/>
                <w:b w:val="0"/>
                <w:bCs/>
                <w:color w:val="auto"/>
                <w:sz w:val="24"/>
                <w:szCs w:val="24"/>
                <w:highlight w:val="none"/>
                <w:lang w:val="en-US" w:eastAsia="zh-CN"/>
              </w:rPr>
              <w:t>打通就业数据壁垒，建立常态化数据接口，搭建多维度数据统计分析模块，对市场供需、技能分布、招聘趋势等进行可视化分析，精准研判就业趋势与岗位缺口，为政策制定和市场调控提供数据支撑。</w:t>
            </w:r>
          </w:p>
          <w:p w14:paraId="52464106">
            <w:pPr>
              <w:keepNext/>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2" w:firstLineChars="200"/>
              <w:jc w:val="both"/>
              <w:textAlignment w:val="auto"/>
              <w:outlineLvl w:val="9"/>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3.</w:t>
            </w:r>
            <w:r>
              <w:rPr>
                <w:rFonts w:hint="eastAsia" w:ascii="Times New Roman" w:hAnsi="Times New Roman" w:eastAsia="方正仿宋_GBK" w:cs="Times New Roman"/>
                <w:b/>
                <w:bCs w:val="0"/>
                <w:color w:val="auto"/>
                <w:sz w:val="24"/>
                <w:szCs w:val="24"/>
                <w:highlight w:val="none"/>
                <w:lang w:val="en-US" w:eastAsia="zh-CN"/>
              </w:rPr>
              <w:t>举办人力资源服务业展示交流活动。</w:t>
            </w:r>
            <w:r>
              <w:rPr>
                <w:rFonts w:hint="eastAsia" w:ascii="Times New Roman" w:hAnsi="Times New Roman" w:eastAsia="方正仿宋_GBK" w:cs="Times New Roman"/>
                <w:b w:val="0"/>
                <w:bCs/>
                <w:color w:val="auto"/>
                <w:sz w:val="24"/>
                <w:szCs w:val="24"/>
                <w:highlight w:val="none"/>
                <w:lang w:val="en-US" w:eastAsia="zh-CN"/>
              </w:rPr>
              <w:t>依托经开区人力资源服务产业园区、高新区人力资源服务产业园区，举办人力资源服务业高质量发展系列展示交流活动，提升对内对外交流合作水平。</w:t>
            </w:r>
          </w:p>
        </w:tc>
      </w:tr>
    </w:tbl>
    <w:p w14:paraId="77B1CDD0">
      <w:pPr>
        <w:keepNext/>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11" w:name="_Toc21453"/>
      <w:r>
        <w:rPr>
          <w:rFonts w:hint="eastAsia" w:ascii="方正楷体简体" w:hAnsi="方正楷体简体" w:eastAsia="方正楷体简体" w:cs="方正楷体简体"/>
          <w:b w:val="0"/>
          <w:bCs/>
          <w:color w:val="auto"/>
          <w:kern w:val="2"/>
          <w:sz w:val="32"/>
          <w:szCs w:val="24"/>
          <w:lang w:val="en-US" w:eastAsia="zh-CN" w:bidi="ar-SA"/>
        </w:rPr>
        <w:t>第七节 构建风险防控与应急响应机制</w:t>
      </w:r>
      <w:bookmarkEnd w:id="11"/>
    </w:p>
    <w:p w14:paraId="597F1B33">
      <w:pPr>
        <w:pStyle w:val="29"/>
        <w:keepNext/>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val="0"/>
        <w:topLinePunct w:val="0"/>
        <w:autoSpaceDE w:val="0"/>
        <w:autoSpaceDN w:val="0"/>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b/>
          <w:bCs/>
          <w:color w:val="auto"/>
          <w:kern w:val="2"/>
          <w:sz w:val="32"/>
          <w:szCs w:val="24"/>
          <w:highlight w:val="none"/>
          <w:lang w:val="en-US" w:eastAsia="zh-CN" w:bidi="ar-SA"/>
        </w:rPr>
      </w:pPr>
      <w:r>
        <w:rPr>
          <w:rFonts w:hint="eastAsia" w:ascii="方正仿宋_GBK" w:hAnsi="方正仿宋_GBK" w:eastAsia="方正仿宋_GBK" w:cs="方正仿宋_GBK"/>
          <w:color w:val="auto"/>
          <w:kern w:val="2"/>
          <w:sz w:val="32"/>
          <w:szCs w:val="24"/>
          <w:highlight w:val="none"/>
          <w:lang w:val="en-US" w:eastAsia="zh-CN" w:bidi="ar-SA"/>
        </w:rPr>
        <w:t>加强就业形势分析监测预警。依托自治区就业创业综合服务平台开展就业数据统计监测，按月对纳入国家综合调查统计系统的企业开展失业动态监测，常态化关注重点区域、重点群体、重点行业、重点企业就业情况，及时掌握重点时段和重点群体就业形势变化，做到风险早发现、早预警、早处置，持续增强就业决策工作前瞻性。健全完善规模性失业风险防范化解机制，妥善应对就业领域重大风险隐患，全力维护首府就业基本盘。</w:t>
      </w:r>
    </w:p>
    <w:p w14:paraId="335FE49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b w:val="0"/>
          <w:bCs w:val="0"/>
          <w:color w:val="auto"/>
          <w:w w:val="95"/>
          <w:kern w:val="2"/>
          <w:sz w:val="32"/>
          <w:szCs w:val="32"/>
          <w:highlight w:val="none"/>
          <w:u w:val="none" w:color="auto"/>
          <w:lang w:val="en-US" w:eastAsia="zh-CN"/>
        </w:rPr>
      </w:pPr>
    </w:p>
    <w:p w14:paraId="6AEECE0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方正楷体_GBK" w:hAnsi="方正楷体_GBK" w:eastAsia="方正楷体_GBK" w:cs="方正楷体_GBK"/>
          <w:b/>
          <w:bCs/>
          <w:color w:val="auto"/>
          <w:w w:val="95"/>
          <w:kern w:val="2"/>
          <w:sz w:val="32"/>
          <w:szCs w:val="32"/>
          <w:highlight w:val="yellow"/>
          <w:u w:val="none" w:color="auto"/>
          <w:lang w:val="en-US" w:eastAsia="zh-CN"/>
        </w:rPr>
      </w:pPr>
      <w:bookmarkStart w:id="12" w:name="_Toc14366"/>
      <w:r>
        <w:rPr>
          <w:rFonts w:hint="eastAsia" w:ascii="黑体" w:hAnsi="黑体" w:eastAsia="黑体" w:cs="黑体"/>
          <w:b w:val="0"/>
          <w:bCs w:val="0"/>
          <w:color w:val="auto"/>
          <w:w w:val="95"/>
          <w:kern w:val="2"/>
          <w:sz w:val="32"/>
          <w:szCs w:val="32"/>
          <w:highlight w:val="none"/>
          <w:u w:val="none" w:color="auto"/>
          <w:lang w:val="en-US" w:eastAsia="zh-CN"/>
        </w:rPr>
        <w:t>第三章 健全社会保障体系，持续兜牢民生底线</w:t>
      </w:r>
      <w:bookmarkEnd w:id="12"/>
    </w:p>
    <w:p w14:paraId="0FF9BD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以覆盖全民、公平统一、安全规范为重点，稳步提高社会保障统筹层次和水平，加快健全更可持续、更可及、更安全、更便捷、更规范的社会保障体系。</w:t>
      </w:r>
    </w:p>
    <w:p w14:paraId="7F84451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13" w:name="_Toc16908"/>
      <w:r>
        <w:rPr>
          <w:rFonts w:hint="eastAsia" w:ascii="方正楷体简体" w:hAnsi="方正楷体简体" w:eastAsia="方正楷体简体" w:cs="方正楷体简体"/>
          <w:b w:val="0"/>
          <w:bCs/>
          <w:color w:val="auto"/>
          <w:kern w:val="2"/>
          <w:sz w:val="32"/>
          <w:szCs w:val="24"/>
          <w:lang w:val="en-US" w:eastAsia="zh-CN" w:bidi="ar-SA"/>
        </w:rPr>
        <w:t>第一节 稳步推进社会保险制度改革落实</w:t>
      </w:r>
      <w:bookmarkEnd w:id="13"/>
    </w:p>
    <w:p w14:paraId="5836D2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u w:val="none"/>
          <w:lang w:val="en-US" w:eastAsia="zh-CN"/>
        </w:rPr>
      </w:pPr>
      <w:r>
        <w:rPr>
          <w:rFonts w:hint="eastAsia" w:ascii="方正仿宋_GBK" w:hAnsi="方正仿宋_GBK" w:eastAsia="方正仿宋_GBK" w:cs="方正仿宋_GBK"/>
          <w:color w:val="auto"/>
          <w:sz w:val="32"/>
          <w:szCs w:val="32"/>
          <w:u w:val="none"/>
          <w:lang w:val="en-US" w:eastAsia="zh-CN"/>
        </w:rPr>
        <w:t>全面落实企业职工基本养老保险全国统筹制度，推进机关事业单位养老保险制度平稳运行。稳妥实施渐进式延迟法定退休年龄改革。落实自</w:t>
      </w:r>
      <w:r>
        <w:rPr>
          <w:rFonts w:hint="eastAsia" w:ascii="方正仿宋_GBK" w:hAnsi="方正仿宋_GBK" w:eastAsia="方正仿宋_GBK" w:cs="方正仿宋_GBK"/>
          <w:color w:val="auto"/>
          <w:sz w:val="32"/>
          <w:szCs w:val="32"/>
          <w:highlight w:val="none"/>
          <w:u w:val="none"/>
          <w:lang w:val="en-US" w:eastAsia="zh-CN"/>
        </w:rPr>
        <w:t>治区职工基本养老金和城乡居民基础养老金正常调整机制。鼓励有条件的村集体经济组织对城乡居民参保缴费给予补助。</w:t>
      </w:r>
      <w:r>
        <w:rPr>
          <w:rFonts w:hint="eastAsia" w:ascii="方正仿宋_GBK" w:hAnsi="方正仿宋_GBK" w:eastAsia="方正仿宋_GBK" w:cs="方正仿宋_GBK"/>
          <w:color w:val="auto"/>
          <w:sz w:val="32"/>
          <w:szCs w:val="32"/>
          <w:u w:val="none"/>
          <w:lang w:val="en-US" w:eastAsia="zh-CN"/>
        </w:rPr>
        <w:t>保障基本养老保险待遇按时足额发放。推进自治区职业年金实账管理。以工业园区等为重点提高企业年金覆盖面。全面推行个人养老金制度。</w:t>
      </w:r>
    </w:p>
    <w:p w14:paraId="5170A4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方正仿宋_GBK" w:cs="Times New Roman"/>
          <w:b w:val="0"/>
          <w:bCs w:val="0"/>
          <w:color w:val="auto"/>
          <w:kern w:val="2"/>
          <w:sz w:val="32"/>
          <w:szCs w:val="32"/>
          <w:highlight w:val="cyan"/>
          <w:lang w:val="zh-CN" w:eastAsia="zh-CN" w:bidi="ar-SA"/>
        </w:rPr>
      </w:pPr>
      <w:r>
        <w:rPr>
          <w:rFonts w:hint="eastAsia" w:ascii="方正仿宋_GBK" w:hAnsi="方正仿宋_GBK" w:eastAsia="方正仿宋_GBK" w:cs="方正仿宋_GBK"/>
          <w:color w:val="auto"/>
          <w:sz w:val="32"/>
          <w:szCs w:val="32"/>
          <w:u w:val="none"/>
          <w:lang w:val="en-US" w:eastAsia="zh-CN"/>
        </w:rPr>
        <w:t>严格落实失业保险基金自治区级统筹制度。执行失业保险费率调整和待遇标准调整相关政策。持续推进稳岗返还、技能提升补贴等惠企利民政策落实。开展失业保险基金安全守护行动，筑牢基金安全防线。</w:t>
      </w:r>
    </w:p>
    <w:p w14:paraId="644744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落实工伤保险基金自治区级统筹，健全预防、补</w:t>
      </w:r>
      <w:r>
        <w:rPr>
          <w:rFonts w:hint="eastAsia" w:ascii="方正仿宋_GBK" w:hAnsi="方正仿宋_GBK" w:eastAsia="方正仿宋_GBK" w:cs="方正仿宋_GBK"/>
          <w:b w:val="0"/>
          <w:bCs w:val="0"/>
          <w:kern w:val="2"/>
          <w:sz w:val="32"/>
          <w:szCs w:val="32"/>
          <w:highlight w:val="none"/>
          <w:lang w:val="en-US" w:eastAsia="zh-CN" w:bidi="ar-SA"/>
        </w:rPr>
        <w:t>偿、康复“三位一体”保障体系。开展新就业形态人员职业伤害保</w:t>
      </w:r>
      <w:r>
        <w:rPr>
          <w:rFonts w:hint="default" w:ascii="Times New Roman" w:hAnsi="Times New Roman" w:eastAsia="方正仿宋_GBK" w:cs="Times New Roman"/>
          <w:b w:val="0"/>
          <w:bCs w:val="0"/>
          <w:kern w:val="2"/>
          <w:sz w:val="32"/>
          <w:szCs w:val="32"/>
          <w:highlight w:val="none"/>
          <w:lang w:val="en-US" w:eastAsia="zh-CN" w:bidi="ar-SA"/>
        </w:rPr>
        <w:t>障试点，实施超龄劳动者工伤保障政策。推进跨省异地就医直接结算，提升工伤康复服务质效，发挥补充工伤保险兜底保障作用。推进工伤预防五年行动计划，从源头降低工伤事故和职业病发生风险。</w:t>
      </w:r>
    </w:p>
    <w:p w14:paraId="4F0184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建立退休人员信息常态化核查机制，实现信息动态管理。拓展大数据比对认证渠道，提升</w:t>
      </w:r>
      <w:r>
        <w:rPr>
          <w:rFonts w:hint="eastAsia" w:ascii="方正仿宋_GBK" w:hAnsi="方正仿宋_GBK" w:eastAsia="方正仿宋_GBK" w:cs="方正仿宋_GBK"/>
          <w:b w:val="0"/>
          <w:bCs w:val="0"/>
          <w:kern w:val="2"/>
          <w:sz w:val="32"/>
          <w:szCs w:val="32"/>
          <w:highlight w:val="none"/>
          <w:lang w:val="en-US" w:eastAsia="zh-CN" w:bidi="ar-SA"/>
        </w:rPr>
        <w:t>“静默认证”</w:t>
      </w:r>
      <w:r>
        <w:rPr>
          <w:rFonts w:hint="default" w:ascii="Times New Roman" w:hAnsi="Times New Roman" w:eastAsia="方正仿宋_GBK" w:cs="Times New Roman"/>
          <w:b w:val="0"/>
          <w:bCs w:val="0"/>
          <w:kern w:val="2"/>
          <w:sz w:val="32"/>
          <w:szCs w:val="32"/>
          <w:highlight w:val="none"/>
          <w:lang w:val="en-US" w:eastAsia="zh-CN" w:bidi="ar-SA"/>
        </w:rPr>
        <w:t>服务质效。实行周期性递延式认证服务，确保待遇领取人员在规定周期</w:t>
      </w:r>
      <w:r>
        <w:rPr>
          <w:rFonts w:hint="eastAsia" w:ascii="方正仿宋_GBK" w:hAnsi="方正仿宋_GBK" w:eastAsia="方正仿宋_GBK" w:cs="方正仿宋_GBK"/>
          <w:b w:val="0"/>
          <w:bCs w:val="0"/>
          <w:kern w:val="2"/>
          <w:sz w:val="32"/>
          <w:szCs w:val="32"/>
          <w:highlight w:val="none"/>
          <w:lang w:val="en-US" w:eastAsia="zh-CN" w:bidi="ar-SA"/>
        </w:rPr>
        <w:t>内“应认尽认”</w:t>
      </w:r>
      <w:r>
        <w:rPr>
          <w:rFonts w:hint="default" w:ascii="Times New Roman" w:hAnsi="Times New Roman" w:eastAsia="方正仿宋_GBK" w:cs="Times New Roman"/>
          <w:b w:val="0"/>
          <w:bCs w:val="0"/>
          <w:kern w:val="2"/>
          <w:sz w:val="32"/>
          <w:szCs w:val="32"/>
          <w:highlight w:val="none"/>
          <w:lang w:val="en-US" w:eastAsia="zh-CN" w:bidi="ar-SA"/>
        </w:rPr>
        <w:t>。</w:t>
      </w:r>
    </w:p>
    <w:p w14:paraId="25FFAC9B">
      <w:pPr>
        <w:keepNext w:val="0"/>
        <w:keepLines w:val="0"/>
        <w:pageBreakBefore w:val="0"/>
        <w:widowControl w:val="0"/>
        <w:kinsoku w:val="0"/>
        <w:wordWrap w:val="0"/>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highlight w:val="none"/>
          <w:lang w:val="en-US" w:eastAsia="zh-CN"/>
        </w:rPr>
        <w:t>落</w:t>
      </w:r>
      <w:r>
        <w:rPr>
          <w:rFonts w:hint="eastAsia" w:ascii="方正仿宋_GBK" w:hAnsi="方正仿宋_GBK" w:eastAsia="方正仿宋_GBK" w:cs="方正仿宋_GBK"/>
          <w:color w:val="auto"/>
          <w:sz w:val="32"/>
          <w:szCs w:val="32"/>
          <w:highlight w:val="none"/>
          <w:lang w:val="en-US" w:eastAsia="zh-CN"/>
        </w:rPr>
        <w:t>实人社部、国家卫健委《</w:t>
      </w:r>
      <w:r>
        <w:rPr>
          <w:rFonts w:hint="eastAsia" w:ascii="方正仿宋_GBK" w:hAnsi="方正仿宋_GBK" w:eastAsia="方正仿宋_GBK" w:cs="方正仿宋_GBK"/>
          <w:color w:val="auto"/>
          <w:highlight w:val="none"/>
          <w:lang w:val="en-US" w:eastAsia="zh-CN"/>
        </w:rPr>
        <w:t>劳动能力鉴定管理办法》，健全工伤、因</w:t>
      </w:r>
      <w:r>
        <w:rPr>
          <w:rFonts w:hint="eastAsia" w:ascii="方正仿宋_GBK" w:hAnsi="方正仿宋_GBK" w:eastAsia="方正仿宋_GBK" w:cs="方正仿宋_GBK"/>
          <w:color w:val="auto"/>
          <w:sz w:val="32"/>
          <w:szCs w:val="32"/>
          <w:highlight w:val="none"/>
          <w:lang w:val="en-US" w:eastAsia="zh-CN"/>
        </w:rPr>
        <w:t>病或非因工劳动能力初次鉴定工作流程。推动劳动能力鉴定“一网通办”、鉴定服务数智化转型。规范长期护理失能评定线上评审工作，实现与医保等部门信息系统对接、评估数据共享。</w:t>
      </w:r>
    </w:p>
    <w:p w14:paraId="54EE9AA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14" w:name="_Toc4620"/>
      <w:r>
        <w:rPr>
          <w:rFonts w:hint="eastAsia" w:ascii="方正楷体简体" w:hAnsi="方正楷体简体" w:eastAsia="方正楷体简体" w:cs="方正楷体简体"/>
          <w:b w:val="0"/>
          <w:bCs/>
          <w:color w:val="auto"/>
          <w:kern w:val="2"/>
          <w:sz w:val="32"/>
          <w:szCs w:val="24"/>
          <w:lang w:val="en-US" w:eastAsia="zh-CN" w:bidi="ar-SA"/>
        </w:rPr>
        <w:t>第二节 持续推进社会保险参保扩面</w:t>
      </w:r>
      <w:bookmarkEnd w:id="14"/>
    </w:p>
    <w:p w14:paraId="3ABF040C">
      <w:pPr>
        <w:keepNext w:val="0"/>
        <w:keepLines w:val="0"/>
        <w:pageBreakBefore w:val="0"/>
        <w:widowControl w:val="0"/>
        <w:kinsoku w:val="0"/>
        <w:wordWrap w:val="0"/>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方正仿宋_GBK"/>
          <w:sz w:val="32"/>
          <w:szCs w:val="32"/>
          <w:lang w:val="en-US" w:eastAsia="zh-CN"/>
        </w:rPr>
      </w:pPr>
      <w:r>
        <w:rPr>
          <w:rFonts w:hint="eastAsia" w:ascii="方正仿宋_GBK" w:hAnsi="方正仿宋_GBK" w:eastAsia="方正仿宋_GBK" w:cs="方正仿宋_GBK"/>
          <w:color w:val="auto"/>
          <w:highlight w:val="none"/>
          <w:lang w:val="en-US" w:eastAsia="zh-CN"/>
        </w:rPr>
        <w:t>实施高质量参保扩面，</w:t>
      </w:r>
      <w:r>
        <w:rPr>
          <w:rFonts w:hint="eastAsia" w:ascii="方正仿宋_GBK" w:hAnsi="方正仿宋_GBK" w:eastAsia="方正仿宋_GBK" w:cs="方正仿宋_GBK"/>
          <w:color w:val="auto"/>
          <w:highlight w:val="none"/>
        </w:rPr>
        <w:t>持续</w:t>
      </w:r>
      <w:r>
        <w:rPr>
          <w:rFonts w:hint="eastAsia" w:ascii="方正仿宋_GBK" w:hAnsi="方正仿宋_GBK" w:eastAsia="方正仿宋_GBK" w:cs="方正仿宋_GBK"/>
          <w:color w:val="auto"/>
          <w:highlight w:val="none"/>
          <w:lang w:val="en-US" w:eastAsia="zh-CN"/>
        </w:rPr>
        <w:t>健全</w:t>
      </w:r>
      <w:r>
        <w:rPr>
          <w:rFonts w:hint="eastAsia" w:ascii="方正仿宋_GBK" w:hAnsi="方正仿宋_GBK" w:eastAsia="方正仿宋_GBK" w:cs="方正仿宋_GBK"/>
          <w:color w:val="auto"/>
          <w:highlight w:val="none"/>
        </w:rPr>
        <w:t>部门数据共享</w:t>
      </w:r>
      <w:r>
        <w:rPr>
          <w:rFonts w:hint="eastAsia" w:ascii="方正仿宋_GBK" w:hAnsi="方正仿宋_GBK" w:eastAsia="方正仿宋_GBK" w:cs="方正仿宋_GBK"/>
          <w:color w:val="auto"/>
          <w:highlight w:val="none"/>
          <w:lang w:val="en-US" w:eastAsia="zh-CN"/>
        </w:rPr>
        <w:t>联动</w:t>
      </w:r>
      <w:r>
        <w:rPr>
          <w:rFonts w:hint="eastAsia" w:ascii="方正仿宋_GBK" w:hAnsi="方正仿宋_GBK" w:eastAsia="方正仿宋_GBK" w:cs="方正仿宋_GBK"/>
          <w:color w:val="auto"/>
          <w:highlight w:val="none"/>
        </w:rPr>
        <w:t>机制，</w:t>
      </w:r>
      <w:r>
        <w:rPr>
          <w:rFonts w:hint="eastAsia" w:ascii="方正仿宋_GBK" w:hAnsi="方正仿宋_GBK" w:eastAsia="方正仿宋_GBK" w:cs="方正仿宋_GBK"/>
          <w:color w:val="auto"/>
          <w:highlight w:val="none"/>
          <w:lang w:val="en-US" w:eastAsia="zh-CN"/>
        </w:rPr>
        <w:t>完善</w:t>
      </w:r>
      <w:r>
        <w:rPr>
          <w:rFonts w:hint="eastAsia" w:ascii="方正仿宋_GBK" w:hAnsi="方正仿宋_GBK" w:eastAsia="方正仿宋_GBK" w:cs="方正仿宋_GBK"/>
          <w:color w:val="auto"/>
          <w:highlight w:val="none"/>
        </w:rPr>
        <w:t>动态扩面资源库</w:t>
      </w:r>
      <w:r>
        <w:rPr>
          <w:rFonts w:hint="eastAsia" w:ascii="方正仿宋_GBK" w:hAnsi="方正仿宋_GBK" w:eastAsia="方正仿宋_GBK" w:cs="方正仿宋_GBK"/>
          <w:color w:val="auto"/>
          <w:highlight w:val="none"/>
          <w:lang w:eastAsia="zh-CN"/>
        </w:rPr>
        <w:t>。</w:t>
      </w:r>
      <w:r>
        <w:rPr>
          <w:rFonts w:hint="eastAsia" w:ascii="方正仿宋_GBK" w:hAnsi="方正仿宋_GBK" w:eastAsia="方正仿宋_GBK" w:cs="方正仿宋_GBK"/>
          <w:color w:val="auto"/>
          <w:highlight w:val="none"/>
          <w:lang w:val="en-US" w:eastAsia="zh-CN"/>
        </w:rPr>
        <w:t>深化大</w:t>
      </w:r>
      <w:r>
        <w:rPr>
          <w:rFonts w:hint="eastAsia" w:ascii="方正仿宋_GBK" w:hAnsi="方正仿宋_GBK" w:eastAsia="方正仿宋_GBK" w:cs="方正仿宋_GBK"/>
          <w:color w:val="auto"/>
          <w:highlight w:val="none"/>
        </w:rPr>
        <w:t>数据分析</w:t>
      </w:r>
      <w:r>
        <w:rPr>
          <w:rFonts w:hint="eastAsia" w:ascii="方正仿宋_GBK" w:hAnsi="方正仿宋_GBK" w:eastAsia="方正仿宋_GBK" w:cs="方正仿宋_GBK"/>
          <w:color w:val="auto"/>
          <w:highlight w:val="none"/>
          <w:lang w:val="en-US" w:eastAsia="zh-CN"/>
        </w:rPr>
        <w:t>应用</w:t>
      </w:r>
      <w:r>
        <w:rPr>
          <w:rFonts w:hint="eastAsia" w:ascii="方正仿宋_GBK" w:hAnsi="方正仿宋_GBK" w:eastAsia="方正仿宋_GBK" w:cs="方正仿宋_GBK"/>
          <w:color w:val="auto"/>
          <w:highlight w:val="none"/>
        </w:rPr>
        <w:t>，精准锁定未参保、漏保</w:t>
      </w:r>
      <w:r>
        <w:rPr>
          <w:rFonts w:hint="eastAsia" w:ascii="方正仿宋_GBK" w:hAnsi="方正仿宋_GBK" w:eastAsia="方正仿宋_GBK" w:cs="方正仿宋_GBK"/>
          <w:color w:val="auto"/>
          <w:highlight w:val="none"/>
          <w:lang w:eastAsia="zh-CN"/>
        </w:rPr>
        <w:t>、</w:t>
      </w:r>
      <w:r>
        <w:rPr>
          <w:rFonts w:hint="eastAsia" w:ascii="方正仿宋_GBK" w:hAnsi="方正仿宋_GBK" w:eastAsia="方正仿宋_GBK" w:cs="方正仿宋_GBK"/>
          <w:color w:val="auto"/>
          <w:highlight w:val="none"/>
        </w:rPr>
        <w:t>断保</w:t>
      </w:r>
      <w:r>
        <w:rPr>
          <w:rFonts w:hint="eastAsia" w:ascii="方正仿宋_GBK" w:hAnsi="方正仿宋_GBK" w:eastAsia="方正仿宋_GBK" w:cs="方正仿宋_GBK"/>
          <w:color w:val="auto"/>
          <w:highlight w:val="none"/>
          <w:lang w:val="en-US" w:eastAsia="zh-CN"/>
        </w:rPr>
        <w:t>等</w:t>
      </w:r>
      <w:r>
        <w:rPr>
          <w:rFonts w:hint="eastAsia" w:ascii="方正仿宋_GBK" w:hAnsi="方正仿宋_GBK" w:eastAsia="方正仿宋_GBK" w:cs="方正仿宋_GBK"/>
          <w:color w:val="auto"/>
          <w:highlight w:val="none"/>
        </w:rPr>
        <w:t>群体，分类施策</w:t>
      </w:r>
      <w:r>
        <w:rPr>
          <w:rFonts w:hint="eastAsia" w:ascii="方正仿宋_GBK" w:hAnsi="方正仿宋_GBK" w:eastAsia="方正仿宋_GBK" w:cs="方正仿宋_GBK"/>
          <w:color w:val="auto"/>
          <w:highlight w:val="none"/>
          <w:lang w:eastAsia="zh-CN"/>
        </w:rPr>
        <w:t>、</w:t>
      </w:r>
      <w:r>
        <w:rPr>
          <w:rFonts w:hint="eastAsia" w:ascii="方正仿宋_GBK" w:hAnsi="方正仿宋_GBK" w:eastAsia="方正仿宋_GBK" w:cs="方正仿宋_GBK"/>
          <w:color w:val="auto"/>
          <w:highlight w:val="none"/>
          <w:lang w:val="en-US" w:eastAsia="zh-CN"/>
        </w:rPr>
        <w:t>精准引导</w:t>
      </w:r>
      <w:r>
        <w:rPr>
          <w:rFonts w:hint="eastAsia" w:ascii="方正仿宋_GBK" w:hAnsi="方正仿宋_GBK" w:eastAsia="方正仿宋_GBK" w:cs="方正仿宋_GBK"/>
          <w:color w:val="auto"/>
          <w:highlight w:val="none"/>
        </w:rPr>
        <w:t>企业</w:t>
      </w:r>
      <w:r>
        <w:rPr>
          <w:rFonts w:hint="eastAsia" w:ascii="方正仿宋_GBK" w:hAnsi="方正仿宋_GBK" w:eastAsia="方正仿宋_GBK" w:cs="方正仿宋_GBK"/>
          <w:color w:val="auto"/>
          <w:highlight w:val="none"/>
          <w:lang w:val="en-US" w:eastAsia="zh-CN"/>
        </w:rPr>
        <w:t>和</w:t>
      </w:r>
      <w:r>
        <w:rPr>
          <w:rFonts w:hint="eastAsia" w:ascii="方正仿宋_GBK" w:hAnsi="方正仿宋_GBK" w:eastAsia="方正仿宋_GBK" w:cs="方正仿宋_GBK"/>
          <w:color w:val="auto"/>
          <w:highlight w:val="none"/>
        </w:rPr>
        <w:t>个人参保</w:t>
      </w:r>
      <w:r>
        <w:rPr>
          <w:rFonts w:hint="eastAsia" w:ascii="方正仿宋_GBK" w:hAnsi="方正仿宋_GBK" w:eastAsia="方正仿宋_GBK" w:cs="方正仿宋_GBK"/>
          <w:color w:val="auto"/>
          <w:highlight w:val="none"/>
          <w:lang w:eastAsia="zh-CN"/>
        </w:rPr>
        <w:t>。</w:t>
      </w:r>
      <w:r>
        <w:rPr>
          <w:rFonts w:hint="eastAsia" w:ascii="方正仿宋_GBK" w:hAnsi="方正仿宋_GBK" w:eastAsia="方正仿宋_GBK" w:cs="方正仿宋_GBK"/>
          <w:color w:val="auto"/>
          <w:highlight w:val="none"/>
          <w:lang w:val="en-US" w:eastAsia="zh-CN"/>
        </w:rPr>
        <w:t>常态化开展稽核检查，督促用人单位依法办理参保登记。</w:t>
      </w:r>
      <w:r>
        <w:rPr>
          <w:rFonts w:hint="eastAsia" w:ascii="Times New Roman" w:hAnsi="Times New Roman" w:eastAsia="方正仿宋_GBK" w:cs="Times New Roman"/>
          <w:b w:val="0"/>
          <w:color w:val="auto"/>
          <w:kern w:val="2"/>
          <w:sz w:val="32"/>
          <w:szCs w:val="32"/>
          <w:lang w:val="en-US" w:eastAsia="zh-CN" w:bidi="ar-SA"/>
        </w:rPr>
        <w:t>针对新就业形态人员、农民工、灵活就业人员等重点群体，分类开展政策宣讲和待遇核算宣传，引导参加企业职工基本养老保险。落实政府为困难群体代缴城乡居民基本养老保险费政策，确保应保尽保、应代尽代。引导具备条件的城乡居民选择高档次缴费或参加企业职工基本养老保险。全面推进工程建设项目参加工伤保险。深入开展</w:t>
      </w:r>
      <w:r>
        <w:rPr>
          <w:rFonts w:hint="eastAsia" w:ascii="方正仿宋_GBK" w:hAnsi="方正仿宋_GBK" w:eastAsia="方正仿宋_GBK" w:cs="方正仿宋_GBK"/>
          <w:color w:val="auto"/>
          <w:sz w:val="32"/>
          <w:szCs w:val="32"/>
          <w:highlight w:val="none"/>
          <w:lang w:val="en-US" w:eastAsia="zh-CN"/>
        </w:rPr>
        <w:t>“</w:t>
      </w:r>
      <w:r>
        <w:rPr>
          <w:rFonts w:hint="eastAsia" w:ascii="Times New Roman" w:hAnsi="Times New Roman" w:eastAsia="方正仿宋_GBK" w:cs="Times New Roman"/>
          <w:b w:val="0"/>
          <w:color w:val="auto"/>
          <w:kern w:val="2"/>
          <w:sz w:val="32"/>
          <w:szCs w:val="32"/>
          <w:lang w:val="en-US" w:eastAsia="zh-CN" w:bidi="ar-SA"/>
        </w:rPr>
        <w:t>社保服务进万家</w:t>
      </w:r>
      <w:r>
        <w:rPr>
          <w:rFonts w:hint="eastAsia" w:ascii="方正仿宋_GBK" w:hAnsi="方正仿宋_GBK" w:eastAsia="方正仿宋_GBK" w:cs="方正仿宋_GBK"/>
          <w:color w:val="auto"/>
          <w:sz w:val="32"/>
          <w:szCs w:val="32"/>
          <w:highlight w:val="none"/>
          <w:lang w:val="en-US" w:eastAsia="zh-CN"/>
        </w:rPr>
        <w:t>”</w:t>
      </w:r>
      <w:r>
        <w:rPr>
          <w:rFonts w:hint="eastAsia" w:ascii="Times New Roman" w:hAnsi="Times New Roman" w:eastAsia="方正仿宋_GBK" w:cs="Times New Roman"/>
          <w:b w:val="0"/>
          <w:color w:val="auto"/>
          <w:kern w:val="2"/>
          <w:sz w:val="32"/>
          <w:szCs w:val="32"/>
          <w:lang w:val="en-US" w:eastAsia="zh-CN" w:bidi="ar-SA"/>
        </w:rPr>
        <w:t>等专项活动，持续推动参保扩面规模提升。</w:t>
      </w:r>
    </w:p>
    <w:p w14:paraId="2B0EFCE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15" w:name="_Toc24926"/>
      <w:r>
        <w:rPr>
          <w:rFonts w:hint="eastAsia" w:ascii="方正楷体简体" w:hAnsi="方正楷体简体" w:eastAsia="方正楷体简体" w:cs="方正楷体简体"/>
          <w:b w:val="0"/>
          <w:bCs/>
          <w:color w:val="auto"/>
          <w:kern w:val="2"/>
          <w:sz w:val="32"/>
          <w:szCs w:val="24"/>
          <w:lang w:val="en-US" w:eastAsia="zh-CN" w:bidi="ar-SA"/>
        </w:rPr>
        <w:t>第三节 健全社保基金监管和风险防控机制</w:t>
      </w:r>
      <w:bookmarkEnd w:id="15"/>
    </w:p>
    <w:p w14:paraId="6D6DBA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b w:val="0"/>
          <w:bCs w:val="0"/>
          <w:color w:val="auto"/>
          <w:sz w:val="32"/>
          <w:szCs w:val="32"/>
          <w:lang w:val="en-US" w:eastAsia="zh-CN"/>
        </w:rPr>
      </w:pPr>
      <w:r>
        <w:rPr>
          <w:rFonts w:hint="eastAsia" w:ascii="方正仿宋_GBK" w:hAnsi="方正仿宋_GBK" w:eastAsia="方正仿宋_GBK" w:cs="方正仿宋_GBK"/>
          <w:color w:val="auto"/>
          <w:highlight w:val="none"/>
          <w:lang w:val="en-US" w:eastAsia="zh-CN"/>
        </w:rPr>
        <w:t>持续</w:t>
      </w:r>
      <w:r>
        <w:rPr>
          <w:rFonts w:hint="eastAsia" w:ascii="方正仿宋_GBK" w:hAnsi="方正仿宋_GBK" w:eastAsia="方正仿宋_GBK" w:cs="方正仿宋_GBK"/>
          <w:color w:val="auto"/>
          <w:highlight w:val="none"/>
        </w:rPr>
        <w:t>优化政策、经办、信息、监督</w:t>
      </w:r>
      <w:r>
        <w:rPr>
          <w:rFonts w:hint="eastAsia" w:ascii="方正仿宋_GBK" w:hAnsi="方正仿宋_GBK" w:eastAsia="方正仿宋_GBK" w:cs="方正仿宋_GBK"/>
          <w:color w:val="auto"/>
          <w:highlight w:val="none"/>
          <w:lang w:eastAsia="zh-CN"/>
        </w:rPr>
        <w:t>、宣传</w:t>
      </w:r>
      <w:r>
        <w:rPr>
          <w:rFonts w:hint="eastAsia" w:ascii="方正仿宋_GBK" w:hAnsi="方正仿宋_GBK" w:eastAsia="方正仿宋_GBK" w:cs="方正仿宋_GBK"/>
          <w:color w:val="auto"/>
          <w:highlight w:val="none"/>
        </w:rPr>
        <w:t>“</w:t>
      </w:r>
      <w:r>
        <w:rPr>
          <w:rFonts w:hint="eastAsia" w:ascii="方正仿宋_GBK" w:hAnsi="方正仿宋_GBK" w:eastAsia="方正仿宋_GBK" w:cs="方正仿宋_GBK"/>
          <w:color w:val="auto"/>
          <w:highlight w:val="none"/>
          <w:lang w:eastAsia="zh-CN"/>
        </w:rPr>
        <w:t>五</w:t>
      </w:r>
      <w:r>
        <w:rPr>
          <w:rFonts w:hint="eastAsia" w:ascii="方正仿宋_GBK" w:hAnsi="方正仿宋_GBK" w:eastAsia="方正仿宋_GBK" w:cs="方正仿宋_GBK"/>
          <w:color w:val="auto"/>
          <w:highlight w:val="none"/>
        </w:rPr>
        <w:t>位一体”风险防控机制。发挥人防、制防、技防、群防协同效能，加强对社保基金全链条、全过程监管。构建非现场监督规则库，扩大监督规则覆盖业务场景范围，搭建覆盖事前预警、事中拦截、事后溯源的闭环监管体系</w:t>
      </w:r>
      <w:r>
        <w:rPr>
          <w:rFonts w:hint="eastAsia" w:ascii="方正仿宋_GBK" w:hAnsi="方正仿宋_GBK" w:eastAsia="方正仿宋_GBK" w:cs="方正仿宋_GBK"/>
          <w:color w:val="auto"/>
          <w:highlight w:val="none"/>
          <w:lang w:eastAsia="zh-CN"/>
        </w:rPr>
        <w:t>。</w:t>
      </w:r>
      <w:r>
        <w:rPr>
          <w:rFonts w:hint="eastAsia" w:ascii="方正仿宋_GBK" w:hAnsi="方正仿宋_GBK" w:eastAsia="方正仿宋_GBK" w:cs="方正仿宋_GBK"/>
          <w:color w:val="auto"/>
          <w:highlight w:val="none"/>
        </w:rPr>
        <w:t>依托自治区社保基金监管系统和新疆数字人社一体化信息平台，加强动态监测与智能预警核查，提升系统风险防控能力。做好社会保险欺诈行刑衔接、行纪衔接。畅通监督举报渠道，落实举报奖励制度，持续调动全民参与社保基金监督的积极性。</w:t>
      </w:r>
    </w:p>
    <w:p w14:paraId="103E4C7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16" w:name="_Toc23399"/>
      <w:r>
        <w:rPr>
          <w:rFonts w:hint="eastAsia" w:ascii="方正楷体简体" w:hAnsi="方正楷体简体" w:eastAsia="方正楷体简体" w:cs="方正楷体简体"/>
          <w:b w:val="0"/>
          <w:bCs/>
          <w:color w:val="auto"/>
          <w:kern w:val="2"/>
          <w:sz w:val="32"/>
          <w:szCs w:val="24"/>
          <w:lang w:val="en-US" w:eastAsia="zh-CN" w:bidi="ar-SA"/>
        </w:rPr>
        <w:t>加强社会保险经办服务现代化建设</w:t>
      </w:r>
      <w:bookmarkEnd w:id="16"/>
    </w:p>
    <w:p w14:paraId="6AC1D3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strike w:val="0"/>
          <w:dstrike w:val="0"/>
          <w:color w:val="auto"/>
          <w:sz w:val="32"/>
          <w:szCs w:val="32"/>
          <w:highlight w:val="none"/>
          <w:lang w:val="en-US" w:eastAsia="zh-CN"/>
        </w:rPr>
        <w:t>全面落实“全疆通办”</w:t>
      </w:r>
      <w:r>
        <w:rPr>
          <w:rFonts w:hint="eastAsia" w:ascii="方正仿宋_GBK" w:hAnsi="方正仿宋_GBK" w:eastAsia="方正仿宋_GBK" w:cs="方正仿宋_GBK"/>
          <w:color w:val="auto"/>
          <w:sz w:val="32"/>
          <w:szCs w:val="32"/>
          <w:highlight w:val="none"/>
          <w:lang w:val="en-US" w:eastAsia="zh-CN"/>
        </w:rPr>
        <w:t>“兵地通办”</w:t>
      </w:r>
      <w:r>
        <w:rPr>
          <w:rFonts w:hint="eastAsia" w:ascii="方正仿宋_GBK" w:hAnsi="方正仿宋_GBK" w:eastAsia="方正仿宋_GBK" w:cs="方正仿宋_GBK"/>
          <w:strike w:val="0"/>
          <w:dstrike w:val="0"/>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lang w:val="en-US" w:eastAsia="zh-CN"/>
        </w:rPr>
        <w:t>跨省通办”社保服务事项。推进基本养老保险、失业保险关系转移接续</w:t>
      </w:r>
      <w:r>
        <w:rPr>
          <w:rFonts w:hint="eastAsia" w:ascii="方正仿宋_GBK" w:hAnsi="方正仿宋_GBK" w:eastAsia="方正仿宋_GBK" w:cs="方正仿宋_GBK"/>
          <w:color w:val="auto"/>
        </w:rPr>
        <w:t>。</w:t>
      </w:r>
      <w:r>
        <w:rPr>
          <w:rFonts w:hint="eastAsia" w:ascii="方正仿宋_GBK" w:hAnsi="方正仿宋_GBK" w:eastAsia="方正仿宋_GBK" w:cs="方正仿宋_GBK"/>
          <w:color w:val="auto"/>
          <w:sz w:val="32"/>
          <w:szCs w:val="32"/>
          <w:highlight w:val="none"/>
          <w:u w:val="none"/>
          <w:lang w:val="en-US" w:eastAsia="zh-CN"/>
        </w:rPr>
        <w:t>提升社会保险经办服务数智化水平，</w:t>
      </w:r>
      <w:r>
        <w:rPr>
          <w:rFonts w:hint="eastAsia" w:ascii="方正仿宋_GBK" w:hAnsi="方正仿宋_GBK" w:eastAsia="方正仿宋_GBK" w:cs="方正仿宋_GBK"/>
          <w:b w:val="0"/>
          <w:bCs w:val="0"/>
          <w:color w:val="auto"/>
          <w:sz w:val="32"/>
          <w:szCs w:val="32"/>
          <w:highlight w:val="none"/>
          <w:u w:val="none"/>
          <w:lang w:val="en-US" w:eastAsia="zh-CN"/>
        </w:rPr>
        <w:t>推动高频业务智能办理。持续开展历史业务纸质档案数字化工作，推行电子档案单套制管理模式。</w:t>
      </w:r>
      <w:r>
        <w:rPr>
          <w:rFonts w:hint="eastAsia" w:ascii="方正仿宋_GBK" w:hAnsi="方正仿宋_GBK" w:eastAsia="方正仿宋_GBK" w:cs="方正仿宋_GBK"/>
          <w:color w:val="auto"/>
          <w:sz w:val="32"/>
          <w:szCs w:val="32"/>
          <w:highlight w:val="none"/>
          <w:lang w:val="en-US" w:eastAsia="zh-CN"/>
        </w:rPr>
        <w:t>健全市、区（县）、街道（乡镇）、社区（村）四级社保服务网络协同机制。依托“乌鲁木齐社保”微信公众号、“社保百事通”“云总机”、社</w:t>
      </w:r>
      <w:r>
        <w:rPr>
          <w:rFonts w:hint="eastAsia" w:ascii="方正仿宋_GBK" w:hAnsi="方正仿宋_GBK" w:eastAsia="方正仿宋_GBK" w:cs="方正仿宋_GBK"/>
          <w:color w:val="auto"/>
          <w:sz w:val="32"/>
          <w:szCs w:val="32"/>
          <w:highlight w:val="none"/>
          <w:u w:val="none"/>
          <w:lang w:val="en-US" w:eastAsia="zh-CN"/>
        </w:rPr>
        <w:t>银合作网点拓宽服务渠道，打造“管家式”全周期服务模式，推动服务供给从“高效办结”向“暖心服务”升级。打造“社保规划师”团队，为参保单位和群众提供定制化、全周期的参保规划与权益指导。</w:t>
      </w:r>
    </w:p>
    <w:tbl>
      <w:tblPr>
        <w:tblStyle w:val="21"/>
        <w:tblpPr w:leftFromText="180" w:rightFromText="180" w:vertAnchor="text" w:horzAnchor="page" w:tblpXSpec="center" w:tblpY="15"/>
        <w:tblOverlap w:val="never"/>
        <w:tblW w:w="50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4"/>
      </w:tblGrid>
      <w:tr w14:paraId="67E7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13C3AA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center"/>
              <w:textAlignment w:val="auto"/>
              <w:outlineLvl w:val="9"/>
              <w:rPr>
                <w:rFonts w:hint="eastAsia" w:ascii="方正仿宋_GBK" w:hAnsi="方正仿宋_GBK" w:eastAsia="方正仿宋_GBK" w:cs="方正仿宋_GBK"/>
                <w:b w:val="0"/>
                <w:bCs w:val="0"/>
                <w:color w:val="auto"/>
                <w:sz w:val="32"/>
                <w:szCs w:val="32"/>
                <w:vertAlign w:val="baseline"/>
                <w:lang w:val="en-US" w:eastAsia="zh-CN"/>
              </w:rPr>
            </w:pPr>
            <w:r>
              <w:rPr>
                <w:rFonts w:hint="eastAsia" w:ascii="方正黑体_GBK" w:hAnsi="方正黑体_GBK" w:eastAsia="方正黑体_GBK" w:cs="方正黑体_GBK"/>
                <w:b w:val="0"/>
                <w:bCs w:val="0"/>
                <w:color w:val="auto"/>
                <w:sz w:val="24"/>
                <w:szCs w:val="24"/>
                <w:lang w:val="en-US" w:eastAsia="zh-CN"/>
              </w:rPr>
              <w:t>专栏</w:t>
            </w:r>
            <w:r>
              <w:rPr>
                <w:rFonts w:hint="default" w:ascii="Times New Roman" w:hAnsi="Times New Roman" w:eastAsia="方正黑体_GBK" w:cs="Times New Roman"/>
                <w:b w:val="0"/>
                <w:bCs w:val="0"/>
                <w:color w:val="auto"/>
                <w:sz w:val="24"/>
                <w:szCs w:val="24"/>
                <w:lang w:val="en-US" w:eastAsia="zh-CN"/>
              </w:rPr>
              <w:t xml:space="preserve">9 </w:t>
            </w:r>
            <w:r>
              <w:rPr>
                <w:rFonts w:hint="eastAsia" w:ascii="方正黑体_GBK" w:hAnsi="方正黑体_GBK" w:eastAsia="方正黑体_GBK" w:cs="方正黑体_GBK"/>
                <w:b w:val="0"/>
                <w:bCs w:val="0"/>
                <w:color w:val="auto"/>
                <w:sz w:val="24"/>
                <w:szCs w:val="24"/>
                <w:lang w:val="en-US" w:eastAsia="zh-CN"/>
              </w:rPr>
              <w:t>社会保险提质增效行动</w:t>
            </w:r>
          </w:p>
        </w:tc>
      </w:tr>
      <w:tr w14:paraId="1060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5000" w:type="pct"/>
          </w:tcPr>
          <w:p w14:paraId="582FAE5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Chars="0" w:right="0" w:rightChars="0" w:firstLine="482" w:firstLineChars="200"/>
              <w:jc w:val="both"/>
              <w:textAlignment w:val="auto"/>
              <w:outlineLvl w:val="9"/>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b/>
                <w:bCs/>
                <w:color w:val="auto"/>
                <w:sz w:val="24"/>
                <w:szCs w:val="24"/>
                <w:lang w:val="en-US" w:eastAsia="zh-CN"/>
              </w:rPr>
              <w:t>1.实施企业养老保险退休审核优化提升行动。</w:t>
            </w:r>
            <w:r>
              <w:rPr>
                <w:rFonts w:hint="eastAsia" w:ascii="Times New Roman" w:hAnsi="Times New Roman" w:eastAsia="方正仿宋_GBK" w:cs="Times New Roman"/>
                <w:color w:val="auto"/>
                <w:sz w:val="24"/>
                <w:szCs w:val="24"/>
                <w:lang w:val="en-US" w:eastAsia="zh-CN"/>
              </w:rPr>
              <w:t>推行</w:t>
            </w:r>
            <w:r>
              <w:rPr>
                <w:rFonts w:hint="default" w:ascii="Times New Roman" w:hAnsi="Times New Roman" w:eastAsia="方正仿宋_GBK" w:cs="Times New Roman"/>
                <w:color w:val="auto"/>
                <w:sz w:val="24"/>
                <w:szCs w:val="24"/>
                <w:lang w:val="en-US" w:eastAsia="zh-CN"/>
              </w:rPr>
              <w:t>无风控提示业务自动审核</w:t>
            </w:r>
            <w:r>
              <w:rPr>
                <w:rFonts w:hint="eastAsia" w:ascii="Times New Roman" w:hAnsi="Times New Roman" w:eastAsia="方正仿宋_GBK" w:cs="Times New Roman"/>
                <w:color w:val="auto"/>
                <w:sz w:val="24"/>
                <w:szCs w:val="24"/>
                <w:lang w:val="en-US" w:eastAsia="zh-CN"/>
              </w:rPr>
              <w:t>，</w:t>
            </w:r>
            <w:r>
              <w:rPr>
                <w:rFonts w:hint="default" w:ascii="Times New Roman" w:hAnsi="Times New Roman" w:eastAsia="方正仿宋_GBK" w:cs="Times New Roman"/>
                <w:color w:val="auto"/>
                <w:sz w:val="24"/>
                <w:szCs w:val="24"/>
                <w:lang w:val="en-US" w:eastAsia="zh-CN"/>
              </w:rPr>
              <w:t>提升审核效率</w:t>
            </w:r>
            <w:r>
              <w:rPr>
                <w:rFonts w:hint="eastAsia" w:ascii="Times New Roman" w:hAnsi="Times New Roman" w:eastAsia="方正仿宋_GBK" w:cs="Times New Roman"/>
                <w:color w:val="auto"/>
                <w:sz w:val="24"/>
                <w:szCs w:val="24"/>
                <w:lang w:val="en-US" w:eastAsia="zh-CN"/>
              </w:rPr>
              <w:t>。</w:t>
            </w:r>
          </w:p>
          <w:p w14:paraId="6F642B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b/>
                <w:bCs/>
                <w:color w:val="auto"/>
                <w:sz w:val="24"/>
                <w:szCs w:val="24"/>
                <w:lang w:val="en-US" w:eastAsia="zh-CN"/>
              </w:rPr>
              <w:t>2.开展新就业形态人员职业伤害保障试点。</w:t>
            </w:r>
            <w:r>
              <w:rPr>
                <w:rFonts w:hint="default" w:ascii="Times New Roman" w:hAnsi="Times New Roman" w:eastAsia="方正仿宋_GBK" w:cs="Times New Roman"/>
                <w:color w:val="auto"/>
                <w:sz w:val="24"/>
                <w:szCs w:val="24"/>
                <w:lang w:val="en-US" w:eastAsia="zh-CN"/>
              </w:rPr>
              <w:t>优化职业伤害确认、劳动能力鉴定、待遇核定及发放</w:t>
            </w:r>
            <w:r>
              <w:rPr>
                <w:rFonts w:hint="eastAsia" w:ascii="Times New Roman" w:hAnsi="Times New Roman" w:eastAsia="方正仿宋_GBK" w:cs="Times New Roman"/>
                <w:color w:val="auto"/>
                <w:sz w:val="24"/>
                <w:szCs w:val="24"/>
                <w:lang w:val="en-US" w:eastAsia="zh-CN"/>
              </w:rPr>
              <w:t>全</w:t>
            </w:r>
            <w:r>
              <w:rPr>
                <w:rFonts w:hint="default" w:ascii="Times New Roman" w:hAnsi="Times New Roman" w:eastAsia="方正仿宋_GBK" w:cs="Times New Roman"/>
                <w:color w:val="auto"/>
                <w:sz w:val="24"/>
                <w:szCs w:val="24"/>
                <w:lang w:val="en-US" w:eastAsia="zh-CN"/>
              </w:rPr>
              <w:t>流程，提升经办服务效率。</w:t>
            </w:r>
          </w:p>
          <w:p w14:paraId="75C327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b/>
                <w:bCs/>
                <w:color w:val="auto"/>
                <w:sz w:val="24"/>
                <w:szCs w:val="24"/>
                <w:lang w:val="en-US" w:eastAsia="zh-CN"/>
              </w:rPr>
              <w:t>3.开展全民参保质量提升</w:t>
            </w:r>
            <w:r>
              <w:rPr>
                <w:rFonts w:hint="default" w:ascii="Times New Roman" w:hAnsi="Times New Roman" w:eastAsia="方正仿宋_GBK" w:cs="Times New Roman"/>
                <w:b/>
                <w:bCs/>
                <w:color w:val="auto"/>
                <w:sz w:val="24"/>
                <w:szCs w:val="24"/>
                <w:lang w:val="en-US" w:eastAsia="zh-CN"/>
              </w:rPr>
              <w:t>行动。</w:t>
            </w:r>
            <w:r>
              <w:rPr>
                <w:rFonts w:hint="eastAsia" w:ascii="方正仿宋_GBK" w:hAnsi="方正仿宋_GBK" w:eastAsia="方正仿宋_GBK" w:cs="方正仿宋_GBK"/>
                <w:color w:val="auto"/>
                <w:sz w:val="24"/>
                <w:szCs w:val="24"/>
                <w:lang w:val="en-US" w:eastAsia="zh-CN"/>
              </w:rPr>
              <w:t>开展“数据找人”精</w:t>
            </w:r>
            <w:r>
              <w:rPr>
                <w:rFonts w:hint="default" w:ascii="Times New Roman" w:hAnsi="Times New Roman" w:eastAsia="方正仿宋_GBK" w:cs="Times New Roman"/>
                <w:color w:val="auto"/>
                <w:sz w:val="24"/>
                <w:szCs w:val="24"/>
                <w:lang w:val="en-US" w:eastAsia="zh-CN"/>
              </w:rPr>
              <w:t>准扩面，提供政策推送和社保规划服务</w:t>
            </w:r>
            <w:r>
              <w:rPr>
                <w:rFonts w:hint="eastAsia" w:ascii="Times New Roman" w:hAnsi="Times New Roman" w:eastAsia="方正仿宋_GBK" w:cs="Times New Roman"/>
                <w:color w:val="auto"/>
                <w:sz w:val="24"/>
                <w:szCs w:val="24"/>
                <w:lang w:val="en-US" w:eastAsia="zh-CN"/>
              </w:rPr>
              <w:t>，强化</w:t>
            </w:r>
            <w:r>
              <w:rPr>
                <w:rFonts w:hint="default" w:ascii="Times New Roman" w:hAnsi="Times New Roman" w:eastAsia="方正仿宋_GBK" w:cs="Times New Roman"/>
                <w:color w:val="auto"/>
                <w:sz w:val="24"/>
                <w:szCs w:val="24"/>
                <w:lang w:val="en-US" w:eastAsia="zh-CN"/>
              </w:rPr>
              <w:t>数据治理，</w:t>
            </w:r>
            <w:r>
              <w:rPr>
                <w:rFonts w:hint="eastAsia" w:ascii="Times New Roman" w:hAnsi="Times New Roman" w:eastAsia="方正仿宋_GBK" w:cs="Times New Roman"/>
                <w:color w:val="auto"/>
                <w:sz w:val="24"/>
                <w:szCs w:val="24"/>
                <w:lang w:val="en-US" w:eastAsia="zh-CN"/>
              </w:rPr>
              <w:t>推动高质量参保</w:t>
            </w:r>
            <w:r>
              <w:rPr>
                <w:rFonts w:hint="default" w:ascii="Times New Roman" w:hAnsi="Times New Roman" w:eastAsia="方正仿宋_GBK" w:cs="Times New Roman"/>
                <w:color w:val="auto"/>
                <w:sz w:val="24"/>
                <w:szCs w:val="24"/>
                <w:lang w:val="en-US" w:eastAsia="zh-CN"/>
              </w:rPr>
              <w:t>。</w:t>
            </w:r>
          </w:p>
          <w:p w14:paraId="7BD8F4E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b/>
                <w:bCs/>
                <w:color w:val="auto"/>
                <w:sz w:val="24"/>
                <w:szCs w:val="24"/>
                <w:lang w:val="en-US" w:eastAsia="zh-CN"/>
              </w:rPr>
              <w:t>4.</w:t>
            </w:r>
            <w:r>
              <w:rPr>
                <w:rFonts w:hint="default" w:ascii="Times New Roman" w:hAnsi="Times New Roman" w:eastAsia="方正仿宋_GBK" w:cs="Times New Roman"/>
                <w:b/>
                <w:bCs/>
                <w:color w:val="auto"/>
                <w:sz w:val="24"/>
                <w:szCs w:val="24"/>
                <w:lang w:val="en-US" w:eastAsia="zh-CN"/>
              </w:rPr>
              <w:t>建立长期护理失能评定线上评审机制。</w:t>
            </w:r>
            <w:r>
              <w:rPr>
                <w:rFonts w:hint="default" w:ascii="Times New Roman" w:hAnsi="Times New Roman" w:eastAsia="方正仿宋_GBK" w:cs="Times New Roman"/>
                <w:color w:val="auto"/>
                <w:sz w:val="24"/>
                <w:szCs w:val="24"/>
                <w:lang w:val="en-US" w:eastAsia="zh-CN"/>
              </w:rPr>
              <w:t>打造长护险失能评定线上系统，完成专家评定会议、公示送达流程网上办理，推动长期护理保险制度落地落实。</w:t>
            </w:r>
          </w:p>
        </w:tc>
      </w:tr>
    </w:tbl>
    <w:p w14:paraId="5084D8A0">
      <w:pPr>
        <w:keepNext w:val="0"/>
        <w:keepLines w:val="0"/>
        <w:pageBreakBefore w:val="0"/>
        <w:widowControl w:val="0"/>
        <w:numPr>
          <w:ilvl w:val="0"/>
          <w:numId w:val="0"/>
        </w:numPr>
        <w:tabs>
          <w:tab w:val="left" w:pos="572"/>
        </w:tabs>
        <w:kinsoku/>
        <w:wordWrap/>
        <w:overflowPunct/>
        <w:topLinePunct w:val="0"/>
        <w:autoSpaceDE/>
        <w:autoSpaceDN/>
        <w:bidi w:val="0"/>
        <w:adjustRightInd/>
        <w:snapToGrid/>
        <w:spacing w:line="560" w:lineRule="exact"/>
        <w:jc w:val="center"/>
        <w:textAlignment w:val="auto"/>
        <w:outlineLvl w:val="0"/>
        <w:rPr>
          <w:rFonts w:hint="eastAsia" w:ascii="方正黑体_GBK" w:hAnsi="方正黑体_GBK" w:eastAsia="方正黑体_GBK" w:cs="方正黑体_GBK"/>
          <w:sz w:val="32"/>
          <w:szCs w:val="32"/>
          <w:lang w:val="en-US" w:eastAsia="zh-CN"/>
        </w:rPr>
      </w:pPr>
    </w:p>
    <w:p w14:paraId="1993C38F">
      <w:pPr>
        <w:keepNext w:val="0"/>
        <w:keepLines w:val="0"/>
        <w:pageBreakBefore w:val="0"/>
        <w:widowControl w:val="0"/>
        <w:numPr>
          <w:ilvl w:val="0"/>
          <w:numId w:val="0"/>
        </w:numPr>
        <w:tabs>
          <w:tab w:val="left" w:pos="572"/>
        </w:tabs>
        <w:kinsoku/>
        <w:wordWrap/>
        <w:overflowPunct/>
        <w:topLinePunct w:val="0"/>
        <w:autoSpaceDE/>
        <w:autoSpaceDN/>
        <w:bidi w:val="0"/>
        <w:adjustRightInd/>
        <w:snapToGrid/>
        <w:spacing w:line="560" w:lineRule="exact"/>
        <w:jc w:val="center"/>
        <w:textAlignment w:val="auto"/>
        <w:outlineLvl w:val="0"/>
        <w:rPr>
          <w:rFonts w:hint="eastAsia" w:ascii="方正黑体_GBK" w:hAnsi="方正黑体_GBK" w:eastAsia="方正黑体_GBK" w:cs="方正黑体_GBK"/>
          <w:sz w:val="32"/>
          <w:szCs w:val="32"/>
          <w:lang w:val="en-US" w:eastAsia="zh-CN"/>
        </w:rPr>
      </w:pPr>
      <w:bookmarkStart w:id="17" w:name="_Toc897"/>
      <w:r>
        <w:rPr>
          <w:rFonts w:hint="eastAsia" w:ascii="方正黑体_GBK" w:hAnsi="方正黑体_GBK" w:eastAsia="方正黑体_GBK" w:cs="方正黑体_GBK"/>
          <w:sz w:val="32"/>
          <w:szCs w:val="32"/>
          <w:lang w:val="en-US" w:eastAsia="zh-CN"/>
        </w:rPr>
        <w:t>第四章 实施人才强市战略，激发创新发展活力</w:t>
      </w:r>
      <w:bookmarkEnd w:id="17"/>
    </w:p>
    <w:p w14:paraId="54EE9CD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Lines="0" w:beforeAutospacing="0" w:afterLines="0" w:afterAutospacing="0" w:line="560" w:lineRule="exact"/>
        <w:ind w:left="0" w:leftChars="0" w:firstLine="640" w:firstLineChars="200"/>
        <w:jc w:val="left"/>
        <w:textAlignment w:val="auto"/>
        <w:outlineLvl w:val="9"/>
        <w:rPr>
          <w:rFonts w:hint="eastAsia" w:ascii="Times New Roman" w:hAnsi="Times New Roman" w:eastAsia="方正仿宋_GBK" w:cs="Times New Roman"/>
          <w:b w:val="0"/>
          <w:bCs w:val="0"/>
          <w:color w:val="auto"/>
          <w:kern w:val="0"/>
          <w:sz w:val="32"/>
          <w:szCs w:val="32"/>
          <w:shd w:val="clear" w:color="auto" w:fill="FFFFFF"/>
          <w:lang w:val="en-US" w:eastAsia="zh-CN" w:bidi="ar-SA"/>
        </w:rPr>
      </w:pPr>
      <w:r>
        <w:rPr>
          <w:rFonts w:hint="eastAsia" w:ascii="Times New Roman" w:hAnsi="Times New Roman" w:eastAsia="方正仿宋_GBK" w:cs="Times New Roman"/>
          <w:b w:val="0"/>
          <w:bCs w:val="0"/>
          <w:color w:val="auto"/>
          <w:kern w:val="0"/>
          <w:sz w:val="32"/>
          <w:szCs w:val="32"/>
          <w:shd w:val="clear" w:color="auto" w:fill="FFFFFF"/>
          <w:lang w:val="en-US" w:eastAsia="zh-CN" w:bidi="ar-SA"/>
        </w:rPr>
        <w:t>坚持党管人才原则，紧扣人才强市战略部署，抓好事业单位人事制度改革，不断完善人才引育制度体系，聚力建设区域性人才高地，赋能首府经济社会高质量发展。</w:t>
      </w:r>
    </w:p>
    <w:p w14:paraId="4A2633AC">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Lines="0" w:beforeAutospacing="0" w:afterLines="0" w:afterAutospacing="0" w:line="560" w:lineRule="exact"/>
        <w:jc w:val="center"/>
        <w:textAlignment w:val="auto"/>
        <w:outlineLvl w:val="1"/>
        <w:rPr>
          <w:rFonts w:hint="eastAsia" w:ascii="方正楷体简体" w:hAnsi="方正楷体简体" w:eastAsia="方正楷体简体" w:cs="方正楷体简体"/>
          <w:b w:val="0"/>
          <w:bCs w:val="0"/>
          <w:color w:val="auto"/>
          <w:kern w:val="0"/>
          <w:sz w:val="32"/>
          <w:szCs w:val="32"/>
          <w:shd w:val="clear" w:color="auto" w:fill="FFFFFF"/>
          <w:lang w:val="en-US" w:eastAsia="zh-CN" w:bidi="ar-SA"/>
        </w:rPr>
      </w:pPr>
      <w:bookmarkStart w:id="18" w:name="_Toc7679"/>
      <w:r>
        <w:rPr>
          <w:rFonts w:hint="eastAsia" w:ascii="方正楷体简体" w:hAnsi="方正楷体简体" w:eastAsia="方正楷体简体" w:cs="方正楷体简体"/>
          <w:b w:val="0"/>
          <w:bCs w:val="0"/>
          <w:color w:val="auto"/>
          <w:kern w:val="0"/>
          <w:sz w:val="32"/>
          <w:szCs w:val="32"/>
          <w:shd w:val="clear" w:color="auto" w:fill="FFFFFF"/>
          <w:lang w:val="en-US" w:eastAsia="zh-CN" w:bidi="ar-SA"/>
        </w:rPr>
        <w:t>第一节 强化专业技术人才培育</w:t>
      </w:r>
      <w:bookmarkEnd w:id="18"/>
    </w:p>
    <w:p w14:paraId="296C81AC">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Lines="0" w:beforeAutospacing="0" w:afterLines="0" w:afterAutospacing="0" w:line="560" w:lineRule="exact"/>
        <w:ind w:leftChars="0" w:firstLine="640" w:firstLineChars="200"/>
        <w:jc w:val="both"/>
        <w:textAlignment w:val="auto"/>
        <w:outlineLvl w:val="9"/>
        <w:rPr>
          <w:rFonts w:hint="default" w:ascii="Times New Roman" w:hAnsi="Times New Roman" w:eastAsia="方正仿宋_GBK" w:cs="Times New Roman"/>
          <w:b w:val="0"/>
          <w:bCs w:val="0"/>
          <w:color w:val="auto"/>
          <w:kern w:val="0"/>
          <w:sz w:val="32"/>
          <w:szCs w:val="32"/>
          <w:shd w:val="clear" w:color="auto" w:fill="FFFFFF"/>
          <w:lang w:val="en-US" w:eastAsia="zh-CN" w:bidi="ar-SA"/>
        </w:rPr>
      </w:pPr>
      <w:r>
        <w:rPr>
          <w:rFonts w:hint="eastAsia" w:ascii="Times New Roman" w:hAnsi="Times New Roman" w:eastAsia="方正仿宋_GBK" w:cs="Times New Roman"/>
          <w:b w:val="0"/>
          <w:bCs w:val="0"/>
          <w:color w:val="auto"/>
          <w:kern w:val="0"/>
          <w:sz w:val="32"/>
          <w:szCs w:val="32"/>
          <w:shd w:val="clear" w:color="auto" w:fill="FFFFFF"/>
          <w:lang w:val="en-US" w:eastAsia="zh-CN" w:bidi="ar-SA"/>
        </w:rPr>
        <w:t>持续深化职称制度改革，以创新能力、质量、实效、贡献为评价导向，不断拓宽专业技术人员职称申报渠道，支持具备条件的企事业单位特别是民营企业开展职称自主评审，构建“产业需求—人才培养—价值认定”良性评价体系。发挥</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人才</w:t>
      </w:r>
      <w:r>
        <w:rPr>
          <w:rFonts w:hint="eastAsia" w:ascii="Times New Roman" w:hAnsi="Times New Roman" w:eastAsia="方正仿宋_GBK" w:cs="Times New Roman"/>
          <w:b w:val="0"/>
          <w:bCs w:val="0"/>
          <w:color w:val="auto"/>
          <w:kern w:val="0"/>
          <w:sz w:val="32"/>
          <w:szCs w:val="32"/>
          <w:shd w:val="clear" w:color="auto" w:fill="FFFFFF"/>
          <w:lang w:val="en-US" w:eastAsia="zh-CN" w:bidi="ar-SA"/>
        </w:rPr>
        <w:t>计划示范作用，落实享受国务院颁发特殊津贴人员、少数民族专业技术人才特殊培养计划、自治区政府特殊津贴人员、乌鲁木齐市“红山英才”计划等重点人才工程。锚定首府重点产业，构筑分层递进的人才引育体系。加大博士后工作扶持力度，支持企事业单位申创博士后工作站，对新设立的博士后工作站和进站博士给予专项支持，指导博士后工作站参加国家、自治区博士后创新创业大赛。深化产学研一体化，聚焦科研成果产业化落地，打造深度协同创新链条。</w:t>
      </w:r>
    </w:p>
    <w:tbl>
      <w:tblPr>
        <w:tblStyle w:val="21"/>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1"/>
      </w:tblGrid>
      <w:tr w14:paraId="4CA1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01" w:type="dxa"/>
            <w:noWrap w:val="0"/>
            <w:vAlign w:val="top"/>
          </w:tcPr>
          <w:p w14:paraId="32893382">
            <w:pPr>
              <w:keepNext/>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Autospacing="0" w:afterAutospacing="0" w:line="360" w:lineRule="auto"/>
              <w:ind w:left="0" w:leftChars="0" w:firstLine="0" w:firstLineChars="0"/>
              <w:jc w:val="center"/>
              <w:textAlignment w:val="auto"/>
              <w:outlineLvl w:val="9"/>
              <w:rPr>
                <w:rFonts w:hint="eastAsia" w:ascii="方正仿宋_GBK" w:hAnsi="方正仿宋_GBK" w:eastAsia="方正仿宋_GBK" w:cs="方正仿宋_GBK"/>
                <w:b w:val="0"/>
                <w:bCs w:val="0"/>
                <w:color w:val="auto"/>
                <w:sz w:val="32"/>
                <w:szCs w:val="32"/>
                <w:vertAlign w:val="baseline"/>
                <w:lang w:val="en-US" w:eastAsia="zh-CN"/>
              </w:rPr>
            </w:pPr>
            <w:r>
              <w:rPr>
                <w:rFonts w:hint="eastAsia" w:ascii="方正黑体_GBK" w:hAnsi="方正黑体_GBK" w:eastAsia="方正黑体_GBK" w:cs="方正黑体_GBK"/>
                <w:b w:val="0"/>
                <w:bCs w:val="0"/>
                <w:color w:val="auto"/>
                <w:sz w:val="24"/>
                <w:szCs w:val="24"/>
                <w:lang w:val="en-US" w:eastAsia="zh-CN"/>
              </w:rPr>
              <w:t>专栏</w:t>
            </w:r>
            <w:r>
              <w:rPr>
                <w:rFonts w:hint="eastAsia" w:ascii="Times New Roman" w:hAnsi="Times New Roman" w:eastAsia="方正黑体_GBK" w:cs="Times New Roman"/>
                <w:b w:val="0"/>
                <w:bCs w:val="0"/>
                <w:color w:val="auto"/>
                <w:sz w:val="24"/>
                <w:szCs w:val="24"/>
                <w:lang w:val="en-US" w:eastAsia="zh-CN"/>
              </w:rPr>
              <w:t xml:space="preserve">10 </w:t>
            </w:r>
            <w:r>
              <w:rPr>
                <w:rFonts w:hint="eastAsia" w:ascii="方正黑体_GBK" w:hAnsi="方正黑体_GBK" w:eastAsia="方正黑体_GBK" w:cs="方正黑体_GBK"/>
                <w:b w:val="0"/>
                <w:bCs w:val="0"/>
                <w:color w:val="auto"/>
                <w:sz w:val="24"/>
                <w:szCs w:val="24"/>
                <w:lang w:val="en-US" w:eastAsia="zh-CN"/>
              </w:rPr>
              <w:t>专业技术人才引育行动</w:t>
            </w:r>
          </w:p>
        </w:tc>
      </w:tr>
      <w:tr w14:paraId="2EE8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1" w:type="dxa"/>
            <w:noWrap w:val="0"/>
            <w:vAlign w:val="top"/>
          </w:tcPr>
          <w:p w14:paraId="52684B65">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b/>
                <w:bCs/>
                <w:color w:val="auto"/>
                <w:sz w:val="24"/>
                <w:szCs w:val="24"/>
                <w:lang w:val="en-US" w:eastAsia="zh-CN"/>
              </w:rPr>
              <w:t>1.</w:t>
            </w:r>
            <w:r>
              <w:rPr>
                <w:rFonts w:hint="eastAsia" w:ascii="Times New Roman" w:hAnsi="Times New Roman" w:eastAsia="方正仿宋_GBK" w:cs="Times New Roman"/>
                <w:b/>
                <w:bCs/>
                <w:color w:val="auto"/>
                <w:sz w:val="24"/>
                <w:szCs w:val="24"/>
                <w:lang w:val="en-US" w:eastAsia="zh-CN"/>
              </w:rPr>
              <w:t>开展职称自主评价。</w:t>
            </w:r>
            <w:r>
              <w:rPr>
                <w:rFonts w:hint="default" w:ascii="Times New Roman" w:hAnsi="Times New Roman" w:eastAsia="方正仿宋_GBK" w:cs="Times New Roman"/>
                <w:color w:val="auto"/>
                <w:sz w:val="24"/>
                <w:szCs w:val="24"/>
                <w:lang w:val="en-US" w:eastAsia="zh-CN"/>
              </w:rPr>
              <w:t>支持具备条件的企事业单位特别是民营企业开展职称自主评审，职称自主评审单位达到10家。</w:t>
            </w:r>
          </w:p>
          <w:p w14:paraId="75677E26">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b/>
                <w:bCs/>
                <w:color w:val="auto"/>
                <w:sz w:val="24"/>
                <w:szCs w:val="24"/>
                <w:lang w:val="en-US" w:eastAsia="zh-CN"/>
              </w:rPr>
              <w:t>2.</w:t>
            </w:r>
            <w:r>
              <w:rPr>
                <w:rFonts w:hint="eastAsia" w:ascii="Times New Roman" w:hAnsi="Times New Roman" w:eastAsia="方正仿宋_GBK" w:cs="Times New Roman"/>
                <w:b/>
                <w:bCs/>
                <w:color w:val="auto"/>
                <w:sz w:val="24"/>
                <w:szCs w:val="24"/>
                <w:lang w:val="en-US" w:eastAsia="zh-CN"/>
              </w:rPr>
              <w:t>博士后培养优化行动。</w:t>
            </w:r>
            <w:r>
              <w:rPr>
                <w:rFonts w:hint="default" w:ascii="Times New Roman" w:hAnsi="Times New Roman" w:eastAsia="方正仿宋_GBK" w:cs="Times New Roman"/>
                <w:color w:val="auto"/>
                <w:sz w:val="24"/>
                <w:szCs w:val="24"/>
                <w:lang w:val="en-US" w:eastAsia="zh-CN"/>
              </w:rPr>
              <w:t>支持企事业单位申创博士后工作站，博士后工作站达到62家、进站博士达到200人。</w:t>
            </w:r>
          </w:p>
          <w:p w14:paraId="78FB797E">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82" w:firstLineChars="200"/>
              <w:jc w:val="left"/>
              <w:textAlignment w:val="auto"/>
              <w:outlineLvl w:val="9"/>
              <w:rPr>
                <w:rFonts w:hint="eastAsia"/>
                <w:lang w:val="en-US" w:eastAsia="zh-CN"/>
              </w:rPr>
            </w:pPr>
            <w:r>
              <w:rPr>
                <w:rFonts w:hint="default" w:ascii="Times New Roman" w:hAnsi="Times New Roman" w:eastAsia="方正仿宋_GBK" w:cs="Times New Roman"/>
                <w:b/>
                <w:bCs/>
                <w:color w:val="auto"/>
                <w:sz w:val="24"/>
                <w:szCs w:val="24"/>
                <w:lang w:val="en-US" w:eastAsia="zh-CN"/>
              </w:rPr>
              <w:t>3.</w:t>
            </w:r>
            <w:r>
              <w:rPr>
                <w:rFonts w:hint="eastAsia" w:ascii="Times New Roman" w:hAnsi="Times New Roman" w:eastAsia="方正仿宋_GBK" w:cs="Times New Roman"/>
                <w:b/>
                <w:bCs/>
                <w:color w:val="auto"/>
                <w:sz w:val="24"/>
                <w:szCs w:val="24"/>
                <w:lang w:val="en-US" w:eastAsia="zh-CN"/>
              </w:rPr>
              <w:t>实施重点人才计划。</w:t>
            </w:r>
            <w:r>
              <w:rPr>
                <w:rFonts w:hint="default" w:ascii="Times New Roman" w:hAnsi="Times New Roman" w:eastAsia="方正仿宋_GBK" w:cs="Times New Roman"/>
                <w:color w:val="auto"/>
                <w:sz w:val="24"/>
                <w:szCs w:val="24"/>
                <w:lang w:val="en-US" w:eastAsia="zh-CN"/>
              </w:rPr>
              <w:t>利用国家、自治区和我市人才计划的人才集聚效应，拓宽人才引育渠道，入选各项人才计划达到300人。</w:t>
            </w:r>
          </w:p>
        </w:tc>
      </w:tr>
    </w:tbl>
    <w:p w14:paraId="521F9D07">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color w:val="auto"/>
          <w:kern w:val="2"/>
          <w:sz w:val="32"/>
          <w:szCs w:val="32"/>
          <w:highlight w:val="none"/>
          <w:lang w:val="en-US" w:eastAsia="zh-CN" w:bidi="ar-SA"/>
        </w:rPr>
      </w:pPr>
      <w:bookmarkStart w:id="19" w:name="_Toc21969"/>
      <w:r>
        <w:rPr>
          <w:rFonts w:hint="eastAsia" w:ascii="方正楷体简体" w:hAnsi="方正楷体简体" w:eastAsia="方正楷体简体" w:cs="方正楷体简体"/>
          <w:color w:val="auto"/>
          <w:kern w:val="2"/>
          <w:sz w:val="32"/>
          <w:szCs w:val="32"/>
          <w:highlight w:val="none"/>
          <w:lang w:val="en-US" w:eastAsia="zh-CN" w:bidi="ar-SA"/>
        </w:rPr>
        <w:t>第二节 大力推动技能人才队伍建设</w:t>
      </w:r>
      <w:bookmarkEnd w:id="19"/>
    </w:p>
    <w:p w14:paraId="525FED26">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围绕首府产业发展，不断深化技工教育改革，优化技工学校专业设置，深化产教融合、校企合作，推行“产教评”一体化发展。创新人才培养模式，深化产教融合长效机制，支持龙头企业与高校共建产教融合实训基地，推行“订单式+定制式”培养。发挥高校、技工学校在高技能人才培养中的基础作用，全面推行“学历证书+技能等级证书”制度。</w:t>
      </w:r>
    </w:p>
    <w:p w14:paraId="34EF533E">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持续实施</w:t>
      </w:r>
      <w:r>
        <w:rPr>
          <w:rFonts w:hint="eastAsia" w:ascii="方正仿宋_GBK" w:hAnsi="方正仿宋_GBK" w:eastAsia="方正仿宋_GBK" w:cs="方正仿宋_GBK"/>
          <w:b w:val="0"/>
          <w:bCs/>
          <w:color w:val="auto"/>
          <w:sz w:val="32"/>
          <w:szCs w:val="32"/>
          <w:highlight w:val="none"/>
          <w:shd w:val="clear" w:color="auto" w:fill="auto"/>
          <w:lang w:val="en-US" w:eastAsia="zh-CN"/>
        </w:rPr>
        <w:t>“新疆工匠”培养项目人选推荐</w:t>
      </w:r>
      <w:r>
        <w:rPr>
          <w:rFonts w:hint="eastAsia" w:ascii="方正仿宋_GBK" w:hAnsi="方正仿宋_GBK" w:eastAsia="方正仿宋_GBK" w:cs="方正仿宋_GBK"/>
          <w:color w:val="auto"/>
          <w:kern w:val="2"/>
          <w:sz w:val="32"/>
          <w:szCs w:val="32"/>
          <w:highlight w:val="none"/>
          <w:lang w:val="en-US" w:eastAsia="zh-CN" w:bidi="ar-SA"/>
        </w:rPr>
        <w:t>和“红山英才</w:t>
      </w:r>
      <w:r>
        <w:rPr>
          <w:rFonts w:hint="default" w:ascii="方正仿宋_GBK" w:hAnsi="方正仿宋_GBK" w:eastAsia="方正仿宋_GBK" w:cs="方正仿宋_GBK"/>
          <w:color w:val="auto"/>
          <w:kern w:val="2"/>
          <w:sz w:val="32"/>
          <w:szCs w:val="32"/>
          <w:highlight w:val="none"/>
          <w:lang w:val="en-US" w:eastAsia="zh-CN" w:bidi="ar-SA"/>
        </w:rPr>
        <w:t>”</w:t>
      </w:r>
      <w:r>
        <w:rPr>
          <w:rFonts w:hint="eastAsia" w:ascii="方正仿宋_GBK" w:hAnsi="方正仿宋_GBK" w:eastAsia="方正仿宋_GBK" w:cs="方正仿宋_GBK"/>
          <w:color w:val="auto"/>
          <w:kern w:val="2"/>
          <w:sz w:val="32"/>
          <w:szCs w:val="32"/>
          <w:highlight w:val="none"/>
          <w:lang w:val="en-US" w:eastAsia="zh-CN" w:bidi="ar-SA"/>
        </w:rPr>
        <w:t>首府工匠项目，夯实高技能人才培养载体，扩大高技能人才培养培训规模。依托国家、自治区、市级技能大师工作室开展名师带徒、技能研修，打造高校、企业、公共实训基地融合体。</w:t>
      </w:r>
      <w:r>
        <w:rPr>
          <w:rFonts w:hint="default" w:ascii="Times New Roman" w:hAnsi="Times New Roman" w:eastAsia="方正仿宋_GBK" w:cs="Times New Roman"/>
          <w:b w:val="0"/>
          <w:bCs/>
          <w:color w:val="auto"/>
          <w:sz w:val="32"/>
          <w:szCs w:val="32"/>
          <w:lang w:val="en-US" w:eastAsia="zh-CN"/>
        </w:rPr>
        <w:t>立足乌市丝绸之路经济带核心区中心城市区位优势，以职业标准互认、技能人才输出、跨境联合培训为重点，打造向西开放</w:t>
      </w:r>
      <w:r>
        <w:rPr>
          <w:rFonts w:hint="eastAsia" w:ascii="Times New Roman" w:hAnsi="Times New Roman" w:eastAsia="方正仿宋_GBK" w:cs="Times New Roman"/>
          <w:b w:val="0"/>
          <w:bCs/>
          <w:color w:val="auto"/>
          <w:sz w:val="32"/>
          <w:szCs w:val="32"/>
          <w:lang w:val="en-US" w:eastAsia="zh-CN"/>
        </w:rPr>
        <w:t>“技能出海”</w:t>
      </w:r>
      <w:r>
        <w:rPr>
          <w:rFonts w:hint="default" w:ascii="Times New Roman" w:hAnsi="Times New Roman" w:eastAsia="方正仿宋_GBK" w:cs="Times New Roman"/>
          <w:b w:val="0"/>
          <w:bCs/>
          <w:color w:val="auto"/>
          <w:sz w:val="32"/>
          <w:szCs w:val="32"/>
          <w:lang w:val="en-US" w:eastAsia="zh-CN"/>
        </w:rPr>
        <w:t>合作标杆。</w:t>
      </w:r>
    </w:p>
    <w:p w14:paraId="3BDB5252">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方正仿宋_GBK" w:cs="Times New Roman"/>
          <w:b w:val="0"/>
          <w:bCs/>
          <w:color w:val="auto"/>
          <w:sz w:val="32"/>
          <w:szCs w:val="32"/>
          <w:lang w:val="en-US" w:eastAsia="zh-CN"/>
        </w:rPr>
      </w:pPr>
      <w:r>
        <w:rPr>
          <w:rFonts w:hint="eastAsia" w:ascii="方正仿宋_GBK" w:hAnsi="方正仿宋_GBK" w:eastAsia="方正仿宋_GBK" w:cs="方正仿宋_GBK"/>
          <w:color w:val="auto"/>
          <w:kern w:val="2"/>
          <w:sz w:val="32"/>
          <w:szCs w:val="32"/>
          <w:highlight w:val="none"/>
          <w:lang w:val="en-US" w:eastAsia="zh-CN" w:bidi="ar-SA"/>
        </w:rPr>
        <w:t>全面推行“新八级工”职业技能等级制度，探索在具备条件的行业协会开展特级技师、首席技师评聘。健全技能人才评价体系，大力推行企业自主认定，优化社会化等级认定机构布局。畅通技能人才发展通道，扩大职业技能等级认定与专业技术职称贯通融合范围，形成纵向有阶梯、横向可贯通的发展路径</w:t>
      </w:r>
      <w:r>
        <w:rPr>
          <w:rFonts w:hint="eastAsia" w:ascii="Times New Roman" w:hAnsi="Times New Roman" w:eastAsia="方正仿宋_GBK" w:cs="Times New Roman"/>
          <w:b w:val="0"/>
          <w:bCs/>
          <w:color w:val="auto"/>
          <w:sz w:val="32"/>
          <w:szCs w:val="32"/>
          <w:lang w:val="en-US" w:eastAsia="zh-CN"/>
        </w:rPr>
        <w:t>。</w:t>
      </w:r>
    </w:p>
    <w:p w14:paraId="5109D403">
      <w:pPr>
        <w:keepNext/>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完善职业技能竞赛体系，构建以国赛和自治区竞赛为引领、市级竞赛为龙头、院校竞赛为基础的竞赛体系，实现以赛促学、以赛促训、以赛促评、以赛促建。</w:t>
      </w:r>
    </w:p>
    <w:tbl>
      <w:tblPr>
        <w:tblStyle w:val="21"/>
        <w:tblW w:w="8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3"/>
      </w:tblGrid>
      <w:tr w14:paraId="0AC5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03" w:type="dxa"/>
            <w:noWrap w:val="0"/>
            <w:vAlign w:val="top"/>
          </w:tcPr>
          <w:p w14:paraId="52B062D7">
            <w:pPr>
              <w:keepNext/>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firstLine="0" w:firstLineChars="0"/>
              <w:jc w:val="center"/>
              <w:textAlignment w:val="auto"/>
              <w:outlineLvl w:val="9"/>
              <w:rPr>
                <w:rFonts w:hint="eastAsia" w:ascii="方正仿宋_GBK" w:hAnsi="方正仿宋_GBK" w:eastAsia="方正仿宋_GBK" w:cs="方正仿宋_GBK"/>
                <w:b w:val="0"/>
                <w:bCs w:val="0"/>
                <w:color w:val="auto"/>
                <w:sz w:val="32"/>
                <w:szCs w:val="32"/>
                <w:vertAlign w:val="baseline"/>
                <w:lang w:val="en-US" w:eastAsia="zh-CN"/>
              </w:rPr>
            </w:pPr>
            <w:r>
              <w:rPr>
                <w:rFonts w:hint="default" w:ascii="Times New Roman" w:hAnsi="Times New Roman" w:eastAsia="方正黑体_GBK" w:cs="Times New Roman"/>
                <w:b w:val="0"/>
                <w:bCs/>
                <w:color w:val="auto"/>
                <w:sz w:val="24"/>
                <w:szCs w:val="24"/>
                <w:lang w:val="en-US" w:eastAsia="zh-CN"/>
              </w:rPr>
              <w:t>专栏</w:t>
            </w:r>
            <w:r>
              <w:rPr>
                <w:rFonts w:hint="eastAsia" w:ascii="Times New Roman" w:hAnsi="Times New Roman" w:eastAsia="方正黑体_GBK" w:cs="Times New Roman"/>
                <w:b w:val="0"/>
                <w:bCs/>
                <w:color w:val="auto"/>
                <w:sz w:val="24"/>
                <w:szCs w:val="24"/>
                <w:lang w:val="en-US" w:eastAsia="zh-CN"/>
              </w:rPr>
              <w:t xml:space="preserve">11 </w:t>
            </w:r>
            <w:r>
              <w:rPr>
                <w:rFonts w:hint="default" w:ascii="Times New Roman" w:hAnsi="Times New Roman" w:eastAsia="方正黑体_GBK" w:cs="Times New Roman"/>
                <w:b w:val="0"/>
                <w:bCs/>
                <w:color w:val="auto"/>
                <w:sz w:val="24"/>
                <w:szCs w:val="24"/>
                <w:lang w:val="en-US" w:eastAsia="zh-CN"/>
              </w:rPr>
              <w:t>技能人才培优与评价工程</w:t>
            </w:r>
          </w:p>
        </w:tc>
      </w:tr>
      <w:tr w14:paraId="5E79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3" w:type="dxa"/>
            <w:noWrap w:val="0"/>
            <w:vAlign w:val="top"/>
          </w:tcPr>
          <w:p w14:paraId="3BEA9454">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lang w:val="en-US" w:eastAsia="zh-CN"/>
              </w:rPr>
            </w:pPr>
            <w:r>
              <w:rPr>
                <w:rFonts w:hint="eastAsia" w:ascii="Times New Roman" w:hAnsi="Times New Roman" w:eastAsia="方正仿宋_GBK" w:cs="Times New Roman"/>
                <w:b/>
                <w:bCs w:val="0"/>
                <w:color w:val="auto"/>
                <w:sz w:val="24"/>
                <w:szCs w:val="24"/>
                <w:lang w:val="en-US" w:eastAsia="zh-CN"/>
              </w:rPr>
              <w:t>1.</w:t>
            </w:r>
            <w:r>
              <w:rPr>
                <w:rFonts w:hint="default" w:ascii="Times New Roman" w:hAnsi="Times New Roman" w:eastAsia="方正仿宋_GBK" w:cs="Times New Roman"/>
                <w:b/>
                <w:bCs w:val="0"/>
                <w:color w:val="auto"/>
                <w:sz w:val="24"/>
                <w:szCs w:val="24"/>
                <w:lang w:val="en-US" w:eastAsia="zh-CN"/>
              </w:rPr>
              <w:t>职业技能等级评价提质扩面行动</w:t>
            </w:r>
            <w:r>
              <w:rPr>
                <w:rFonts w:hint="eastAsia" w:ascii="Times New Roman" w:hAnsi="Times New Roman" w:eastAsia="方正仿宋_GBK" w:cs="Times New Roman"/>
                <w:b/>
                <w:bCs w:val="0"/>
                <w:color w:val="auto"/>
                <w:sz w:val="24"/>
                <w:szCs w:val="24"/>
                <w:lang w:val="en-US" w:eastAsia="zh-CN"/>
              </w:rPr>
              <w:t>。</w:t>
            </w:r>
            <w:r>
              <w:rPr>
                <w:rFonts w:hint="eastAsia" w:ascii="Times New Roman" w:hAnsi="Times New Roman" w:eastAsia="方正仿宋_GBK" w:cs="Times New Roman"/>
                <w:b w:val="0"/>
                <w:bCs/>
                <w:color w:val="auto"/>
                <w:sz w:val="24"/>
                <w:szCs w:val="24"/>
                <w:lang w:val="en-US" w:eastAsia="zh-CN"/>
              </w:rPr>
              <w:t>通过自治区级、我市职业技能等级评价机构开展职业技能等级认定年均不少于3万人次。</w:t>
            </w:r>
          </w:p>
          <w:p w14:paraId="4DCE5049">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lang w:val="en-US" w:eastAsia="zh-CN"/>
              </w:rPr>
            </w:pPr>
            <w:r>
              <w:rPr>
                <w:rFonts w:hint="default" w:ascii="Times New Roman" w:hAnsi="Times New Roman" w:eastAsia="方正仿宋_GBK" w:cs="Times New Roman"/>
                <w:b/>
                <w:bCs w:val="0"/>
                <w:color w:val="auto"/>
                <w:sz w:val="24"/>
                <w:szCs w:val="24"/>
                <w:lang w:val="en-US" w:eastAsia="zh-CN"/>
              </w:rPr>
              <w:t>2.公共实训基地建设</w:t>
            </w:r>
            <w:r>
              <w:rPr>
                <w:rFonts w:hint="eastAsia" w:ascii="Times New Roman" w:hAnsi="Times New Roman" w:eastAsia="方正仿宋_GBK" w:cs="Times New Roman"/>
                <w:b/>
                <w:bCs w:val="0"/>
                <w:color w:val="auto"/>
                <w:sz w:val="24"/>
                <w:szCs w:val="24"/>
                <w:lang w:val="en-US" w:eastAsia="zh-CN"/>
              </w:rPr>
              <w:t>项目</w:t>
            </w:r>
            <w:r>
              <w:rPr>
                <w:rFonts w:hint="default" w:ascii="Times New Roman" w:hAnsi="Times New Roman" w:eastAsia="方正仿宋_GBK" w:cs="Times New Roman"/>
                <w:b/>
                <w:bCs w:val="0"/>
                <w:color w:val="auto"/>
                <w:sz w:val="24"/>
                <w:szCs w:val="24"/>
                <w:lang w:val="en-US" w:eastAsia="zh-CN"/>
              </w:rPr>
              <w:t>。</w:t>
            </w:r>
            <w:r>
              <w:rPr>
                <w:rFonts w:hint="default" w:ascii="Times New Roman" w:hAnsi="Times New Roman" w:eastAsia="方正仿宋_GBK" w:cs="Times New Roman"/>
                <w:b w:val="0"/>
                <w:bCs/>
                <w:color w:val="auto"/>
                <w:sz w:val="24"/>
                <w:szCs w:val="24"/>
                <w:lang w:val="en-US" w:eastAsia="zh-CN"/>
              </w:rPr>
              <w:t>推动自治区和区（县）公共实训基地项目落地。</w:t>
            </w:r>
          </w:p>
          <w:p w14:paraId="6A479E8E">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b w:val="0"/>
                <w:bCs/>
                <w:color w:val="auto"/>
                <w:sz w:val="24"/>
                <w:szCs w:val="24"/>
                <w:lang w:val="en-US" w:eastAsia="zh-CN"/>
              </w:rPr>
            </w:pPr>
            <w:r>
              <w:rPr>
                <w:rFonts w:hint="eastAsia" w:ascii="Times New Roman" w:hAnsi="Times New Roman" w:eastAsia="方正仿宋_GBK" w:cs="Times New Roman"/>
                <w:b/>
                <w:bCs w:val="0"/>
                <w:color w:val="auto"/>
                <w:sz w:val="24"/>
                <w:szCs w:val="24"/>
                <w:lang w:val="en-US" w:eastAsia="zh-CN"/>
              </w:rPr>
              <w:t>3</w:t>
            </w:r>
            <w:r>
              <w:rPr>
                <w:rFonts w:hint="default" w:ascii="Times New Roman" w:hAnsi="Times New Roman" w:eastAsia="方正仿宋_GBK" w:cs="Times New Roman"/>
                <w:b/>
                <w:bCs w:val="0"/>
                <w:color w:val="auto"/>
                <w:sz w:val="24"/>
                <w:szCs w:val="24"/>
                <w:lang w:val="en-US" w:eastAsia="zh-CN"/>
              </w:rPr>
              <w:t>.</w:t>
            </w:r>
            <w:r>
              <w:rPr>
                <w:rFonts w:hint="eastAsia" w:ascii="Times New Roman" w:hAnsi="Times New Roman" w:eastAsia="方正仿宋_GBK" w:cs="Times New Roman"/>
                <w:b/>
                <w:bCs w:val="0"/>
                <w:color w:val="auto"/>
                <w:sz w:val="24"/>
                <w:szCs w:val="24"/>
                <w:lang w:val="en-US" w:eastAsia="zh-CN"/>
              </w:rPr>
              <w:t>举办</w:t>
            </w:r>
            <w:r>
              <w:rPr>
                <w:rFonts w:hint="default" w:ascii="Times New Roman" w:hAnsi="Times New Roman" w:eastAsia="方正仿宋_GBK" w:cs="Times New Roman"/>
                <w:b/>
                <w:bCs w:val="0"/>
                <w:color w:val="auto"/>
                <w:sz w:val="24"/>
                <w:szCs w:val="24"/>
                <w:lang w:val="en-US" w:eastAsia="zh-CN"/>
              </w:rPr>
              <w:t>各类职业技能大赛</w:t>
            </w:r>
            <w:r>
              <w:rPr>
                <w:rFonts w:hint="eastAsia" w:ascii="Times New Roman" w:hAnsi="Times New Roman" w:eastAsia="方正仿宋_GBK" w:cs="Times New Roman"/>
                <w:b/>
                <w:bCs w:val="0"/>
                <w:color w:val="auto"/>
                <w:sz w:val="24"/>
                <w:szCs w:val="24"/>
                <w:lang w:val="en-US" w:eastAsia="zh-CN"/>
              </w:rPr>
              <w:t>。</w:t>
            </w:r>
            <w:r>
              <w:rPr>
                <w:rFonts w:hint="default" w:ascii="Times New Roman" w:hAnsi="Times New Roman" w:eastAsia="方正仿宋_GBK" w:cs="Times New Roman"/>
                <w:b w:val="0"/>
                <w:bCs/>
                <w:color w:val="auto"/>
                <w:sz w:val="24"/>
                <w:szCs w:val="24"/>
                <w:lang w:val="en-US" w:eastAsia="zh-CN"/>
              </w:rPr>
              <w:t>遴选认定</w:t>
            </w:r>
            <w:r>
              <w:rPr>
                <w:rFonts w:hint="eastAsia" w:ascii="Times New Roman" w:hAnsi="Times New Roman" w:eastAsia="方正仿宋_GBK" w:cs="Times New Roman"/>
                <w:b w:val="0"/>
                <w:bCs/>
                <w:color w:val="auto"/>
                <w:sz w:val="24"/>
                <w:szCs w:val="24"/>
                <w:lang w:val="en-US" w:eastAsia="zh-CN"/>
              </w:rPr>
              <w:t>一批</w:t>
            </w:r>
            <w:r>
              <w:rPr>
                <w:rFonts w:hint="default" w:ascii="Times New Roman" w:hAnsi="Times New Roman" w:eastAsia="方正仿宋_GBK" w:cs="Times New Roman"/>
                <w:b w:val="0"/>
                <w:bCs/>
                <w:color w:val="auto"/>
                <w:sz w:val="24"/>
                <w:szCs w:val="24"/>
                <w:lang w:val="en-US" w:eastAsia="zh-CN"/>
              </w:rPr>
              <w:t>市级技能大赛集训基地，每2年举办1次乌鲁木齐市职业技能竞赛。</w:t>
            </w:r>
          </w:p>
          <w:p w14:paraId="7FC51497">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82" w:firstLineChars="200"/>
              <w:jc w:val="left"/>
              <w:textAlignment w:val="auto"/>
              <w:outlineLvl w:val="9"/>
              <w:rPr>
                <w:rFonts w:hint="eastAsia" w:ascii="方正仿宋_GBK" w:hAnsi="方正仿宋_GBK" w:eastAsia="方正仿宋_GBK" w:cs="方正仿宋_GBK"/>
                <w:b w:val="0"/>
                <w:bCs w:val="0"/>
                <w:color w:val="auto"/>
                <w:sz w:val="24"/>
                <w:szCs w:val="24"/>
                <w:vertAlign w:val="baseline"/>
                <w:lang w:val="en-US" w:eastAsia="zh-CN"/>
              </w:rPr>
            </w:pPr>
            <w:r>
              <w:rPr>
                <w:rFonts w:hint="eastAsia" w:ascii="Times New Roman" w:hAnsi="Times New Roman" w:eastAsia="方正仿宋_GBK" w:cs="Times New Roman"/>
                <w:b/>
                <w:bCs w:val="0"/>
                <w:color w:val="auto"/>
                <w:sz w:val="24"/>
                <w:szCs w:val="24"/>
                <w:lang w:val="en-US" w:eastAsia="zh-CN"/>
              </w:rPr>
              <w:t>4</w:t>
            </w:r>
            <w:r>
              <w:rPr>
                <w:rFonts w:hint="default" w:ascii="Times New Roman" w:hAnsi="Times New Roman" w:eastAsia="方正仿宋_GBK" w:cs="Times New Roman"/>
                <w:b/>
                <w:bCs w:val="0"/>
                <w:color w:val="auto"/>
                <w:sz w:val="24"/>
                <w:szCs w:val="24"/>
                <w:lang w:val="en-US" w:eastAsia="zh-CN"/>
              </w:rPr>
              <w:t>.</w:t>
            </w:r>
            <w:r>
              <w:rPr>
                <w:rFonts w:hint="eastAsia" w:ascii="Times New Roman" w:hAnsi="Times New Roman" w:eastAsia="方正仿宋_GBK" w:cs="Times New Roman"/>
                <w:b/>
                <w:bCs w:val="0"/>
                <w:color w:val="auto"/>
                <w:sz w:val="24"/>
                <w:szCs w:val="24"/>
                <w:lang w:val="en-US" w:eastAsia="zh-CN"/>
              </w:rPr>
              <w:t>技工院校优化提升行动。</w:t>
            </w:r>
            <w:r>
              <w:rPr>
                <w:rFonts w:hint="default" w:ascii="Times New Roman" w:hAnsi="Times New Roman" w:eastAsia="方正仿宋_GBK" w:cs="Times New Roman"/>
                <w:b w:val="0"/>
                <w:bCs/>
                <w:color w:val="auto"/>
                <w:sz w:val="24"/>
                <w:szCs w:val="24"/>
                <w:lang w:val="en-US" w:eastAsia="zh-CN"/>
              </w:rPr>
              <w:t>扩大技工院校办学规模</w:t>
            </w:r>
            <w:r>
              <w:rPr>
                <w:rFonts w:hint="eastAsia" w:ascii="Times New Roman" w:hAnsi="Times New Roman" w:eastAsia="方正仿宋_GBK" w:cs="Times New Roman"/>
                <w:b w:val="0"/>
                <w:bCs/>
                <w:color w:val="auto"/>
                <w:sz w:val="24"/>
                <w:szCs w:val="24"/>
                <w:lang w:val="en-US" w:eastAsia="zh-CN"/>
              </w:rPr>
              <w:t>，</w:t>
            </w:r>
            <w:r>
              <w:rPr>
                <w:rFonts w:hint="default" w:ascii="Times New Roman" w:hAnsi="Times New Roman" w:eastAsia="方正仿宋_GBK" w:cs="Times New Roman"/>
                <w:b w:val="0"/>
                <w:bCs/>
                <w:color w:val="auto"/>
                <w:sz w:val="24"/>
                <w:szCs w:val="24"/>
                <w:lang w:val="en-US" w:eastAsia="zh-CN"/>
              </w:rPr>
              <w:t>优化调整专业设置，拓展开设新兴优势专业，巩固扩大招生规模，每年招生不少于2000人。</w:t>
            </w:r>
          </w:p>
        </w:tc>
      </w:tr>
    </w:tbl>
    <w:p w14:paraId="562423AC">
      <w:pPr>
        <w:keepNext/>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center"/>
        <w:textAlignment w:val="auto"/>
        <w:outlineLvl w:val="1"/>
        <w:rPr>
          <w:rFonts w:hint="eastAsia" w:ascii="方正楷体简体" w:hAnsi="方正楷体简体" w:eastAsia="方正楷体简体" w:cs="方正楷体简体"/>
          <w:b w:val="0"/>
          <w:bCs w:val="0"/>
          <w:color w:val="auto"/>
          <w:kern w:val="2"/>
          <w:sz w:val="32"/>
          <w:szCs w:val="32"/>
          <w:lang w:val="en-US" w:eastAsia="zh-CN" w:bidi="ar-SA"/>
        </w:rPr>
      </w:pPr>
      <w:bookmarkStart w:id="20" w:name="_Toc6506"/>
      <w:r>
        <w:rPr>
          <w:rFonts w:hint="eastAsia" w:ascii="方正楷体简体" w:hAnsi="方正楷体简体" w:eastAsia="方正楷体简体" w:cs="方正楷体简体"/>
          <w:b w:val="0"/>
          <w:bCs w:val="0"/>
          <w:color w:val="auto"/>
          <w:kern w:val="2"/>
          <w:sz w:val="32"/>
          <w:szCs w:val="32"/>
          <w:lang w:val="en-US" w:eastAsia="zh-CN" w:bidi="ar-SA"/>
        </w:rPr>
        <w:t>第三节 深化事业单位人事制度改革</w:t>
      </w:r>
      <w:bookmarkEnd w:id="20"/>
    </w:p>
    <w:p w14:paraId="14AA9F62">
      <w:pPr>
        <w:keepNext/>
        <w:keepLines w:val="0"/>
        <w:pageBreakBefore w:val="0"/>
        <w:widowControl/>
        <w:suppressLineNumbers w:val="0"/>
        <w:kinsoku/>
        <w:wordWrap/>
        <w:overflowPunct/>
        <w:topLinePunct w:val="0"/>
        <w:autoSpaceDE/>
        <w:autoSpaceDN/>
        <w:bidi w:val="0"/>
        <w:adjustRightInd/>
        <w:snapToGrid/>
        <w:ind w:firstLine="640" w:firstLineChars="200"/>
        <w:jc w:val="both"/>
        <w:textAlignment w:val="auto"/>
        <w:outlineLvl w:val="9"/>
        <w:rPr>
          <w:rFonts w:hint="eastAsia" w:ascii="黑体" w:hAnsi="黑体" w:eastAsia="黑体" w:cs="黑体"/>
          <w:sz w:val="32"/>
          <w:szCs w:val="32"/>
          <w:shd w:val="clear" w:color="auto" w:fill="auto"/>
          <w:lang w:val="en-US" w:eastAsia="zh-CN"/>
        </w:rPr>
      </w:pPr>
      <w:r>
        <w:rPr>
          <w:rFonts w:hint="eastAsia" w:ascii="方正仿宋_GBK" w:hAnsi="方正仿宋_GBK" w:eastAsia="方正仿宋_GBK" w:cs="方正仿宋_GBK"/>
          <w:color w:val="auto"/>
          <w:sz w:val="32"/>
          <w:szCs w:val="40"/>
          <w:shd w:val="clear" w:color="auto" w:fill="auto"/>
        </w:rPr>
        <w:t>持续推进事业单位人事制度改革，健全完善事业单位</w:t>
      </w:r>
      <w:r>
        <w:rPr>
          <w:rFonts w:hint="eastAsia" w:ascii="方正仿宋_GBK" w:hAnsi="方正仿宋_GBK" w:eastAsia="方正仿宋_GBK" w:cs="方正仿宋_GBK"/>
          <w:color w:val="auto"/>
          <w:sz w:val="32"/>
          <w:szCs w:val="40"/>
          <w:shd w:val="clear" w:color="auto" w:fill="auto"/>
          <w:lang w:eastAsia="zh-CN"/>
        </w:rPr>
        <w:t>招聘引进、</w:t>
      </w:r>
      <w:r>
        <w:rPr>
          <w:rFonts w:hint="eastAsia" w:ascii="方正仿宋_GBK" w:hAnsi="方正仿宋_GBK" w:eastAsia="方正仿宋_GBK" w:cs="方正仿宋_GBK"/>
          <w:color w:val="auto"/>
          <w:sz w:val="32"/>
          <w:szCs w:val="40"/>
          <w:shd w:val="clear" w:color="auto" w:fill="auto"/>
        </w:rPr>
        <w:t>岗位管理、合同管理、考核奖惩、申诉培训等方面人事管理制度。</w:t>
      </w:r>
      <w:r>
        <w:rPr>
          <w:rFonts w:hint="eastAsia" w:ascii="方正仿宋_GBK" w:hAnsi="方正仿宋_GBK" w:eastAsia="方正仿宋_GBK" w:cs="方正仿宋_GBK"/>
          <w:color w:val="auto"/>
          <w:sz w:val="32"/>
          <w:szCs w:val="40"/>
          <w:shd w:val="clear" w:color="auto" w:fill="auto"/>
          <w:lang w:eastAsia="zh-CN"/>
        </w:rPr>
        <w:t>规范开展事业单位工作人员</w:t>
      </w:r>
      <w:r>
        <w:rPr>
          <w:rFonts w:ascii="方正仿宋_GBK" w:hAnsi="方正仿宋_GBK" w:eastAsia="方正仿宋_GBK" w:cs="方正仿宋_GBK"/>
          <w:color w:val="auto"/>
          <w:kern w:val="0"/>
          <w:sz w:val="31"/>
          <w:szCs w:val="31"/>
          <w:shd w:val="clear" w:color="auto" w:fill="auto"/>
          <w:lang w:val="en-US" w:eastAsia="zh-CN" w:bidi="ar"/>
        </w:rPr>
        <w:t>绩效考核</w:t>
      </w:r>
      <w:r>
        <w:rPr>
          <w:rFonts w:hint="eastAsia" w:ascii="方正仿宋_GBK" w:hAnsi="方正仿宋_GBK" w:eastAsia="方正仿宋_GBK" w:cs="方正仿宋_GBK"/>
          <w:color w:val="auto"/>
          <w:kern w:val="0"/>
          <w:sz w:val="31"/>
          <w:szCs w:val="31"/>
          <w:shd w:val="clear" w:color="auto" w:fill="auto"/>
          <w:lang w:val="en-US" w:eastAsia="zh-CN" w:bidi="ar"/>
        </w:rPr>
        <w:t>、</w:t>
      </w:r>
      <w:r>
        <w:rPr>
          <w:rFonts w:ascii="方正仿宋_GBK" w:hAnsi="方正仿宋_GBK" w:eastAsia="方正仿宋_GBK" w:cs="方正仿宋_GBK"/>
          <w:color w:val="auto"/>
          <w:kern w:val="0"/>
          <w:sz w:val="31"/>
          <w:szCs w:val="31"/>
          <w:shd w:val="clear" w:color="auto" w:fill="auto"/>
          <w:lang w:val="en-US" w:eastAsia="zh-CN" w:bidi="ar"/>
        </w:rPr>
        <w:t>平时考核、年度考核</w:t>
      </w:r>
      <w:r>
        <w:rPr>
          <w:rFonts w:hint="eastAsia" w:ascii="方正仿宋_GBK" w:hAnsi="方正仿宋_GBK" w:eastAsia="方正仿宋_GBK" w:cs="方正仿宋_GBK"/>
          <w:color w:val="auto"/>
          <w:kern w:val="0"/>
          <w:sz w:val="31"/>
          <w:szCs w:val="31"/>
          <w:shd w:val="clear" w:color="auto" w:fill="auto"/>
          <w:lang w:val="en-US" w:eastAsia="zh-CN" w:bidi="ar"/>
        </w:rPr>
        <w:t>与</w:t>
      </w:r>
      <w:r>
        <w:rPr>
          <w:rFonts w:ascii="方正仿宋_GBK" w:hAnsi="方正仿宋_GBK" w:eastAsia="方正仿宋_GBK" w:cs="方正仿宋_GBK"/>
          <w:color w:val="auto"/>
          <w:kern w:val="0"/>
          <w:sz w:val="31"/>
          <w:szCs w:val="31"/>
          <w:shd w:val="clear" w:color="auto" w:fill="auto"/>
          <w:lang w:val="en-US" w:eastAsia="zh-CN" w:bidi="ar"/>
        </w:rPr>
        <w:t>聘期考核</w:t>
      </w:r>
      <w:r>
        <w:rPr>
          <w:rFonts w:hint="eastAsia" w:ascii="方正仿宋_GBK" w:hAnsi="方正仿宋_GBK" w:eastAsia="方正仿宋_GBK" w:cs="方正仿宋_GBK"/>
          <w:color w:val="auto"/>
          <w:kern w:val="0"/>
          <w:sz w:val="31"/>
          <w:szCs w:val="31"/>
          <w:shd w:val="clear" w:color="auto" w:fill="auto"/>
          <w:lang w:val="en-US" w:eastAsia="zh-CN" w:bidi="ar"/>
        </w:rPr>
        <w:t>，</w:t>
      </w:r>
      <w:r>
        <w:rPr>
          <w:rFonts w:hint="eastAsia" w:ascii="方正仿宋_GBK" w:hAnsi="方正仿宋_GBK" w:eastAsia="方正仿宋_GBK" w:cs="方正仿宋_GBK"/>
          <w:color w:val="auto"/>
          <w:sz w:val="32"/>
          <w:szCs w:val="40"/>
          <w:shd w:val="clear" w:color="auto" w:fill="auto"/>
        </w:rPr>
        <w:t>强化考核结果运用</w:t>
      </w:r>
      <w:r>
        <w:rPr>
          <w:rFonts w:hint="eastAsia" w:ascii="方正仿宋_GBK" w:hAnsi="方正仿宋_GBK" w:eastAsia="方正仿宋_GBK" w:cs="方正仿宋_GBK"/>
          <w:color w:val="auto"/>
          <w:sz w:val="32"/>
          <w:szCs w:val="40"/>
          <w:shd w:val="clear" w:color="auto" w:fill="auto"/>
          <w:lang w:eastAsia="zh-CN"/>
        </w:rPr>
        <w:t>。结合事业单位机构改革，</w:t>
      </w:r>
      <w:r>
        <w:rPr>
          <w:rFonts w:hint="eastAsia" w:ascii="方正仿宋_GBK" w:hAnsi="方正仿宋_GBK" w:eastAsia="方正仿宋_GBK" w:cs="方正仿宋_GBK"/>
          <w:color w:val="auto"/>
          <w:sz w:val="32"/>
          <w:szCs w:val="40"/>
          <w:shd w:val="clear" w:color="auto" w:fill="auto"/>
        </w:rPr>
        <w:t>健全干部能上能下、能进能出</w:t>
      </w:r>
      <w:r>
        <w:rPr>
          <w:rFonts w:hint="eastAsia" w:ascii="方正仿宋_GBK" w:hAnsi="方正仿宋_GBK" w:eastAsia="方正仿宋_GBK" w:cs="方正仿宋_GBK"/>
          <w:color w:val="auto"/>
          <w:sz w:val="32"/>
          <w:szCs w:val="40"/>
          <w:shd w:val="clear" w:color="auto" w:fill="auto"/>
          <w:lang w:eastAsia="zh-CN"/>
        </w:rPr>
        <w:t>的</w:t>
      </w:r>
      <w:r>
        <w:rPr>
          <w:rFonts w:hint="eastAsia" w:ascii="方正仿宋_GBK" w:hAnsi="方正仿宋_GBK" w:eastAsia="方正仿宋_GBK" w:cs="方正仿宋_GBK"/>
          <w:color w:val="auto"/>
          <w:sz w:val="32"/>
          <w:szCs w:val="40"/>
          <w:shd w:val="clear" w:color="auto" w:fill="auto"/>
        </w:rPr>
        <w:t>常态化管理机制</w:t>
      </w:r>
      <w:r>
        <w:rPr>
          <w:rFonts w:hint="eastAsia" w:ascii="方正仿宋_GBK" w:hAnsi="方正仿宋_GBK" w:eastAsia="方正仿宋_GBK" w:cs="方正仿宋_GBK"/>
          <w:color w:val="auto"/>
          <w:sz w:val="32"/>
          <w:szCs w:val="40"/>
          <w:shd w:val="clear" w:color="auto" w:fill="auto"/>
          <w:lang w:eastAsia="zh-CN"/>
        </w:rPr>
        <w:t>。引导各级事业单位制定岗位聘用管理实施方案，实现“竞聘上岗、择优聘用、以岗定责、末位淘汰”。</w:t>
      </w:r>
      <w:r>
        <w:rPr>
          <w:rFonts w:hint="eastAsia" w:ascii="方正仿宋_GBK" w:hAnsi="方正仿宋_GBK" w:eastAsia="方正仿宋_GBK" w:cs="方正仿宋_GBK"/>
          <w:color w:val="auto"/>
          <w:sz w:val="32"/>
          <w:szCs w:val="40"/>
          <w:shd w:val="clear" w:color="auto" w:fill="auto"/>
        </w:rPr>
        <w:t>动态优化人才队伍结构，持续提升事业单位履职服务的综合能力。充分发挥编制、岗位资源效益，稳步建立</w:t>
      </w:r>
      <w:r>
        <w:rPr>
          <w:rFonts w:hint="eastAsia" w:ascii="方正仿宋_GBK" w:hAnsi="方正仿宋_GBK" w:eastAsia="方正仿宋_GBK" w:cs="方正仿宋_GBK"/>
          <w:color w:val="auto"/>
          <w:sz w:val="32"/>
          <w:szCs w:val="40"/>
          <w:shd w:val="clear" w:color="auto" w:fill="auto"/>
          <w:lang w:eastAsia="zh-CN"/>
        </w:rPr>
        <w:t>各行业领域</w:t>
      </w:r>
      <w:r>
        <w:rPr>
          <w:rFonts w:hint="eastAsia" w:ascii="方正仿宋_GBK" w:hAnsi="方正仿宋_GBK" w:eastAsia="方正仿宋_GBK" w:cs="方正仿宋_GBK"/>
          <w:color w:val="auto"/>
          <w:sz w:val="32"/>
          <w:szCs w:val="40"/>
          <w:shd w:val="clear" w:color="auto" w:fill="auto"/>
        </w:rPr>
        <w:t>事业单位岗位总量设置动态调整机制，适度优化调整重点领域、关键行业专业技术中、高级岗位结构比例。</w:t>
      </w:r>
    </w:p>
    <w:p w14:paraId="3A56738E">
      <w:pPr>
        <w:pStyle w:val="18"/>
        <w:keepNext/>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jc w:val="center"/>
        <w:textAlignment w:val="auto"/>
        <w:outlineLvl w:val="0"/>
        <w:rPr>
          <w:rFonts w:hint="eastAsia" w:ascii="方正黑体_GBK" w:hAnsi="方正黑体_GBK" w:eastAsia="方正黑体_GBK" w:cs="方正黑体_GBK"/>
          <w:i w:val="0"/>
          <w:iCs w:val="0"/>
          <w:caps w:val="0"/>
          <w:color w:val="auto"/>
          <w:spacing w:val="0"/>
          <w:sz w:val="32"/>
          <w:szCs w:val="32"/>
          <w:shd w:val="clear" w:color="auto" w:fill="FFFFFF"/>
        </w:rPr>
      </w:pPr>
    </w:p>
    <w:p w14:paraId="1A273A67">
      <w:pPr>
        <w:pStyle w:val="18"/>
        <w:keepNext/>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jc w:val="center"/>
        <w:textAlignment w:val="auto"/>
        <w:outlineLvl w:val="0"/>
        <w:rPr>
          <w:rFonts w:hint="eastAsia" w:ascii="Times New Roman" w:hAnsi="Times New Roman" w:eastAsia="方正黑体_GBK" w:cs="Times New Roman"/>
          <w:i w:val="0"/>
          <w:iCs w:val="0"/>
          <w:caps w:val="0"/>
          <w:color w:val="auto"/>
          <w:spacing w:val="0"/>
          <w:sz w:val="32"/>
          <w:szCs w:val="32"/>
          <w:shd w:val="clear" w:color="auto" w:fill="FFFFFF"/>
          <w:lang w:eastAsia="zh-CN"/>
        </w:rPr>
      </w:pPr>
      <w:bookmarkStart w:id="21" w:name="_Toc19277"/>
      <w:r>
        <w:rPr>
          <w:rFonts w:hint="eastAsia" w:ascii="方正黑体_GBK" w:hAnsi="方正黑体_GBK" w:eastAsia="方正黑体_GBK" w:cs="方正黑体_GBK"/>
          <w:i w:val="0"/>
          <w:iCs w:val="0"/>
          <w:caps w:val="0"/>
          <w:color w:val="auto"/>
          <w:spacing w:val="0"/>
          <w:sz w:val="32"/>
          <w:szCs w:val="32"/>
          <w:shd w:val="clear" w:color="auto" w:fill="FFFFFF"/>
        </w:rPr>
        <w:t>第五章 健全收入分配制度</w:t>
      </w:r>
      <w:r>
        <w:rPr>
          <w:rFonts w:hint="eastAsia" w:ascii="方正黑体_GBK" w:hAnsi="方正黑体_GBK" w:eastAsia="方正黑体_GBK" w:cs="方正黑体_GBK"/>
          <w:i w:val="0"/>
          <w:iCs w:val="0"/>
          <w:caps w:val="0"/>
          <w:color w:val="auto"/>
          <w:spacing w:val="0"/>
          <w:sz w:val="32"/>
          <w:szCs w:val="32"/>
          <w:shd w:val="clear" w:color="auto" w:fill="FFFFFF"/>
          <w:lang w:eastAsia="zh-CN"/>
        </w:rPr>
        <w:t>，多渠道促进居民增收</w:t>
      </w:r>
      <w:bookmarkEnd w:id="21"/>
    </w:p>
    <w:p w14:paraId="40FC691B">
      <w:pPr>
        <w:keepNext/>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default" w:ascii="方正仿宋_GBK" w:hAnsi="方正仿宋_GBK" w:eastAsia="方正仿宋_GBK" w:cs="方正仿宋_GBK"/>
          <w:color w:val="auto"/>
          <w:kern w:val="2"/>
          <w:sz w:val="32"/>
          <w:szCs w:val="32"/>
          <w:lang w:val="en-US" w:eastAsia="zh-CN" w:bidi="ar-SA"/>
        </w:rPr>
      </w:pPr>
      <w:bookmarkStart w:id="22" w:name="_Toc13049"/>
      <w:r>
        <w:rPr>
          <w:rFonts w:hint="default" w:ascii="方正仿宋_GBK" w:hAnsi="方正仿宋_GBK" w:eastAsia="方正仿宋_GBK" w:cs="方正仿宋_GBK"/>
          <w:color w:val="auto"/>
          <w:kern w:val="2"/>
          <w:sz w:val="32"/>
          <w:szCs w:val="32"/>
          <w:lang w:val="en-US" w:eastAsia="zh-CN" w:bidi="ar-SA"/>
        </w:rPr>
        <w:t>坚持按劳分配为主体、多种分配方式并存，着力提高劳动报酬在初次分配中的比重，推动企事业单位人员工资水平合理增长，</w:t>
      </w:r>
      <w:r>
        <w:rPr>
          <w:rFonts w:hint="eastAsia" w:ascii="方正仿宋_GBK" w:hAnsi="方正仿宋_GBK" w:eastAsia="方正仿宋_GBK" w:cs="方正仿宋_GBK"/>
          <w:color w:val="auto"/>
          <w:kern w:val="2"/>
          <w:sz w:val="32"/>
          <w:szCs w:val="32"/>
          <w:lang w:val="en-US" w:eastAsia="zh-CN" w:bidi="ar-SA"/>
        </w:rPr>
        <w:t>依法保障劳动者取得劳动报酬的权利</w:t>
      </w:r>
      <w:r>
        <w:rPr>
          <w:rFonts w:hint="default" w:ascii="方正仿宋_GBK" w:hAnsi="方正仿宋_GBK" w:eastAsia="方正仿宋_GBK" w:cs="方正仿宋_GBK"/>
          <w:color w:val="auto"/>
          <w:kern w:val="2"/>
          <w:sz w:val="32"/>
          <w:szCs w:val="32"/>
          <w:lang w:val="en-US" w:eastAsia="zh-CN" w:bidi="ar-SA"/>
        </w:rPr>
        <w:t>。</w:t>
      </w:r>
      <w:bookmarkEnd w:id="22"/>
    </w:p>
    <w:p w14:paraId="54042413">
      <w:pPr>
        <w:keepNext/>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23" w:name="_Toc2813"/>
      <w:r>
        <w:rPr>
          <w:rFonts w:hint="eastAsia" w:ascii="方正楷体简体" w:hAnsi="方正楷体简体" w:eastAsia="方正楷体简体" w:cs="方正楷体简体"/>
          <w:b w:val="0"/>
          <w:bCs/>
          <w:color w:val="auto"/>
          <w:kern w:val="2"/>
          <w:sz w:val="32"/>
          <w:szCs w:val="24"/>
          <w:lang w:val="en-US" w:eastAsia="zh-CN" w:bidi="ar-SA"/>
        </w:rPr>
        <w:t>第一节 深化国有企业薪酬分配制度改革</w:t>
      </w:r>
      <w:bookmarkEnd w:id="23"/>
    </w:p>
    <w:p w14:paraId="36051A3B">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outlineLvl w:val="9"/>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落实国有企业工资决定机制改革任务，指导国有企业工资内部分配，理顺内部分配关系。建立企业薪酬分</w:t>
      </w:r>
      <w:r>
        <w:rPr>
          <w:rFonts w:hint="eastAsia" w:ascii="方正仿宋_GBK" w:hAnsi="方正仿宋_GBK" w:eastAsia="方正仿宋_GBK" w:cs="方正仿宋_GBK"/>
          <w:i w:val="0"/>
          <w:iCs w:val="0"/>
          <w:caps w:val="0"/>
          <w:color w:val="auto"/>
          <w:spacing w:val="0"/>
          <w:sz w:val="32"/>
          <w:szCs w:val="32"/>
          <w:shd w:val="clear" w:color="auto" w:fill="FFFFFF"/>
        </w:rPr>
        <w:t>配“穿透式”监管体系，加强对国有企业工资内外收入监督检查。</w:t>
      </w:r>
    </w:p>
    <w:p w14:paraId="49F6DA8A">
      <w:pPr>
        <w:keepNext/>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24" w:name="_Toc12807"/>
      <w:r>
        <w:rPr>
          <w:rFonts w:hint="eastAsia" w:ascii="方正楷体简体" w:hAnsi="方正楷体简体" w:eastAsia="方正楷体简体" w:cs="方正楷体简体"/>
          <w:b w:val="0"/>
          <w:bCs/>
          <w:color w:val="auto"/>
          <w:kern w:val="2"/>
          <w:sz w:val="32"/>
          <w:szCs w:val="24"/>
          <w:lang w:val="en-US" w:eastAsia="zh-CN" w:bidi="ar-SA"/>
        </w:rPr>
        <w:t>第二节 推进事业单位工资制度改革</w:t>
      </w:r>
      <w:bookmarkEnd w:id="24"/>
    </w:p>
    <w:p w14:paraId="42C1EA87">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落实事业单位工资正常调整机制和津贴补贴政策</w:t>
      </w:r>
      <w:r>
        <w:rPr>
          <w:rFonts w:hint="eastAsia"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i w:val="0"/>
          <w:iCs w:val="0"/>
          <w:caps w:val="0"/>
          <w:color w:val="auto"/>
          <w:spacing w:val="0"/>
          <w:sz w:val="32"/>
          <w:szCs w:val="32"/>
          <w:shd w:val="clear" w:color="auto" w:fill="FFFFFF"/>
        </w:rPr>
        <w:t>深化事业单位绩效工资制度改革，指导完善事业单位内部分配办法，保障绩效薪酬与岗位业绩、工作贡献相适应，有效激发创新创造活力。</w:t>
      </w:r>
    </w:p>
    <w:p w14:paraId="6FF94B9C">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25" w:name="_Toc23323"/>
      <w:r>
        <w:rPr>
          <w:rFonts w:hint="eastAsia" w:ascii="方正楷体简体" w:hAnsi="方正楷体简体" w:eastAsia="方正楷体简体" w:cs="方正楷体简体"/>
          <w:b w:val="0"/>
          <w:bCs/>
          <w:color w:val="auto"/>
          <w:kern w:val="2"/>
          <w:sz w:val="32"/>
          <w:szCs w:val="24"/>
          <w:lang w:val="en-US" w:eastAsia="zh-CN" w:bidi="ar-SA"/>
        </w:rPr>
        <w:t>第三节 保障劳动者工资支付</w:t>
      </w:r>
      <w:bookmarkEnd w:id="25"/>
    </w:p>
    <w:p w14:paraId="5EFFEFCC">
      <w:pPr>
        <w:keepNext/>
        <w:keepLines w:val="0"/>
        <w:pageBreakBefore w:val="0"/>
        <w:widowControl w:val="0"/>
        <w:kinsoku/>
        <w:wordWrap w:val="0"/>
        <w:overflowPunct/>
        <w:topLinePunct w:val="0"/>
        <w:autoSpaceDE/>
        <w:autoSpaceDN/>
        <w:bidi w:val="0"/>
        <w:adjustRightInd/>
        <w:snapToGrid/>
        <w:ind w:firstLine="640" w:firstLineChars="200"/>
        <w:jc w:val="both"/>
        <w:textAlignment w:val="auto"/>
        <w:outlineLvl w:val="9"/>
        <w:rPr>
          <w:rFonts w:hint="eastAsia" w:ascii="方正仿宋_GBK" w:hAnsi="方正仿宋_GBK" w:eastAsia="方正仿宋_GBK" w:cs="方正仿宋_GBK"/>
          <w:b w:val="0"/>
          <w:bCs/>
          <w:color w:val="auto"/>
          <w:kern w:val="2"/>
          <w:sz w:val="32"/>
          <w:szCs w:val="32"/>
          <w:highlight w:val="none"/>
          <w:u w:val="none"/>
          <w:lang w:val="en-US" w:eastAsia="zh-CN" w:bidi="ar-SA"/>
        </w:rPr>
      </w:pPr>
      <w:r>
        <w:rPr>
          <w:rFonts w:hint="eastAsia" w:ascii="方正仿宋_GBK" w:hAnsi="方正仿宋_GBK" w:eastAsia="方正仿宋_GBK" w:cs="方正仿宋_GBK"/>
          <w:b w:val="0"/>
          <w:bCs/>
          <w:color w:val="auto"/>
          <w:kern w:val="2"/>
          <w:sz w:val="32"/>
          <w:szCs w:val="32"/>
          <w:highlight w:val="none"/>
          <w:u w:val="none"/>
          <w:lang w:val="en-US" w:eastAsia="zh-CN" w:bidi="ar-SA"/>
        </w:rPr>
        <w:t>落实“管行业必须管欠薪、管资金必须管欠薪、管项目必须管欠薪”要求，执行自治区保障农民工工资支付地方性法规。制定治理欠薪工作长效机制，强化工程款与人工费用分账管理等源头治理措施，落实欠薪线索推送核查机制。依法查处欠薪违法行为，开展守法诚信等级评价，公布重大劳动保障违法行为，推动欠薪问题实质性化解。</w:t>
      </w:r>
    </w:p>
    <w:tbl>
      <w:tblPr>
        <w:tblStyle w:val="21"/>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8"/>
      </w:tblGrid>
      <w:tr w14:paraId="19DB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78" w:type="dxa"/>
            <w:noWrap w:val="0"/>
            <w:vAlign w:val="top"/>
          </w:tcPr>
          <w:p w14:paraId="4DB92E03">
            <w:pPr>
              <w:keepNext/>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Autospacing="0" w:afterAutospacing="0" w:line="360" w:lineRule="auto"/>
              <w:ind w:left="0" w:leftChars="0"/>
              <w:jc w:val="center"/>
              <w:textAlignment w:val="auto"/>
              <w:outlineLvl w:val="9"/>
              <w:rPr>
                <w:rFonts w:hint="eastAsia" w:ascii="方正仿宋_GBK" w:hAnsi="方正仿宋_GBK" w:eastAsia="方正仿宋_GBK" w:cs="方正仿宋_GBK"/>
                <w:b w:val="0"/>
                <w:bCs w:val="0"/>
                <w:color w:val="auto"/>
                <w:sz w:val="32"/>
                <w:szCs w:val="32"/>
                <w:highlight w:val="none"/>
                <w:vertAlign w:val="baseline"/>
                <w:lang w:val="en-US" w:eastAsia="zh-CN"/>
              </w:rPr>
            </w:pPr>
            <w:r>
              <w:rPr>
                <w:rFonts w:hint="default" w:ascii="Times New Roman" w:hAnsi="Times New Roman" w:eastAsia="方正黑体_GBK" w:cs="Times New Roman"/>
                <w:b w:val="0"/>
                <w:bCs w:val="0"/>
                <w:color w:val="auto"/>
                <w:sz w:val="24"/>
                <w:szCs w:val="24"/>
                <w:highlight w:val="none"/>
                <w:lang w:val="en-US" w:eastAsia="zh-CN"/>
              </w:rPr>
              <w:t>专栏</w:t>
            </w:r>
            <w:r>
              <w:rPr>
                <w:rFonts w:hint="eastAsia" w:ascii="Times New Roman" w:hAnsi="Times New Roman" w:eastAsia="方正黑体_GBK" w:cs="Times New Roman"/>
                <w:b w:val="0"/>
                <w:bCs w:val="0"/>
                <w:color w:val="auto"/>
                <w:sz w:val="24"/>
                <w:szCs w:val="24"/>
                <w:highlight w:val="none"/>
                <w:shd w:val="clear" w:color="auto" w:fill="auto"/>
                <w:lang w:val="en-US" w:eastAsia="zh-CN"/>
              </w:rPr>
              <w:t>12 治理欠薪专项</w:t>
            </w:r>
            <w:r>
              <w:rPr>
                <w:rFonts w:hint="default" w:ascii="Times New Roman" w:hAnsi="Times New Roman" w:eastAsia="方正黑体_GBK" w:cs="Times New Roman"/>
                <w:b w:val="0"/>
                <w:bCs w:val="0"/>
                <w:color w:val="auto"/>
                <w:sz w:val="24"/>
                <w:szCs w:val="24"/>
                <w:highlight w:val="none"/>
                <w:lang w:val="en-US" w:eastAsia="zh-CN"/>
              </w:rPr>
              <w:t>行动</w:t>
            </w:r>
          </w:p>
        </w:tc>
      </w:tr>
      <w:tr w14:paraId="011E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8" w:type="dxa"/>
            <w:noWrap w:val="0"/>
            <w:vAlign w:val="top"/>
          </w:tcPr>
          <w:p w14:paraId="4ABA71F4">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b/>
                <w:bCs/>
                <w:color w:val="auto"/>
                <w:sz w:val="24"/>
                <w:szCs w:val="24"/>
                <w:highlight w:val="none"/>
                <w:lang w:val="en-US" w:eastAsia="zh-CN"/>
              </w:rPr>
              <w:t>1.</w:t>
            </w:r>
            <w:r>
              <w:rPr>
                <w:rFonts w:hint="eastAsia" w:ascii="Times New Roman" w:hAnsi="Times New Roman" w:eastAsia="方正仿宋_GBK" w:cs="Times New Roman"/>
                <w:b/>
                <w:bCs/>
                <w:color w:val="auto"/>
                <w:sz w:val="24"/>
                <w:szCs w:val="24"/>
                <w:highlight w:val="none"/>
                <w:lang w:val="en-US" w:eastAsia="zh-CN"/>
              </w:rPr>
              <w:t>推行数字化监管。</w:t>
            </w:r>
            <w:r>
              <w:rPr>
                <w:rFonts w:hint="default" w:ascii="Times New Roman" w:hAnsi="Times New Roman" w:eastAsia="方正仿宋_GBK" w:cs="Times New Roman"/>
                <w:color w:val="auto"/>
                <w:sz w:val="24"/>
                <w:szCs w:val="24"/>
                <w:highlight w:val="none"/>
                <w:lang w:val="en-US" w:eastAsia="zh-CN"/>
              </w:rPr>
              <w:t>依托农民工工资支付监控预警平台，将全部在建的政府、国企项目和符合条件的社会投资项目纳入平台动态监管，对工程建设领</w:t>
            </w:r>
            <w:r>
              <w:rPr>
                <w:rFonts w:hint="eastAsia" w:ascii="方正仿宋_GBK" w:hAnsi="方正仿宋_GBK" w:eastAsia="方正仿宋_GBK" w:cs="方正仿宋_GBK"/>
                <w:color w:val="auto"/>
                <w:sz w:val="24"/>
                <w:szCs w:val="24"/>
                <w:highlight w:val="none"/>
                <w:lang w:val="en-US" w:eastAsia="zh-CN"/>
              </w:rPr>
              <w:t>域“五项制度”落</w:t>
            </w:r>
            <w:r>
              <w:rPr>
                <w:rFonts w:hint="default" w:ascii="Times New Roman" w:hAnsi="Times New Roman" w:eastAsia="方正仿宋_GBK" w:cs="Times New Roman"/>
                <w:color w:val="auto"/>
                <w:sz w:val="24"/>
                <w:szCs w:val="24"/>
                <w:highlight w:val="none"/>
                <w:lang w:val="en-US" w:eastAsia="zh-CN"/>
              </w:rPr>
              <w:t>实情况实时监控，平台推送的预警信息处置率保持100%。</w:t>
            </w:r>
          </w:p>
          <w:p w14:paraId="43BB9B5C">
            <w:pPr>
              <w:keepNext/>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default"/>
                <w:highlight w:val="none"/>
                <w:lang w:val="en-US" w:eastAsia="zh-CN"/>
              </w:rPr>
            </w:pPr>
            <w:r>
              <w:rPr>
                <w:rFonts w:hint="default" w:ascii="Times New Roman" w:hAnsi="Times New Roman" w:eastAsia="方正仿宋_GBK" w:cs="Times New Roman"/>
                <w:b/>
                <w:bCs/>
                <w:color w:val="auto"/>
                <w:sz w:val="24"/>
                <w:szCs w:val="24"/>
                <w:highlight w:val="none"/>
                <w:lang w:val="en-US" w:eastAsia="zh-CN"/>
              </w:rPr>
              <w:t>2.</w:t>
            </w:r>
            <w:r>
              <w:rPr>
                <w:rFonts w:hint="eastAsia" w:ascii="Times New Roman" w:hAnsi="Times New Roman" w:eastAsia="方正仿宋_GBK" w:cs="Times New Roman"/>
                <w:b/>
                <w:bCs/>
                <w:color w:val="auto"/>
                <w:sz w:val="24"/>
                <w:szCs w:val="24"/>
                <w:highlight w:val="none"/>
                <w:lang w:val="en-US" w:eastAsia="zh-CN"/>
              </w:rPr>
              <w:t>开展农民工工资集中整治行动。</w:t>
            </w:r>
            <w:r>
              <w:rPr>
                <w:rFonts w:hint="default" w:ascii="Times New Roman" w:hAnsi="Times New Roman" w:eastAsia="方正仿宋_GBK" w:cs="Times New Roman"/>
                <w:color w:val="auto"/>
                <w:sz w:val="24"/>
                <w:szCs w:val="24"/>
                <w:highlight w:val="none"/>
                <w:lang w:val="en-US" w:eastAsia="zh-CN"/>
              </w:rPr>
              <w:t>开</w:t>
            </w:r>
            <w:r>
              <w:rPr>
                <w:rFonts w:hint="eastAsia" w:ascii="方正仿宋_GBK" w:hAnsi="方正仿宋_GBK" w:eastAsia="方正仿宋_GBK" w:cs="方正仿宋_GBK"/>
                <w:color w:val="auto"/>
                <w:sz w:val="24"/>
                <w:szCs w:val="24"/>
                <w:highlight w:val="none"/>
                <w:lang w:val="en-US" w:eastAsia="zh-CN"/>
              </w:rPr>
              <w:t>展“治理欠薪冬季专项行动”“制度全覆盖夏季行动”，对欠薪线索实行“销号管理”，确保农</w:t>
            </w:r>
            <w:r>
              <w:rPr>
                <w:rFonts w:hint="default" w:ascii="Times New Roman" w:hAnsi="Times New Roman" w:eastAsia="方正仿宋_GBK" w:cs="Times New Roman"/>
                <w:color w:val="auto"/>
                <w:sz w:val="24"/>
                <w:szCs w:val="24"/>
                <w:highlight w:val="none"/>
                <w:lang w:val="en-US" w:eastAsia="zh-CN"/>
              </w:rPr>
              <w:t>民工举报投诉案件结案率达到</w:t>
            </w:r>
            <w:r>
              <w:rPr>
                <w:rFonts w:hint="eastAsia" w:ascii="Times New Roman" w:hAnsi="Times New Roman" w:eastAsia="方正仿宋_GBK" w:cs="Times New Roman"/>
                <w:color w:val="auto"/>
                <w:sz w:val="24"/>
                <w:szCs w:val="24"/>
                <w:highlight w:val="none"/>
                <w:lang w:val="en-US" w:eastAsia="zh-CN"/>
              </w:rPr>
              <w:t>99</w:t>
            </w:r>
            <w:r>
              <w:rPr>
                <w:rFonts w:hint="default" w:ascii="Times New Roman" w:hAnsi="Times New Roman" w:eastAsia="方正仿宋_GBK" w:cs="Times New Roman"/>
                <w:color w:val="auto"/>
                <w:sz w:val="24"/>
                <w:szCs w:val="24"/>
                <w:highlight w:val="none"/>
                <w:lang w:val="en-US" w:eastAsia="zh-CN"/>
              </w:rPr>
              <w:t>%以上。</w:t>
            </w:r>
          </w:p>
        </w:tc>
      </w:tr>
    </w:tbl>
    <w:p w14:paraId="269CE8B4">
      <w:pPr>
        <w:keepNext w:val="0"/>
        <w:keepLines w:val="0"/>
        <w:pageBreakBefore w:val="0"/>
        <w:widowControl w:val="0"/>
        <w:kinsoku/>
        <w:wordWrap w:val="0"/>
        <w:overflowPunct/>
        <w:topLinePunct w:val="0"/>
        <w:autoSpaceDE/>
        <w:autoSpaceDN/>
        <w:bidi w:val="0"/>
        <w:adjustRightInd/>
        <w:snapToGrid/>
        <w:ind w:left="0" w:leftChars="0" w:firstLine="0" w:firstLineChars="0"/>
        <w:jc w:val="center"/>
        <w:textAlignment w:val="auto"/>
        <w:outlineLvl w:val="9"/>
        <w:rPr>
          <w:rFonts w:hint="eastAsia" w:ascii="黑体" w:hAnsi="黑体" w:eastAsia="黑体" w:cs="黑体"/>
          <w:b w:val="0"/>
          <w:bCs/>
          <w:color w:val="auto"/>
          <w:highlight w:val="none"/>
          <w:lang w:eastAsia="zh-CN"/>
        </w:rPr>
      </w:pPr>
    </w:p>
    <w:p w14:paraId="73B1C5D2">
      <w:pPr>
        <w:keepNext w:val="0"/>
        <w:keepLines w:val="0"/>
        <w:pageBreakBefore w:val="0"/>
        <w:widowControl w:val="0"/>
        <w:kinsoku/>
        <w:wordWrap w:val="0"/>
        <w:overflowPunct/>
        <w:topLinePunct w:val="0"/>
        <w:autoSpaceDE/>
        <w:autoSpaceDN/>
        <w:bidi w:val="0"/>
        <w:adjustRightInd/>
        <w:snapToGrid/>
        <w:ind w:left="0" w:leftChars="0" w:firstLine="0" w:firstLineChars="0"/>
        <w:jc w:val="center"/>
        <w:textAlignment w:val="auto"/>
        <w:outlineLvl w:val="0"/>
        <w:rPr>
          <w:rFonts w:hint="eastAsia"/>
          <w:color w:val="auto"/>
          <w:highlight w:val="none"/>
        </w:rPr>
      </w:pPr>
      <w:bookmarkStart w:id="26" w:name="_Toc17141"/>
      <w:r>
        <w:rPr>
          <w:rFonts w:hint="eastAsia" w:ascii="黑体" w:hAnsi="黑体" w:eastAsia="黑体" w:cs="黑体"/>
          <w:b w:val="0"/>
          <w:bCs/>
          <w:color w:val="auto"/>
          <w:highlight w:val="none"/>
          <w:lang w:eastAsia="zh-CN"/>
        </w:rPr>
        <w:t>第六章</w:t>
      </w:r>
      <w:r>
        <w:rPr>
          <w:rFonts w:hint="eastAsia" w:ascii="黑体" w:hAnsi="黑体" w:eastAsia="黑体" w:cs="黑体"/>
          <w:b w:val="0"/>
          <w:bCs/>
          <w:color w:val="auto"/>
          <w:highlight w:val="none"/>
          <w:lang w:val="en-US" w:eastAsia="zh-CN"/>
        </w:rPr>
        <w:t xml:space="preserve"> </w:t>
      </w:r>
      <w:r>
        <w:rPr>
          <w:rFonts w:hint="eastAsia" w:ascii="黑体" w:hAnsi="黑体" w:eastAsia="黑体" w:cs="黑体"/>
          <w:b w:val="0"/>
          <w:bCs/>
          <w:color w:val="auto"/>
          <w:highlight w:val="none"/>
        </w:rPr>
        <w:t>构建和谐劳动关系，维护劳动者合法权益</w:t>
      </w:r>
      <w:bookmarkEnd w:id="26"/>
    </w:p>
    <w:p w14:paraId="17D1EED4">
      <w:pPr>
        <w:keepNext/>
        <w:keepLines w:val="0"/>
        <w:pageBreakBefore w:val="0"/>
        <w:widowControl w:val="0"/>
        <w:kinsoku/>
        <w:overflowPunct/>
        <w:topLinePunct w:val="0"/>
        <w:autoSpaceDE/>
        <w:autoSpaceDN/>
        <w:bidi w:val="0"/>
        <w:adjustRightInd/>
        <w:snapToGrid/>
        <w:ind w:firstLine="640" w:firstLineChars="200"/>
        <w:jc w:val="both"/>
        <w:textAlignment w:val="auto"/>
        <w:outlineLvl w:val="9"/>
        <w:rPr>
          <w:rFonts w:hint="eastAsia" w:ascii="Times New Roman" w:hAnsi="Times New Roman" w:eastAsia="方正仿宋_GBK" w:cs="Times New Roman"/>
          <w:sz w:val="32"/>
          <w:szCs w:val="32"/>
          <w:highlight w:val="none"/>
          <w:lang w:val="en-US" w:eastAsia="zh-CN"/>
        </w:rPr>
      </w:pPr>
      <w:bookmarkStart w:id="27" w:name="_Toc26902"/>
      <w:r>
        <w:rPr>
          <w:rFonts w:hint="eastAsia" w:ascii="Times New Roman" w:hAnsi="Times New Roman" w:eastAsia="方正仿宋_GBK" w:cs="Times New Roman"/>
          <w:sz w:val="32"/>
          <w:szCs w:val="32"/>
          <w:highlight w:val="none"/>
          <w:lang w:val="en-US" w:eastAsia="zh-CN"/>
        </w:rPr>
        <w:t>以深化劳动关系改革创新为引领，完善劳动关系和谐体制机制，着力推进和谐劳动关系从拓面向提质增效跃升，推动调解仲裁多元快调速裁机制建设，提升劳动保障监察执法效能，构建规范有序、公正合理、合作共赢、和谐稳定的劳动关系。</w:t>
      </w:r>
    </w:p>
    <w:p w14:paraId="52DAC0A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r>
        <w:rPr>
          <w:rFonts w:hint="eastAsia" w:ascii="方正楷体简体" w:hAnsi="方正楷体简体" w:eastAsia="方正楷体简体" w:cs="方正楷体简体"/>
          <w:b w:val="0"/>
          <w:bCs/>
          <w:color w:val="auto"/>
          <w:kern w:val="2"/>
          <w:sz w:val="32"/>
          <w:szCs w:val="24"/>
          <w:lang w:val="en-US" w:eastAsia="zh-CN" w:bidi="ar-SA"/>
        </w:rPr>
        <w:t>第一节 健全劳动关系治理体系</w:t>
      </w:r>
      <w:bookmarkEnd w:id="27"/>
    </w:p>
    <w:p w14:paraId="5DA0460D">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0"/>
        <w:jc w:val="left"/>
        <w:textAlignment w:val="auto"/>
        <w:outlineLvl w:val="1"/>
        <w:rPr>
          <w:rFonts w:hint="default" w:ascii="Times New Roman" w:hAnsi="Times New Roman" w:eastAsia="方正仿宋_GBK" w:cs="Times New Roman"/>
          <w:sz w:val="32"/>
          <w:szCs w:val="32"/>
          <w:highlight w:val="none"/>
          <w:u w:val="none"/>
          <w:lang w:val="en-US" w:eastAsia="zh-CN"/>
        </w:rPr>
      </w:pPr>
      <w:bookmarkStart w:id="28" w:name="_Toc2257"/>
      <w:r>
        <w:rPr>
          <w:rFonts w:hint="eastAsia" w:ascii="Times New Roman" w:hAnsi="Times New Roman" w:eastAsia="方正仿宋_GBK" w:cs="Times New Roman"/>
          <w:i w:val="0"/>
          <w:iCs w:val="0"/>
          <w:sz w:val="32"/>
          <w:szCs w:val="32"/>
          <w:highlight w:val="none"/>
          <w:u w:val="none"/>
          <w:lang w:val="en-US" w:eastAsia="zh-CN"/>
        </w:rPr>
        <w:t>完善政府、工会、企业共同参与的协商协调机制，促进“劳”“资”和谐，实现共建共享、互利共赢的新型劳动关系格局。加强劳动关系协调组织建设，及时化解劳动纠纷，提高劳动关系协调质效。依法开展集体合同备案审查，充分发挥集体协商在工资增长、改善劳动条件等方面的关键作用。</w:t>
      </w:r>
      <w:r>
        <w:rPr>
          <w:rFonts w:hint="default" w:ascii="Times New Roman" w:hAnsi="Times New Roman" w:eastAsia="方正仿宋_GBK" w:cs="Times New Roman"/>
          <w:sz w:val="32"/>
          <w:szCs w:val="32"/>
          <w:highlight w:val="none"/>
          <w:u w:val="none"/>
          <w:lang w:val="en-US" w:eastAsia="zh-CN"/>
        </w:rPr>
        <w:t>全面落实劳动合同制度，持续推广使用电子劳动合同，扩大电子劳动合同应用场景</w:t>
      </w:r>
      <w:r>
        <w:rPr>
          <w:rFonts w:hint="eastAsia" w:ascii="Times New Roman" w:hAnsi="Times New Roman" w:eastAsia="方正仿宋_GBK" w:cs="Times New Roman"/>
          <w:sz w:val="32"/>
          <w:szCs w:val="32"/>
          <w:highlight w:val="none"/>
          <w:u w:val="none"/>
          <w:lang w:val="en-US" w:eastAsia="zh-CN"/>
        </w:rPr>
        <w:t>。</w:t>
      </w:r>
      <w:r>
        <w:rPr>
          <w:rFonts w:hint="default" w:ascii="Times New Roman" w:hAnsi="Times New Roman" w:eastAsia="方正仿宋_GBK" w:cs="Times New Roman"/>
          <w:sz w:val="32"/>
          <w:szCs w:val="32"/>
          <w:highlight w:val="none"/>
          <w:u w:val="none"/>
          <w:lang w:val="en-US" w:eastAsia="zh-CN"/>
        </w:rPr>
        <w:t>规范特殊工时审批，督促落实休息休假制度，鼓励实施弹性休假。强化劳务派遣事中事后监管，严格经营许可准入，建立异常经营名录，以信用监管手段提升行业整体服务质量与合规管理水平。</w:t>
      </w:r>
      <w:bookmarkEnd w:id="28"/>
    </w:p>
    <w:p w14:paraId="64335B35">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29" w:name="_Toc12731"/>
      <w:r>
        <w:rPr>
          <w:rFonts w:hint="eastAsia" w:ascii="方正楷体简体" w:hAnsi="方正楷体简体" w:eastAsia="方正楷体简体" w:cs="方正楷体简体"/>
          <w:b w:val="0"/>
          <w:bCs/>
          <w:color w:val="auto"/>
          <w:kern w:val="2"/>
          <w:sz w:val="32"/>
          <w:szCs w:val="24"/>
          <w:lang w:val="en-US" w:eastAsia="zh-CN" w:bidi="ar-SA"/>
        </w:rPr>
        <w:t>第二节 增进劳动争议调解仲裁质效</w:t>
      </w:r>
      <w:bookmarkEnd w:id="29"/>
    </w:p>
    <w:p w14:paraId="09072C61">
      <w:pPr>
        <w:keepNext/>
        <w:keepLines w:val="0"/>
        <w:pageBreakBefore w:val="0"/>
        <w:widowControl w:val="0"/>
        <w:kinsoku/>
        <w:wordWrap/>
        <w:overflowPunct/>
        <w:topLinePunct w:val="0"/>
        <w:autoSpaceDE/>
        <w:autoSpaceDN/>
        <w:bidi w:val="0"/>
        <w:adjustRightInd/>
        <w:snapToGrid/>
        <w:jc w:val="both"/>
        <w:textAlignment w:val="auto"/>
        <w:outlineLvl w:val="9"/>
        <w:rPr>
          <w:rFonts w:hint="eastAsia" w:ascii="Times New Roman" w:hAnsi="Times New Roman" w:eastAsia="方正仿宋_GBK" w:cs="Times New Roman"/>
          <w:highlight w:val="none"/>
          <w:u w:val="none"/>
          <w:lang w:eastAsia="zh-CN"/>
        </w:rPr>
      </w:pPr>
      <w:r>
        <w:rPr>
          <w:rFonts w:hint="eastAsia" w:ascii="Times New Roman" w:hAnsi="Times New Roman" w:eastAsia="方正仿宋_GBK" w:cs="Times New Roman"/>
          <w:highlight w:val="none"/>
          <w:u w:val="none"/>
          <w:lang w:eastAsia="zh-CN"/>
        </w:rPr>
        <w:t>完善劳动人事争议多元处理机制，</w:t>
      </w:r>
      <w:r>
        <w:rPr>
          <w:rFonts w:hint="default" w:ascii="Times New Roman" w:hAnsi="Times New Roman" w:eastAsia="方正仿宋_GBK" w:cs="Times New Roman"/>
          <w:highlight w:val="none"/>
          <w:u w:val="none"/>
        </w:rPr>
        <w:t>推动仲裁机构与调解组织关口前移、重心下沉，</w:t>
      </w:r>
      <w:r>
        <w:rPr>
          <w:rFonts w:hint="eastAsia" w:ascii="Times New Roman" w:hAnsi="Times New Roman" w:eastAsia="方正仿宋_GBK" w:cs="Times New Roman"/>
          <w:highlight w:val="none"/>
          <w:u w:val="none"/>
          <w:lang w:eastAsia="zh-CN"/>
        </w:rPr>
        <w:t>做好</w:t>
      </w:r>
      <w:r>
        <w:rPr>
          <w:rFonts w:hint="default" w:ascii="Times New Roman" w:hAnsi="Times New Roman" w:eastAsia="方正仿宋_GBK" w:cs="Times New Roman"/>
          <w:highlight w:val="none"/>
          <w:u w:val="none"/>
        </w:rPr>
        <w:t>正向引导与风险提示</w:t>
      </w:r>
      <w:r>
        <w:rPr>
          <w:rFonts w:hint="eastAsia" w:ascii="Times New Roman" w:hAnsi="Times New Roman" w:eastAsia="方正仿宋_GBK" w:cs="Times New Roman"/>
          <w:highlight w:val="none"/>
          <w:u w:val="none"/>
          <w:lang w:eastAsia="zh-CN"/>
        </w:rPr>
        <w:t>。健全争议预警机制，加强企业用工合规指导，推动新就业形态劳动者劳动纠纷一站式调解。</w:t>
      </w:r>
      <w:r>
        <w:rPr>
          <w:rFonts w:hint="eastAsia" w:ascii="Times New Roman" w:hAnsi="Times New Roman" w:eastAsia="方正仿宋_GBK" w:cs="Times New Roman"/>
          <w:color w:val="auto"/>
          <w:highlight w:val="none"/>
          <w:u w:val="none"/>
          <w:lang w:eastAsia="zh-CN"/>
        </w:rPr>
        <w:t>强化“市、区（县）仲裁机构+乡镇（街道）调解中心+企业</w:t>
      </w:r>
      <w:r>
        <w:rPr>
          <w:rFonts w:hint="eastAsia" w:ascii="Times New Roman" w:hAnsi="Times New Roman" w:eastAsia="方正仿宋_GBK" w:cs="Times New Roman"/>
          <w:color w:val="auto"/>
          <w:highlight w:val="none"/>
          <w:u w:val="none"/>
          <w:lang w:val="en-US" w:eastAsia="zh-CN"/>
        </w:rPr>
        <w:t>、</w:t>
      </w:r>
      <w:r>
        <w:rPr>
          <w:rFonts w:hint="eastAsia" w:ascii="方正仿宋_GBK" w:hAnsi="方正仿宋_GBK" w:eastAsia="方正仿宋_GBK" w:cs="方正仿宋_GBK"/>
          <w:color w:val="auto"/>
          <w:sz w:val="32"/>
          <w:szCs w:val="32"/>
          <w:highlight w:val="none"/>
          <w:u w:val="none"/>
          <w:lang w:val="en-US" w:eastAsia="zh-CN"/>
        </w:rPr>
        <w:t>行业</w:t>
      </w:r>
      <w:r>
        <w:rPr>
          <w:rFonts w:hint="eastAsia" w:ascii="Times New Roman" w:hAnsi="Times New Roman" w:eastAsia="方正仿宋_GBK" w:cs="Times New Roman"/>
          <w:color w:val="auto"/>
          <w:highlight w:val="none"/>
          <w:u w:val="none"/>
          <w:lang w:eastAsia="zh-CN"/>
        </w:rPr>
        <w:t>调解委员会”四级调解网络建设和“工会+调解”联合调处机制，依托乡镇（街道）综治中心，推动乡镇（街道）劳动人事争议调解中心实现资源整合、机制联动、服务升级。探索“人工智能+调解仲裁”场景建设、智能辅助裁决，加大“互</w:t>
      </w:r>
      <w:r>
        <w:rPr>
          <w:rFonts w:hint="eastAsia" w:ascii="Times New Roman" w:hAnsi="Times New Roman" w:eastAsia="方正仿宋_GBK" w:cs="Times New Roman"/>
          <w:highlight w:val="none"/>
          <w:u w:val="none"/>
          <w:lang w:eastAsia="zh-CN"/>
        </w:rPr>
        <w:t>联网+调解”服务平台推广使用力度。强化调解仲裁与诉讼衔接，提高裁审一致率。不断深化仲裁监督，规范自由裁量权行使。鼓励和支持</w:t>
      </w:r>
      <w:r>
        <w:rPr>
          <w:rFonts w:hint="default" w:ascii="Times New Roman" w:hAnsi="Times New Roman" w:eastAsia="方正仿宋_GBK" w:cs="Times New Roman"/>
          <w:highlight w:val="none"/>
          <w:u w:val="none"/>
        </w:rPr>
        <w:t>人力资源管理者、律师、退休法检人员等专业力量</w:t>
      </w:r>
      <w:r>
        <w:rPr>
          <w:rFonts w:hint="eastAsia" w:ascii="Times New Roman" w:hAnsi="Times New Roman" w:eastAsia="方正仿宋_GBK" w:cs="Times New Roman"/>
          <w:highlight w:val="none"/>
          <w:u w:val="none"/>
          <w:lang w:eastAsia="zh-CN"/>
        </w:rPr>
        <w:t>充实</w:t>
      </w:r>
      <w:r>
        <w:rPr>
          <w:rFonts w:hint="default" w:ascii="Times New Roman" w:hAnsi="Times New Roman" w:eastAsia="方正仿宋_GBK" w:cs="Times New Roman"/>
          <w:highlight w:val="none"/>
          <w:u w:val="none"/>
        </w:rPr>
        <w:t>调解</w:t>
      </w:r>
      <w:r>
        <w:rPr>
          <w:rFonts w:hint="eastAsia" w:ascii="Times New Roman" w:hAnsi="Times New Roman" w:eastAsia="方正仿宋_GBK" w:cs="Times New Roman"/>
          <w:highlight w:val="none"/>
          <w:u w:val="none"/>
          <w:lang w:eastAsia="zh-CN"/>
        </w:rPr>
        <w:t>员</w:t>
      </w:r>
      <w:r>
        <w:rPr>
          <w:rFonts w:hint="default" w:ascii="Times New Roman" w:hAnsi="Times New Roman" w:eastAsia="方正仿宋_GBK" w:cs="Times New Roman"/>
          <w:highlight w:val="none"/>
          <w:u w:val="none"/>
        </w:rPr>
        <w:t>队伍</w:t>
      </w:r>
      <w:r>
        <w:rPr>
          <w:rFonts w:hint="eastAsia" w:ascii="Times New Roman" w:hAnsi="Times New Roman" w:eastAsia="方正仿宋_GBK" w:cs="Times New Roman"/>
          <w:highlight w:val="none"/>
          <w:u w:val="none"/>
          <w:lang w:eastAsia="zh-CN"/>
        </w:rPr>
        <w:t>。</w:t>
      </w:r>
      <w:r>
        <w:rPr>
          <w:rFonts w:hint="default" w:ascii="Times New Roman" w:hAnsi="Times New Roman" w:eastAsia="方正仿宋_GBK" w:cs="Times New Roman"/>
          <w:highlight w:val="none"/>
          <w:u w:val="none"/>
        </w:rPr>
        <w:t>锻造专业</w:t>
      </w:r>
      <w:r>
        <w:rPr>
          <w:rFonts w:hint="eastAsia" w:ascii="Times New Roman" w:hAnsi="Times New Roman" w:eastAsia="方正仿宋_GBK" w:cs="Times New Roman"/>
          <w:highlight w:val="none"/>
          <w:u w:val="none"/>
          <w:lang w:eastAsia="zh-CN"/>
        </w:rPr>
        <w:t>调解</w:t>
      </w:r>
      <w:r>
        <w:rPr>
          <w:rFonts w:hint="default" w:ascii="Times New Roman" w:hAnsi="Times New Roman" w:eastAsia="方正仿宋_GBK" w:cs="Times New Roman"/>
          <w:highlight w:val="none"/>
          <w:u w:val="none"/>
        </w:rPr>
        <w:t>仲裁队伍</w:t>
      </w:r>
      <w:r>
        <w:rPr>
          <w:rFonts w:hint="eastAsia" w:ascii="Times New Roman" w:hAnsi="Times New Roman" w:eastAsia="方正仿宋_GBK" w:cs="Times New Roman"/>
          <w:highlight w:val="none"/>
          <w:u w:val="none"/>
          <w:lang w:eastAsia="zh-CN"/>
        </w:rPr>
        <w:t>，</w:t>
      </w:r>
      <w:r>
        <w:rPr>
          <w:rFonts w:hint="default" w:ascii="Times New Roman" w:hAnsi="Times New Roman" w:eastAsia="方正仿宋_GBK" w:cs="Times New Roman"/>
          <w:highlight w:val="none"/>
          <w:u w:val="none"/>
        </w:rPr>
        <w:t>提升调解仲裁服务质效与公信力</w:t>
      </w:r>
      <w:r>
        <w:rPr>
          <w:rFonts w:hint="eastAsia" w:ascii="Times New Roman" w:hAnsi="Times New Roman" w:eastAsia="方正仿宋_GBK" w:cs="Times New Roman"/>
          <w:highlight w:val="none"/>
          <w:u w:val="none"/>
          <w:lang w:eastAsia="zh-CN"/>
        </w:rPr>
        <w:t>。</w:t>
      </w:r>
    </w:p>
    <w:tbl>
      <w:tblPr>
        <w:tblStyle w:val="21"/>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4"/>
      </w:tblGrid>
      <w:tr w14:paraId="71BD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94" w:type="dxa"/>
            <w:noWrap w:val="0"/>
            <w:vAlign w:val="top"/>
          </w:tcPr>
          <w:p w14:paraId="10CB09B2">
            <w:pPr>
              <w:keepNext/>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Autospacing="0" w:afterAutospacing="0" w:line="360" w:lineRule="auto"/>
              <w:ind w:left="0" w:leftChars="0"/>
              <w:jc w:val="center"/>
              <w:textAlignment w:val="auto"/>
              <w:outlineLvl w:val="9"/>
              <w:rPr>
                <w:rFonts w:hint="eastAsia" w:ascii="方正仿宋_GBK" w:hAnsi="方正仿宋_GBK" w:eastAsia="方正仿宋_GBK" w:cs="方正仿宋_GBK"/>
                <w:b w:val="0"/>
                <w:bCs w:val="0"/>
                <w:color w:val="auto"/>
                <w:sz w:val="32"/>
                <w:szCs w:val="32"/>
                <w:vertAlign w:val="baseline"/>
                <w:lang w:val="en-US" w:eastAsia="zh-CN"/>
              </w:rPr>
            </w:pPr>
            <w:r>
              <w:rPr>
                <w:rFonts w:hint="default" w:ascii="Times New Roman" w:hAnsi="Times New Roman" w:eastAsia="方正黑体_GBK" w:cs="Times New Roman"/>
                <w:b w:val="0"/>
                <w:bCs w:val="0"/>
                <w:color w:val="auto"/>
                <w:sz w:val="24"/>
                <w:szCs w:val="24"/>
                <w:highlight w:val="none"/>
                <w:lang w:val="en-US" w:eastAsia="zh-CN"/>
              </w:rPr>
              <w:t>专栏</w:t>
            </w:r>
            <w:r>
              <w:rPr>
                <w:rFonts w:hint="eastAsia" w:ascii="Times New Roman" w:hAnsi="Times New Roman" w:eastAsia="方正黑体_GBK" w:cs="Times New Roman"/>
                <w:b w:val="0"/>
                <w:bCs w:val="0"/>
                <w:color w:val="auto"/>
                <w:sz w:val="24"/>
                <w:szCs w:val="24"/>
                <w:highlight w:val="none"/>
                <w:lang w:val="en-US" w:eastAsia="zh-CN"/>
              </w:rPr>
              <w:t xml:space="preserve">13 </w:t>
            </w:r>
            <w:r>
              <w:rPr>
                <w:rFonts w:hint="default" w:ascii="Times New Roman" w:hAnsi="Times New Roman" w:eastAsia="方正黑体_GBK" w:cs="Times New Roman"/>
                <w:b w:val="0"/>
                <w:bCs w:val="0"/>
                <w:color w:val="auto"/>
                <w:sz w:val="24"/>
                <w:szCs w:val="24"/>
                <w:highlight w:val="none"/>
                <w:lang w:val="en-US" w:eastAsia="zh-CN"/>
              </w:rPr>
              <w:t>调解仲裁提质增效行动</w:t>
            </w:r>
          </w:p>
        </w:tc>
      </w:tr>
      <w:tr w14:paraId="73B3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4" w:type="dxa"/>
            <w:noWrap w:val="0"/>
            <w:vAlign w:val="top"/>
          </w:tcPr>
          <w:p w14:paraId="7574ED2C">
            <w:pPr>
              <w:keepNext/>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Chars="0" w:right="0" w:rightChars="0" w:firstLine="482" w:firstLineChars="200"/>
              <w:jc w:val="both"/>
              <w:textAlignment w:val="auto"/>
              <w:outlineLvl w:val="9"/>
              <w:rPr>
                <w:rFonts w:hint="default" w:ascii="Times New Roman" w:hAnsi="Times New Roman" w:eastAsia="方正仿宋_GBK" w:cs="Times New Roman"/>
                <w:color w:val="auto"/>
                <w:sz w:val="24"/>
                <w:szCs w:val="24"/>
                <w:highlight w:val="none"/>
                <w:u w:val="none"/>
                <w:lang w:val="en-US" w:eastAsia="zh-CN"/>
              </w:rPr>
            </w:pPr>
            <w:r>
              <w:rPr>
                <w:rFonts w:hint="default" w:ascii="Times New Roman" w:hAnsi="Times New Roman" w:eastAsia="方正仿宋_GBK" w:cs="Times New Roman"/>
                <w:b/>
                <w:bCs/>
                <w:color w:val="auto"/>
                <w:sz w:val="24"/>
                <w:szCs w:val="24"/>
                <w:highlight w:val="none"/>
                <w:lang w:val="en-US" w:eastAsia="zh-CN"/>
              </w:rPr>
              <w:t>1.劳动权益保障服务点</w:t>
            </w:r>
            <w:r>
              <w:rPr>
                <w:rFonts w:hint="eastAsia" w:ascii="Times New Roman" w:hAnsi="Times New Roman" w:eastAsia="方正仿宋_GBK" w:cs="Times New Roman"/>
                <w:b/>
                <w:bCs/>
                <w:color w:val="auto"/>
                <w:sz w:val="24"/>
                <w:szCs w:val="24"/>
                <w:highlight w:val="none"/>
                <w:lang w:val="en-US" w:eastAsia="zh-CN"/>
              </w:rPr>
              <w:t>建设行动。</w:t>
            </w:r>
            <w:r>
              <w:rPr>
                <w:rFonts w:hint="default" w:ascii="Times New Roman" w:hAnsi="Times New Roman" w:eastAsia="方正仿宋_GBK" w:cs="Times New Roman"/>
                <w:color w:val="auto"/>
                <w:sz w:val="24"/>
                <w:szCs w:val="24"/>
                <w:highlight w:val="none"/>
                <w:lang w:val="en-US" w:eastAsia="zh-CN"/>
              </w:rPr>
              <w:t>在新就业形态劳动者</w:t>
            </w:r>
            <w:r>
              <w:rPr>
                <w:rFonts w:hint="eastAsia" w:ascii="Times New Roman" w:hAnsi="Times New Roman" w:eastAsia="方正仿宋_GBK" w:cs="Times New Roman"/>
                <w:color w:val="auto"/>
                <w:sz w:val="24"/>
                <w:szCs w:val="24"/>
                <w:highlight w:val="none"/>
                <w:u w:val="none"/>
                <w:lang w:val="en-US" w:eastAsia="zh-CN"/>
              </w:rPr>
              <w:t>集中区域或</w:t>
            </w:r>
            <w:r>
              <w:rPr>
                <w:rFonts w:hint="default" w:ascii="Times New Roman" w:hAnsi="Times New Roman" w:eastAsia="方正仿宋_GBK" w:cs="Times New Roman"/>
                <w:color w:val="auto"/>
                <w:sz w:val="24"/>
                <w:szCs w:val="24"/>
                <w:highlight w:val="none"/>
                <w:u w:val="none"/>
                <w:lang w:val="en-US" w:eastAsia="zh-CN"/>
              </w:rPr>
              <w:t>商圈周边，设立劳动权益保障服务点</w:t>
            </w:r>
            <w:r>
              <w:rPr>
                <w:rFonts w:hint="eastAsia" w:ascii="Times New Roman" w:hAnsi="Times New Roman" w:eastAsia="方正仿宋_GBK" w:cs="Times New Roman"/>
                <w:color w:val="auto"/>
                <w:sz w:val="24"/>
                <w:szCs w:val="24"/>
                <w:highlight w:val="none"/>
                <w:u w:val="none"/>
                <w:lang w:val="en-US" w:eastAsia="zh-CN"/>
              </w:rPr>
              <w:t>不少于10个</w:t>
            </w:r>
            <w:r>
              <w:rPr>
                <w:rFonts w:hint="default" w:ascii="Times New Roman" w:hAnsi="Times New Roman" w:eastAsia="方正仿宋_GBK" w:cs="Times New Roman"/>
                <w:color w:val="auto"/>
                <w:sz w:val="24"/>
                <w:szCs w:val="24"/>
                <w:highlight w:val="none"/>
                <w:u w:val="none"/>
                <w:lang w:val="en-US" w:eastAsia="zh-CN"/>
              </w:rPr>
              <w:t>。</w:t>
            </w:r>
          </w:p>
          <w:p w14:paraId="1D0A548A">
            <w:pPr>
              <w:keepNext/>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Chars="0" w:right="0" w:rightChars="0" w:firstLine="482" w:firstLineChars="200"/>
              <w:jc w:val="both"/>
              <w:textAlignment w:val="auto"/>
              <w:outlineLvl w:val="9"/>
              <w:rPr>
                <w:rFonts w:hint="default" w:ascii="Times New Roman" w:hAnsi="Times New Roman" w:eastAsia="方正仿宋_GBK" w:cs="Times New Roman"/>
                <w:color w:val="auto"/>
                <w:sz w:val="24"/>
                <w:szCs w:val="24"/>
                <w:highlight w:val="none"/>
                <w:u w:val="none"/>
                <w:lang w:val="en-US" w:eastAsia="zh-CN"/>
              </w:rPr>
            </w:pPr>
            <w:r>
              <w:rPr>
                <w:rFonts w:hint="default" w:ascii="Times New Roman" w:hAnsi="Times New Roman" w:eastAsia="方正仿宋_GBK" w:cs="Times New Roman"/>
                <w:b/>
                <w:bCs/>
                <w:color w:val="auto"/>
                <w:sz w:val="24"/>
                <w:szCs w:val="24"/>
                <w:highlight w:val="none"/>
                <w:u w:val="none"/>
                <w:lang w:val="en-US" w:eastAsia="zh-CN"/>
              </w:rPr>
              <w:t>2.</w:t>
            </w:r>
            <w:r>
              <w:rPr>
                <w:rFonts w:hint="eastAsia" w:ascii="Times New Roman" w:hAnsi="Times New Roman" w:eastAsia="方正仿宋_GBK" w:cs="Times New Roman"/>
                <w:b/>
                <w:bCs/>
                <w:color w:val="auto"/>
                <w:sz w:val="24"/>
                <w:szCs w:val="24"/>
                <w:highlight w:val="none"/>
                <w:u w:val="none"/>
                <w:lang w:val="en-US" w:eastAsia="zh-CN"/>
              </w:rPr>
              <w:t>实施“人工智能+调解仲裁”行动。</w:t>
            </w:r>
            <w:r>
              <w:rPr>
                <w:rFonts w:hint="eastAsia" w:ascii="Times New Roman" w:hAnsi="Times New Roman" w:eastAsia="方正仿宋_GBK" w:cs="Times New Roman"/>
                <w:color w:val="auto"/>
                <w:sz w:val="24"/>
                <w:szCs w:val="24"/>
                <w:highlight w:val="none"/>
                <w:u w:val="none"/>
                <w:lang w:val="en-US" w:eastAsia="zh-CN"/>
              </w:rPr>
              <w:t>拓展智能辅助裁决等</w:t>
            </w:r>
            <w:r>
              <w:rPr>
                <w:rFonts w:hint="eastAsia" w:ascii="方正仿宋_GBK" w:hAnsi="方正仿宋_GBK" w:eastAsia="方正仿宋_GBK" w:cs="方正仿宋_GBK"/>
                <w:color w:val="auto"/>
                <w:sz w:val="24"/>
                <w:szCs w:val="24"/>
                <w:highlight w:val="none"/>
                <w:u w:val="none"/>
                <w:lang w:val="en-US" w:eastAsia="zh-CN"/>
              </w:rPr>
              <w:t>“人工智能+调解仲裁”</w:t>
            </w:r>
            <w:r>
              <w:rPr>
                <w:rFonts w:hint="default" w:ascii="Times New Roman" w:hAnsi="Times New Roman" w:eastAsia="方正仿宋_GBK" w:cs="Times New Roman"/>
                <w:color w:val="auto"/>
                <w:sz w:val="24"/>
                <w:szCs w:val="24"/>
                <w:highlight w:val="none"/>
                <w:u w:val="none"/>
                <w:lang w:val="en-US" w:eastAsia="zh-CN"/>
              </w:rPr>
              <w:t>应用</w:t>
            </w:r>
            <w:r>
              <w:rPr>
                <w:rFonts w:hint="eastAsia" w:ascii="Times New Roman" w:hAnsi="Times New Roman" w:eastAsia="方正仿宋_GBK" w:cs="Times New Roman"/>
                <w:color w:val="auto"/>
                <w:sz w:val="24"/>
                <w:szCs w:val="24"/>
                <w:highlight w:val="none"/>
                <w:u w:val="none"/>
                <w:lang w:val="en-US" w:eastAsia="zh-CN"/>
              </w:rPr>
              <w:t>场景，以数字化赋能劳动人事争议调处提质增效</w:t>
            </w:r>
            <w:r>
              <w:rPr>
                <w:rFonts w:hint="default" w:ascii="Times New Roman" w:hAnsi="Times New Roman" w:eastAsia="方正仿宋_GBK" w:cs="Times New Roman"/>
                <w:color w:val="auto"/>
                <w:sz w:val="24"/>
                <w:szCs w:val="24"/>
                <w:highlight w:val="none"/>
                <w:u w:val="none"/>
                <w:lang w:val="en-US" w:eastAsia="zh-CN"/>
              </w:rPr>
              <w:t>。</w:t>
            </w:r>
          </w:p>
          <w:p w14:paraId="50C983C1">
            <w:pPr>
              <w:keepNext/>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default" w:ascii="Times New Roman" w:hAnsi="Times New Roman" w:eastAsia="方正仿宋_GBK" w:cs="Times New Roman"/>
                <w:color w:val="auto"/>
                <w:sz w:val="24"/>
                <w:szCs w:val="24"/>
                <w:highlight w:val="none"/>
                <w:u w:val="none"/>
                <w:lang w:val="en-US" w:eastAsia="zh-CN"/>
              </w:rPr>
            </w:pPr>
            <w:r>
              <w:rPr>
                <w:rFonts w:hint="default" w:ascii="Times New Roman" w:hAnsi="Times New Roman" w:eastAsia="方正仿宋_GBK" w:cs="Times New Roman"/>
                <w:b/>
                <w:bCs/>
                <w:color w:val="auto"/>
                <w:sz w:val="24"/>
                <w:szCs w:val="24"/>
                <w:highlight w:val="none"/>
                <w:u w:val="none"/>
                <w:lang w:val="en-US" w:eastAsia="zh-CN"/>
              </w:rPr>
              <w:t>3.</w:t>
            </w:r>
            <w:r>
              <w:rPr>
                <w:rFonts w:hint="eastAsia" w:ascii="Times New Roman" w:hAnsi="Times New Roman" w:eastAsia="方正仿宋_GBK" w:cs="Times New Roman"/>
                <w:b/>
                <w:bCs/>
                <w:color w:val="auto"/>
                <w:sz w:val="24"/>
                <w:szCs w:val="24"/>
                <w:highlight w:val="none"/>
                <w:u w:val="none"/>
                <w:lang w:val="en-US" w:eastAsia="zh-CN"/>
              </w:rPr>
              <w:t>劳动人事争议联合调解工作室建设行动。</w:t>
            </w:r>
            <w:r>
              <w:rPr>
                <w:rFonts w:hint="default" w:ascii="Times New Roman" w:hAnsi="Times New Roman" w:eastAsia="方正仿宋_GBK" w:cs="Times New Roman"/>
                <w:b w:val="0"/>
                <w:bCs w:val="0"/>
                <w:color w:val="auto"/>
                <w:sz w:val="24"/>
                <w:szCs w:val="24"/>
                <w:highlight w:val="none"/>
                <w:u w:val="none"/>
                <w:lang w:val="en-US" w:eastAsia="zh-CN"/>
              </w:rPr>
              <w:t>在</w:t>
            </w:r>
            <w:r>
              <w:rPr>
                <w:rFonts w:hint="eastAsia" w:ascii="Times New Roman" w:hAnsi="Times New Roman" w:eastAsia="方正仿宋_GBK" w:cs="Times New Roman"/>
                <w:b w:val="0"/>
                <w:bCs w:val="0"/>
                <w:color w:val="auto"/>
                <w:sz w:val="24"/>
                <w:szCs w:val="24"/>
                <w:highlight w:val="none"/>
                <w:u w:val="none"/>
                <w:lang w:val="en-US" w:eastAsia="zh-CN"/>
              </w:rPr>
              <w:t>中心城区</w:t>
            </w:r>
            <w:r>
              <w:rPr>
                <w:rFonts w:hint="default" w:ascii="Times New Roman" w:hAnsi="Times New Roman" w:eastAsia="方正仿宋_GBK" w:cs="Times New Roman"/>
                <w:b w:val="0"/>
                <w:bCs w:val="0"/>
                <w:color w:val="auto"/>
                <w:sz w:val="24"/>
                <w:szCs w:val="24"/>
                <w:highlight w:val="none"/>
                <w:u w:val="none"/>
                <w:lang w:val="en-US" w:eastAsia="zh-CN"/>
              </w:rPr>
              <w:t>设立劳动人事争议联合调解工</w:t>
            </w:r>
            <w:r>
              <w:rPr>
                <w:rFonts w:hint="default" w:ascii="Times New Roman" w:hAnsi="Times New Roman" w:eastAsia="方正仿宋_GBK" w:cs="Times New Roman"/>
                <w:color w:val="auto"/>
                <w:sz w:val="24"/>
                <w:szCs w:val="24"/>
                <w:highlight w:val="none"/>
                <w:u w:val="none"/>
                <w:lang w:val="en-US" w:eastAsia="zh-CN"/>
              </w:rPr>
              <w:t>作室</w:t>
            </w:r>
            <w:r>
              <w:rPr>
                <w:rFonts w:hint="eastAsia" w:ascii="Times New Roman" w:hAnsi="Times New Roman" w:eastAsia="方正仿宋_GBK" w:cs="Times New Roman"/>
                <w:color w:val="auto"/>
                <w:sz w:val="24"/>
                <w:szCs w:val="24"/>
                <w:highlight w:val="none"/>
                <w:u w:val="none"/>
                <w:lang w:val="en-US" w:eastAsia="zh-CN"/>
              </w:rPr>
              <w:t>不少于6个</w:t>
            </w:r>
            <w:r>
              <w:rPr>
                <w:rFonts w:hint="default" w:ascii="Times New Roman" w:hAnsi="Times New Roman" w:eastAsia="方正仿宋_GBK" w:cs="Times New Roman"/>
                <w:color w:val="auto"/>
                <w:sz w:val="24"/>
                <w:szCs w:val="24"/>
                <w:highlight w:val="none"/>
                <w:u w:val="none"/>
                <w:lang w:val="en-US" w:eastAsia="zh-CN"/>
              </w:rPr>
              <w:t>。</w:t>
            </w:r>
          </w:p>
          <w:p w14:paraId="74359737">
            <w:pPr>
              <w:keepNext/>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left"/>
              <w:textAlignment w:val="auto"/>
              <w:outlineLvl w:val="9"/>
              <w:rPr>
                <w:rFonts w:hint="eastAsia" w:ascii="方正仿宋_GBK" w:hAnsi="方正仿宋_GBK" w:eastAsia="方正仿宋_GBK" w:cs="方正仿宋_GBK"/>
                <w:b w:val="0"/>
                <w:bCs w:val="0"/>
                <w:color w:val="auto"/>
                <w:sz w:val="24"/>
                <w:szCs w:val="24"/>
                <w:vertAlign w:val="baseline"/>
                <w:lang w:val="en-US" w:eastAsia="zh-CN"/>
              </w:rPr>
            </w:pPr>
            <w:r>
              <w:rPr>
                <w:rFonts w:hint="eastAsia" w:ascii="Times New Roman" w:hAnsi="Times New Roman" w:eastAsia="方正仿宋_GBK" w:cs="Times New Roman"/>
                <w:b/>
                <w:bCs/>
                <w:color w:val="auto"/>
                <w:sz w:val="24"/>
                <w:szCs w:val="24"/>
                <w:highlight w:val="none"/>
                <w:lang w:val="en-US" w:eastAsia="zh-CN"/>
              </w:rPr>
              <w:t>4</w:t>
            </w:r>
            <w:r>
              <w:rPr>
                <w:rFonts w:hint="default" w:ascii="Times New Roman" w:hAnsi="Times New Roman" w:eastAsia="方正仿宋_GBK" w:cs="Times New Roman"/>
                <w:b/>
                <w:bCs/>
                <w:color w:val="auto"/>
                <w:sz w:val="24"/>
                <w:szCs w:val="24"/>
                <w:highlight w:val="none"/>
                <w:lang w:val="en-US" w:eastAsia="zh-CN"/>
              </w:rPr>
              <w:t>.</w:t>
            </w:r>
            <w:r>
              <w:rPr>
                <w:rFonts w:hint="eastAsia" w:ascii="Times New Roman" w:hAnsi="Times New Roman" w:eastAsia="方正仿宋_GBK" w:cs="Times New Roman"/>
                <w:b/>
                <w:bCs/>
                <w:color w:val="auto"/>
                <w:sz w:val="24"/>
                <w:szCs w:val="24"/>
                <w:highlight w:val="none"/>
                <w:lang w:val="en-US" w:eastAsia="zh-CN"/>
              </w:rPr>
              <w:t>劳动人事争议仲裁员、调解员队伍建设行动。</w:t>
            </w:r>
            <w:r>
              <w:rPr>
                <w:rFonts w:hint="default" w:ascii="Times New Roman" w:hAnsi="Times New Roman" w:eastAsia="方正仿宋_GBK" w:cs="Times New Roman"/>
                <w:color w:val="auto"/>
                <w:sz w:val="24"/>
                <w:szCs w:val="24"/>
                <w:highlight w:val="none"/>
                <w:lang w:val="en-US" w:eastAsia="zh-CN"/>
              </w:rPr>
              <w:t>强化</w:t>
            </w:r>
            <w:r>
              <w:rPr>
                <w:rFonts w:hint="eastAsia" w:ascii="Times New Roman" w:hAnsi="Times New Roman" w:eastAsia="方正仿宋_GBK" w:cs="Times New Roman"/>
                <w:color w:val="auto"/>
                <w:sz w:val="24"/>
                <w:szCs w:val="24"/>
                <w:highlight w:val="none"/>
                <w:lang w:val="en-US" w:eastAsia="zh-CN"/>
              </w:rPr>
              <w:t>仲裁员、</w:t>
            </w:r>
            <w:r>
              <w:rPr>
                <w:rFonts w:hint="default" w:ascii="Times New Roman" w:hAnsi="Times New Roman" w:eastAsia="方正仿宋_GBK" w:cs="Times New Roman"/>
                <w:color w:val="auto"/>
                <w:sz w:val="24"/>
                <w:szCs w:val="24"/>
                <w:highlight w:val="none"/>
                <w:lang w:val="en-US" w:eastAsia="zh-CN"/>
              </w:rPr>
              <w:t>调解员培育</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组建</w:t>
            </w:r>
            <w:r>
              <w:rPr>
                <w:rFonts w:hint="eastAsia" w:ascii="Times New Roman" w:hAnsi="Times New Roman" w:eastAsia="方正仿宋_GBK" w:cs="Times New Roman"/>
                <w:color w:val="auto"/>
                <w:sz w:val="24"/>
                <w:szCs w:val="24"/>
                <w:highlight w:val="none"/>
                <w:lang w:val="en-US" w:eastAsia="zh-CN"/>
              </w:rPr>
              <w:t>并动态调整仲裁员、</w:t>
            </w:r>
            <w:r>
              <w:rPr>
                <w:rFonts w:hint="default" w:ascii="Times New Roman" w:hAnsi="Times New Roman" w:eastAsia="方正仿宋_GBK" w:cs="Times New Roman"/>
                <w:color w:val="auto"/>
                <w:sz w:val="24"/>
                <w:szCs w:val="24"/>
                <w:highlight w:val="none"/>
                <w:lang w:val="en-US" w:eastAsia="zh-CN"/>
              </w:rPr>
              <w:t>调解员专家库，为复杂争议案件提供专业支持。</w:t>
            </w:r>
          </w:p>
        </w:tc>
      </w:tr>
    </w:tbl>
    <w:p w14:paraId="3302AD16">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30" w:name="_Toc9057"/>
      <w:r>
        <w:rPr>
          <w:rFonts w:hint="eastAsia" w:ascii="方正楷体简体" w:hAnsi="方正楷体简体" w:eastAsia="方正楷体简体" w:cs="方正楷体简体"/>
          <w:b w:val="0"/>
          <w:bCs/>
          <w:color w:val="auto"/>
          <w:kern w:val="2"/>
          <w:sz w:val="32"/>
          <w:szCs w:val="24"/>
          <w:lang w:val="en-US" w:eastAsia="zh-CN" w:bidi="ar-SA"/>
        </w:rPr>
        <w:t>第三节 提高劳动保障监察执法效能</w:t>
      </w:r>
      <w:bookmarkEnd w:id="30"/>
    </w:p>
    <w:p w14:paraId="151EFA2A">
      <w:pPr>
        <w:keepNext/>
        <w:keepLines w:val="0"/>
        <w:pageBreakBefore w:val="0"/>
        <w:widowControl w:val="0"/>
        <w:kinsoku/>
        <w:overflowPunct/>
        <w:topLinePunct w:val="0"/>
        <w:autoSpaceDE/>
        <w:autoSpaceDN/>
        <w:bidi w:val="0"/>
        <w:adjustRightInd/>
        <w:snapToGrid/>
        <w:jc w:val="both"/>
        <w:textAlignment w:val="auto"/>
        <w:outlineLvl w:val="9"/>
        <w:rPr>
          <w:rFonts w:hint="eastAsia" w:ascii="方正仿宋_GBK" w:hAnsi="方正仿宋_GBK" w:eastAsia="方正仿宋_GBK" w:cs="方正仿宋_GBK"/>
          <w:color w:val="auto"/>
          <w:kern w:val="2"/>
          <w:sz w:val="32"/>
          <w:szCs w:val="32"/>
          <w:highlight w:val="none"/>
          <w:u w:val="none"/>
          <w:lang w:val="en-US" w:eastAsia="zh-CN" w:bidi="ar-SA"/>
        </w:rPr>
      </w:pPr>
      <w:r>
        <w:rPr>
          <w:rFonts w:hint="eastAsia" w:ascii="方正仿宋_GBK" w:hAnsi="方正仿宋_GBK" w:eastAsia="方正仿宋_GBK" w:cs="方正仿宋_GBK"/>
          <w:color w:val="auto"/>
          <w:kern w:val="2"/>
          <w:sz w:val="32"/>
          <w:szCs w:val="32"/>
          <w:highlight w:val="none"/>
          <w:u w:val="none"/>
          <w:lang w:val="en-US" w:eastAsia="zh-CN" w:bidi="ar-SA"/>
        </w:rPr>
        <w:t>持续规范企业劳动合同、工时、工资及加班工资支付、休息休假和劳务派遣等方面用工行为。深入开展清理整顿人力资源市场秩序专项行动，营造公平有序的就业市场环境。加大灵活就业劳动者、高校毕业生、农民工等重点群体权益保护。严格落实自治区劳动用工诚信等级评价细则，依照评价结果实施分级分类监管。进一步完善拒不支付劳动报酬案件行政执法与刑事司法衔接工作机制，推进“人工智能+劳动保障监察”，推行移动执法、线上办案，落实“非现场监管”，不断提升执法效能。开展劳动保障监察执法能力提升培训，加强劳动保障监察执法队伍建设。</w:t>
      </w:r>
    </w:p>
    <w:p w14:paraId="1CB80654">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31" w:name="_Toc15156"/>
      <w:r>
        <w:rPr>
          <w:rFonts w:hint="eastAsia" w:ascii="方正楷体简体" w:hAnsi="方正楷体简体" w:eastAsia="方正楷体简体" w:cs="方正楷体简体"/>
          <w:b w:val="0"/>
          <w:bCs/>
          <w:color w:val="auto"/>
          <w:kern w:val="2"/>
          <w:sz w:val="32"/>
          <w:szCs w:val="24"/>
          <w:lang w:val="en-US" w:eastAsia="zh-CN" w:bidi="ar-SA"/>
        </w:rPr>
        <w:t>第四节 加强新就业形态劳动者权益保障</w:t>
      </w:r>
      <w:bookmarkEnd w:id="31"/>
    </w:p>
    <w:p w14:paraId="17D7BBEA">
      <w:pPr>
        <w:keepNext/>
        <w:keepLines w:val="0"/>
        <w:pageBreakBefore w:val="0"/>
        <w:widowControl w:val="0"/>
        <w:kinsoku/>
        <w:overflowPunct/>
        <w:topLinePunct w:val="0"/>
        <w:autoSpaceDE/>
        <w:autoSpaceDN/>
        <w:bidi w:val="0"/>
        <w:adjustRightInd/>
        <w:snapToGrid/>
        <w:ind w:left="0" w:leftChars="0" w:firstLine="640" w:firstLineChars="200"/>
        <w:jc w:val="both"/>
        <w:textAlignment w:val="auto"/>
        <w:outlineLvl w:val="9"/>
      </w:pPr>
      <w:r>
        <w:rPr>
          <w:rFonts w:hint="default" w:ascii="Times New Roman" w:hAnsi="Times New Roman" w:eastAsia="方正仿宋_GBK" w:cs="Times New Roman"/>
          <w:sz w:val="32"/>
          <w:szCs w:val="32"/>
          <w:highlight w:val="none"/>
          <w:u w:val="none"/>
          <w:lang w:val="en-US" w:eastAsia="zh-CN"/>
        </w:rPr>
        <w:t>落实新就业形态劳动者基本权益保障办法，督促平台履行主体责任</w:t>
      </w:r>
      <w:r>
        <w:rPr>
          <w:rFonts w:hint="eastAsia" w:ascii="Times New Roman" w:hAnsi="Times New Roman" w:eastAsia="方正仿宋_GBK" w:cs="Times New Roman"/>
          <w:sz w:val="32"/>
          <w:szCs w:val="32"/>
          <w:highlight w:val="none"/>
          <w:u w:val="none"/>
          <w:lang w:val="en-US" w:eastAsia="zh-CN"/>
        </w:rPr>
        <w:t>。</w:t>
      </w:r>
      <w:r>
        <w:rPr>
          <w:rFonts w:hint="default" w:ascii="Times New Roman" w:hAnsi="Times New Roman" w:eastAsia="方正仿宋_GBK" w:cs="Times New Roman"/>
          <w:sz w:val="32"/>
          <w:szCs w:val="32"/>
          <w:highlight w:val="none"/>
          <w:u w:val="none"/>
          <w:lang w:val="en-US" w:eastAsia="zh-CN"/>
        </w:rPr>
        <w:t>持续健全新就业群体社会保障体系，不断扩大新就业群体社会保险覆盖面，提高职业伤害保障水平</w:t>
      </w:r>
      <w:r>
        <w:rPr>
          <w:rFonts w:hint="eastAsia" w:ascii="Times New Roman" w:hAnsi="Times New Roman" w:eastAsia="方正仿宋_GBK" w:cs="Times New Roman"/>
          <w:sz w:val="32"/>
          <w:szCs w:val="32"/>
          <w:highlight w:val="none"/>
          <w:u w:val="none"/>
          <w:lang w:val="en-US" w:eastAsia="zh-CN"/>
        </w:rPr>
        <w:t>。</w:t>
      </w:r>
      <w:r>
        <w:rPr>
          <w:rFonts w:hint="default" w:ascii="Times New Roman" w:hAnsi="Times New Roman" w:eastAsia="方正仿宋_GBK" w:cs="Times New Roman"/>
          <w:sz w:val="32"/>
          <w:szCs w:val="32"/>
          <w:highlight w:val="none"/>
          <w:u w:val="none"/>
          <w:lang w:val="en-US" w:eastAsia="zh-CN"/>
        </w:rPr>
        <w:t>大力开展新就业群体职业技能和国通语培训，推进公共服务提质，筑牢权益保障防线。</w:t>
      </w:r>
    </w:p>
    <w:p w14:paraId="5A551D9F">
      <w:pPr>
        <w:keepNext/>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0"/>
        <w:rPr>
          <w:rFonts w:hint="eastAsia" w:ascii="黑体" w:hAnsi="黑体" w:eastAsia="黑体" w:cs="黑体"/>
          <w:b w:val="0"/>
          <w:bCs/>
          <w:color w:val="auto"/>
          <w:highlight w:val="none"/>
          <w:lang w:eastAsia="zh-CN"/>
        </w:rPr>
      </w:pPr>
      <w:bookmarkStart w:id="32" w:name="_Toc22428"/>
      <w:r>
        <w:rPr>
          <w:rFonts w:hint="eastAsia" w:ascii="黑体" w:hAnsi="黑体" w:eastAsia="黑体" w:cs="黑体"/>
          <w:b w:val="0"/>
          <w:bCs/>
          <w:color w:val="auto"/>
          <w:highlight w:val="none"/>
          <w:lang w:eastAsia="zh-CN"/>
        </w:rPr>
        <w:t>第七章</w:t>
      </w:r>
      <w:r>
        <w:rPr>
          <w:rFonts w:hint="eastAsia" w:ascii="黑体" w:hAnsi="黑体" w:eastAsia="黑体" w:cs="黑体"/>
          <w:b w:val="0"/>
          <w:bCs/>
          <w:color w:val="auto"/>
          <w:highlight w:val="none"/>
          <w:lang w:val="en-US" w:eastAsia="zh-CN"/>
        </w:rPr>
        <w:t xml:space="preserve"> </w:t>
      </w:r>
      <w:r>
        <w:rPr>
          <w:rFonts w:hint="eastAsia" w:ascii="黑体" w:hAnsi="黑体" w:eastAsia="黑体" w:cs="黑体"/>
          <w:b w:val="0"/>
          <w:bCs/>
          <w:color w:val="auto"/>
          <w:highlight w:val="none"/>
        </w:rPr>
        <w:t>推进公共服务提质，提升便民服务水平</w:t>
      </w:r>
      <w:bookmarkEnd w:id="32"/>
    </w:p>
    <w:p w14:paraId="2E15DB75">
      <w:pPr>
        <w:keepNext/>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rPr>
        <w:t>以标准化建设筑牢服务根基，以便捷化改造打通便民堵点，</w:t>
      </w:r>
      <w:r>
        <w:rPr>
          <w:rFonts w:hint="eastAsia" w:ascii="方正仿宋_GBK" w:hAnsi="方正仿宋_GBK" w:eastAsia="方正仿宋_GBK" w:cs="方正仿宋_GBK"/>
          <w:color w:val="auto"/>
          <w:highlight w:val="none"/>
          <w:lang w:eastAsia="zh-CN"/>
        </w:rPr>
        <w:t>以均等化覆盖夯实服务公平，</w:t>
      </w:r>
      <w:r>
        <w:rPr>
          <w:rFonts w:hint="eastAsia" w:ascii="方正仿宋_GBK" w:hAnsi="方正仿宋_GBK" w:eastAsia="方正仿宋_GBK" w:cs="方正仿宋_GBK"/>
          <w:color w:val="auto"/>
          <w:highlight w:val="none"/>
        </w:rPr>
        <w:t>以数智化升级驱动服务变革，以品牌化</w:t>
      </w:r>
      <w:r>
        <w:rPr>
          <w:rFonts w:hint="eastAsia" w:ascii="方正仿宋_GBK" w:hAnsi="方正仿宋_GBK" w:eastAsia="方正仿宋_GBK" w:cs="方正仿宋_GBK"/>
          <w:color w:val="auto"/>
          <w:highlight w:val="none"/>
          <w:lang w:eastAsia="zh-CN"/>
        </w:rPr>
        <w:t>聚力</w:t>
      </w:r>
      <w:r>
        <w:rPr>
          <w:rFonts w:hint="eastAsia" w:ascii="方正仿宋_GBK" w:hAnsi="方正仿宋_GBK" w:eastAsia="方正仿宋_GBK" w:cs="方正仿宋_GBK"/>
          <w:color w:val="auto"/>
          <w:highlight w:val="none"/>
        </w:rPr>
        <w:t>打造服务标杆，</w:t>
      </w:r>
      <w:r>
        <w:rPr>
          <w:rFonts w:hint="eastAsia" w:ascii="方正仿宋_GBK" w:hAnsi="方正仿宋_GBK" w:eastAsia="方正仿宋_GBK" w:cs="方正仿宋_GBK"/>
          <w:color w:val="auto"/>
          <w:highlight w:val="none"/>
          <w:lang w:eastAsia="zh-CN"/>
        </w:rPr>
        <w:t>促进公共服务从“保基本”向“提质量”跃升，不断满足各族群众美好生活需要。</w:t>
      </w:r>
    </w:p>
    <w:p w14:paraId="262389CE">
      <w:pPr>
        <w:pStyle w:val="18"/>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33" w:name="_Toc6189"/>
      <w:r>
        <w:rPr>
          <w:rFonts w:hint="eastAsia" w:ascii="方正楷体简体" w:hAnsi="方正楷体简体" w:eastAsia="方正楷体简体" w:cs="方正楷体简体"/>
          <w:b w:val="0"/>
          <w:bCs/>
          <w:color w:val="auto"/>
          <w:kern w:val="2"/>
          <w:sz w:val="32"/>
          <w:szCs w:val="24"/>
          <w:lang w:val="en-US" w:eastAsia="zh-CN" w:bidi="ar-SA"/>
        </w:rPr>
        <w:t>第一节 提升基本公共服务标准化便捷化</w:t>
      </w:r>
      <w:bookmarkEnd w:id="33"/>
    </w:p>
    <w:p w14:paraId="1CD34764">
      <w:pPr>
        <w:keepNext/>
        <w:keepLines w:val="0"/>
        <w:pageBreakBefore w:val="0"/>
        <w:kinsoku/>
        <w:overflowPunct/>
        <w:topLinePunct w:val="0"/>
        <w:autoSpaceDE/>
        <w:autoSpaceDN/>
        <w:bidi w:val="0"/>
        <w:adjustRightInd/>
        <w:snapToGrid/>
        <w:ind w:left="0" w:lef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2312" w:hAnsi="方正仿宋_GB2312" w:eastAsia="方正仿宋_GB2312" w:cs="方正仿宋_GB2312"/>
          <w:b w:val="0"/>
          <w:bCs w:val="0"/>
          <w:color w:val="auto"/>
          <w:highlight w:val="none"/>
          <w:lang w:eastAsia="zh-CN"/>
        </w:rPr>
        <w:t>全面落实</w:t>
      </w:r>
      <w:r>
        <w:rPr>
          <w:rFonts w:hint="eastAsia" w:ascii="方正仿宋_GB2312" w:hAnsi="方正仿宋_GB2312" w:cs="方正仿宋_GB2312"/>
          <w:b w:val="0"/>
          <w:bCs w:val="0"/>
          <w:color w:val="auto"/>
          <w:highlight w:val="none"/>
          <w:lang w:eastAsia="zh-CN"/>
        </w:rPr>
        <w:t>人社</w:t>
      </w:r>
      <w:r>
        <w:rPr>
          <w:rFonts w:hint="eastAsia" w:ascii="方正仿宋_GB2312" w:hAnsi="方正仿宋_GB2312" w:eastAsia="方正仿宋_GB2312" w:cs="方正仿宋_GB2312"/>
          <w:b w:val="0"/>
          <w:bCs w:val="0"/>
          <w:color w:val="auto"/>
          <w:highlight w:val="none"/>
          <w:lang w:eastAsia="zh-CN"/>
        </w:rPr>
        <w:t>领域基本</w:t>
      </w:r>
      <w:r>
        <w:rPr>
          <w:rFonts w:hint="eastAsia" w:ascii="方正仿宋_GB2312" w:hAnsi="方正仿宋_GB2312" w:cs="方正仿宋_GB2312"/>
          <w:b w:val="0"/>
          <w:bCs w:val="0"/>
          <w:color w:val="auto"/>
          <w:highlight w:val="none"/>
          <w:lang w:eastAsia="zh-CN"/>
        </w:rPr>
        <w:t>公共</w:t>
      </w:r>
      <w:r>
        <w:rPr>
          <w:rFonts w:hint="eastAsia" w:ascii="方正仿宋_GB2312" w:hAnsi="方正仿宋_GB2312" w:eastAsia="方正仿宋_GB2312" w:cs="方正仿宋_GB2312"/>
          <w:b w:val="0"/>
          <w:bCs w:val="0"/>
          <w:color w:val="auto"/>
          <w:highlight w:val="none"/>
          <w:lang w:eastAsia="zh-CN"/>
        </w:rPr>
        <w:t>服务标准，</w:t>
      </w:r>
      <w:r>
        <w:rPr>
          <w:rFonts w:hint="eastAsia" w:ascii="方正仿宋_GB2312" w:hAnsi="方正仿宋_GB2312" w:cs="方正仿宋_GB2312"/>
          <w:b w:val="0"/>
          <w:bCs w:val="0"/>
          <w:color w:val="auto"/>
          <w:highlight w:val="none"/>
          <w:lang w:eastAsia="zh-CN"/>
        </w:rPr>
        <w:t>夯实服务基础。</w:t>
      </w:r>
      <w:r>
        <w:rPr>
          <w:rFonts w:hint="eastAsia" w:ascii="方正仿宋_GB2312" w:hAnsi="方正仿宋_GB2312" w:cs="方正仿宋_GB2312"/>
          <w:color w:val="auto"/>
          <w:sz w:val="32"/>
          <w:szCs w:val="32"/>
          <w:highlight w:val="none"/>
          <w:lang w:eastAsia="zh-CN"/>
        </w:rPr>
        <w:t>深化</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cs="方正仿宋_GB2312"/>
          <w:color w:val="auto"/>
          <w:sz w:val="32"/>
          <w:szCs w:val="32"/>
          <w:highlight w:val="none"/>
          <w:lang w:eastAsia="zh-CN"/>
        </w:rPr>
        <w:t>综窗</w:t>
      </w:r>
      <w:r>
        <w:rPr>
          <w:rFonts w:hint="eastAsia" w:ascii="方正仿宋_GB2312" w:hAnsi="方正仿宋_GB2312" w:eastAsia="方正仿宋_GB2312" w:cs="方正仿宋_GB2312"/>
          <w:color w:val="auto"/>
          <w:sz w:val="32"/>
          <w:szCs w:val="32"/>
          <w:highlight w:val="none"/>
          <w:lang w:eastAsia="zh-CN"/>
        </w:rPr>
        <w:t>”改革，</w:t>
      </w:r>
      <w:r>
        <w:rPr>
          <w:rFonts w:hint="eastAsia" w:ascii="方正仿宋_GB2312" w:hAnsi="方正仿宋_GB2312" w:cs="方正仿宋_GB2312"/>
          <w:color w:val="auto"/>
          <w:sz w:val="32"/>
          <w:szCs w:val="32"/>
          <w:highlight w:val="none"/>
          <w:lang w:eastAsia="zh-CN"/>
        </w:rPr>
        <w:t>推进政务服务事项标准化</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K" w:hAnsi="方正仿宋_GBK" w:eastAsia="方正仿宋_GBK" w:cs="方正仿宋_GBK"/>
          <w:sz w:val="32"/>
          <w:szCs w:val="32"/>
          <w:lang w:val="en-US" w:eastAsia="zh-CN"/>
        </w:rPr>
        <w:t>优化事项清单与办事指南，落实“跨省通办”“兵地通办”，推行</w:t>
      </w:r>
      <w:r>
        <w:rPr>
          <w:rFonts w:hint="eastAsia" w:ascii="方正仿宋_GB2312" w:hAnsi="方正仿宋_GB2312" w:eastAsia="方正仿宋_GB2312" w:cs="方正仿宋_GB2312"/>
          <w:color w:val="auto"/>
          <w:sz w:val="32"/>
          <w:szCs w:val="32"/>
          <w:highlight w:val="none"/>
          <w:u w:val="none"/>
          <w:lang w:eastAsia="zh-CN"/>
        </w:rPr>
        <w:t>“一网通办”</w:t>
      </w:r>
      <w:r>
        <w:rPr>
          <w:rFonts w:hint="eastAsia" w:ascii="方正仿宋_GB2312" w:hAnsi="方正仿宋_GB2312" w:cs="方正仿宋_GB2312"/>
          <w:color w:val="auto"/>
          <w:sz w:val="32"/>
          <w:szCs w:val="32"/>
          <w:highlight w:val="none"/>
          <w:u w:val="none"/>
          <w:lang w:eastAsia="zh-CN"/>
        </w:rPr>
        <w:t>，实现</w:t>
      </w:r>
      <w:r>
        <w:rPr>
          <w:rFonts w:hint="eastAsia" w:ascii="方正仿宋_GB2312" w:hAnsi="方正仿宋_GB2312" w:eastAsia="方正仿宋_GB2312" w:cs="方正仿宋_GB2312"/>
          <w:color w:val="auto"/>
          <w:sz w:val="32"/>
          <w:szCs w:val="32"/>
          <w:highlight w:val="none"/>
          <w:u w:val="none"/>
          <w:lang w:eastAsia="zh-CN"/>
        </w:rPr>
        <w:t>更多事项掌上办</w:t>
      </w:r>
      <w:r>
        <w:rPr>
          <w:rFonts w:hint="eastAsia" w:ascii="方正仿宋_GB2312" w:hAnsi="方正仿宋_GB2312" w:cs="方正仿宋_GB2312"/>
          <w:color w:val="auto"/>
          <w:sz w:val="32"/>
          <w:szCs w:val="32"/>
          <w:highlight w:val="none"/>
          <w:u w:val="none"/>
          <w:lang w:eastAsia="zh-CN"/>
        </w:rPr>
        <w:t>、就近办、免申即享</w:t>
      </w:r>
      <w:r>
        <w:rPr>
          <w:rFonts w:hint="eastAsia" w:ascii="方正仿宋_GB2312" w:hAnsi="方正仿宋_GB2312" w:eastAsia="方正仿宋_GB2312" w:cs="方正仿宋_GB2312"/>
          <w:color w:val="auto"/>
          <w:sz w:val="32"/>
          <w:szCs w:val="32"/>
          <w:highlight w:val="none"/>
          <w:u w:val="none"/>
          <w:lang w:eastAsia="zh-CN"/>
        </w:rPr>
        <w:t>。</w:t>
      </w:r>
      <w:r>
        <w:rPr>
          <w:rFonts w:hint="eastAsia" w:ascii="方正仿宋_GB2312" w:hAnsi="方正仿宋_GB2312" w:eastAsia="方正仿宋_GB2312" w:cs="方正仿宋_GB2312"/>
          <w:color w:val="auto"/>
          <w:highlight w:val="none"/>
          <w:lang w:eastAsia="zh-CN"/>
        </w:rPr>
        <w:t>加强</w:t>
      </w:r>
      <w:r>
        <w:rPr>
          <w:rFonts w:hint="eastAsia" w:ascii="方正仿宋_GB2312" w:hAnsi="方正仿宋_GB2312" w:cs="方正仿宋_GB2312"/>
          <w:color w:val="auto"/>
          <w:highlight w:val="none"/>
          <w:lang w:eastAsia="zh-CN"/>
        </w:rPr>
        <w:t>跨</w:t>
      </w:r>
      <w:r>
        <w:rPr>
          <w:rFonts w:hint="eastAsia" w:ascii="方正仿宋_GB2312" w:hAnsi="方正仿宋_GB2312" w:eastAsia="方正仿宋_GB2312" w:cs="方正仿宋_GB2312"/>
          <w:color w:val="auto"/>
          <w:highlight w:val="none"/>
          <w:lang w:eastAsia="zh-CN"/>
        </w:rPr>
        <w:t>部门协同，</w:t>
      </w:r>
      <w:r>
        <w:rPr>
          <w:rFonts w:hint="eastAsia" w:ascii="方正仿宋_GB2312" w:hAnsi="方正仿宋_GB2312" w:cs="方正仿宋_GB2312"/>
          <w:color w:val="auto"/>
          <w:highlight w:val="none"/>
          <w:lang w:eastAsia="zh-CN"/>
        </w:rPr>
        <w:t>大力</w:t>
      </w:r>
      <w:r>
        <w:rPr>
          <w:rFonts w:hint="eastAsia" w:ascii="方正仿宋_GBK" w:hAnsi="方正仿宋_GBK" w:eastAsia="方正仿宋_GBK" w:cs="方正仿宋_GBK"/>
          <w:sz w:val="32"/>
          <w:szCs w:val="32"/>
          <w:lang w:val="en-US" w:eastAsia="zh-CN"/>
        </w:rPr>
        <w:t>推进“高效办成一件事”。做好特殊群体暖心服务，开展适老化及无障碍改造，优化线下帮办代办机制，保障老年人、残疾人等群体享受便捷服务。</w:t>
      </w:r>
      <w:r>
        <w:rPr>
          <w:rFonts w:hint="eastAsia" w:ascii="方正仿宋_GB2312" w:hAnsi="方正仿宋_GB2312" w:cs="方正仿宋_GB2312"/>
          <w:color w:val="auto"/>
          <w:sz w:val="32"/>
          <w:szCs w:val="32"/>
          <w:highlight w:val="none"/>
          <w:lang w:eastAsia="zh-CN"/>
        </w:rPr>
        <w:t>人社政务服务“好差评”达</w:t>
      </w:r>
      <w:r>
        <w:rPr>
          <w:rFonts w:hint="default" w:ascii="Times New Roman" w:hAnsi="Times New Roman" w:cs="Times New Roman"/>
          <w:color w:val="auto"/>
          <w:sz w:val="32"/>
          <w:szCs w:val="32"/>
          <w:highlight w:val="none"/>
          <w:lang w:val="en-US" w:eastAsia="zh-CN"/>
        </w:rPr>
        <w:t>9</w:t>
      </w:r>
      <w:r>
        <w:rPr>
          <w:rFonts w:hint="eastAsia"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lang w:val="en-US" w:eastAsia="zh-CN"/>
        </w:rPr>
        <w:t>%</w:t>
      </w:r>
      <w:r>
        <w:rPr>
          <w:rFonts w:hint="eastAsia" w:ascii="方正仿宋_GBK" w:hAnsi="方正仿宋_GBK" w:eastAsia="方正仿宋_GBK" w:cs="方正仿宋_GBK"/>
          <w:sz w:val="32"/>
          <w:szCs w:val="32"/>
          <w:lang w:val="en-US" w:eastAsia="zh-CN"/>
        </w:rPr>
        <w:t>以上。</w:t>
      </w:r>
    </w:p>
    <w:p w14:paraId="5CD9A04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34" w:name="_Toc4297"/>
      <w:r>
        <w:rPr>
          <w:rFonts w:hint="eastAsia" w:ascii="方正楷体简体" w:hAnsi="方正楷体简体" w:eastAsia="方正楷体简体" w:cs="方正楷体简体"/>
          <w:b w:val="0"/>
          <w:bCs/>
          <w:color w:val="auto"/>
          <w:kern w:val="2"/>
          <w:sz w:val="32"/>
          <w:szCs w:val="24"/>
          <w:lang w:val="en-US" w:eastAsia="zh-CN" w:bidi="ar-SA"/>
        </w:rPr>
        <w:t>第二节 提高公共服务均等化水平</w:t>
      </w:r>
      <w:bookmarkEnd w:id="34"/>
    </w:p>
    <w:p w14:paraId="48D3A11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auto"/>
          <w:sz w:val="32"/>
          <w:szCs w:val="32"/>
          <w:highlight w:val="none"/>
          <w:u w:val="none"/>
          <w:lang w:eastAsia="zh-CN"/>
        </w:rPr>
      </w:pPr>
      <w:r>
        <w:rPr>
          <w:rFonts w:hint="eastAsia" w:ascii="方正仿宋_GB2312" w:hAnsi="方正仿宋_GB2312" w:eastAsia="方正仿宋_GB2312" w:cs="方正仿宋_GB2312"/>
          <w:color w:val="auto"/>
          <w:sz w:val="32"/>
          <w:szCs w:val="32"/>
          <w:highlight w:val="none"/>
          <w:lang w:eastAsia="zh-CN"/>
        </w:rPr>
        <w:t>推动</w:t>
      </w:r>
      <w:r>
        <w:rPr>
          <w:rFonts w:hint="eastAsia" w:ascii="方正仿宋_GB2312" w:hAnsi="方正仿宋_GB2312" w:cs="方正仿宋_GB2312"/>
          <w:color w:val="auto"/>
          <w:sz w:val="32"/>
          <w:szCs w:val="32"/>
          <w:highlight w:val="none"/>
          <w:lang w:eastAsia="zh-CN"/>
        </w:rPr>
        <w:t>人社</w:t>
      </w:r>
      <w:r>
        <w:rPr>
          <w:rFonts w:hint="eastAsia" w:ascii="方正仿宋_GB2312" w:hAnsi="方正仿宋_GB2312" w:eastAsia="方正仿宋_GB2312" w:cs="方正仿宋_GB2312"/>
          <w:color w:val="auto"/>
          <w:sz w:val="32"/>
          <w:szCs w:val="32"/>
          <w:highlight w:val="none"/>
          <w:lang w:eastAsia="zh-CN"/>
        </w:rPr>
        <w:t>服务事项经办下沉，</w:t>
      </w:r>
      <w:r>
        <w:rPr>
          <w:rFonts w:hint="eastAsia" w:ascii="方正仿宋_GB2312" w:hAnsi="方正仿宋_GB2312" w:eastAsia="方正仿宋_GB2312" w:cs="方正仿宋_GB2312"/>
          <w:color w:val="auto"/>
          <w:sz w:val="32"/>
          <w:szCs w:val="32"/>
          <w:highlight w:val="none"/>
          <w:u w:val="none"/>
          <w:lang w:eastAsia="zh-CN"/>
        </w:rPr>
        <w:t>打造“</w:t>
      </w:r>
      <w:r>
        <w:rPr>
          <w:rFonts w:hint="default" w:ascii="Times New Roman" w:hAnsi="Times New Roman" w:eastAsia="方正仿宋_GB2312" w:cs="Times New Roman"/>
          <w:color w:val="auto"/>
          <w:sz w:val="32"/>
          <w:szCs w:val="32"/>
          <w:highlight w:val="none"/>
          <w:u w:val="none"/>
          <w:lang w:eastAsia="zh-CN"/>
        </w:rPr>
        <w:t>15</w:t>
      </w:r>
      <w:r>
        <w:rPr>
          <w:rFonts w:hint="eastAsia" w:ascii="方正仿宋_GB2312" w:hAnsi="方正仿宋_GB2312" w:eastAsia="方正仿宋_GB2312" w:cs="方正仿宋_GB2312"/>
          <w:color w:val="auto"/>
          <w:sz w:val="32"/>
          <w:szCs w:val="32"/>
          <w:highlight w:val="none"/>
          <w:u w:val="none"/>
          <w:lang w:eastAsia="zh-CN"/>
        </w:rPr>
        <w:t>分钟便民服务圈”，实现“家门口办事”</w:t>
      </w:r>
      <w:r>
        <w:rPr>
          <w:rFonts w:hint="eastAsia" w:ascii="方正仿宋_GB2312" w:hAnsi="方正仿宋_GB2312" w:cs="方正仿宋_GB2312"/>
          <w:color w:val="auto"/>
          <w:sz w:val="32"/>
          <w:szCs w:val="32"/>
          <w:highlight w:val="none"/>
          <w:u w:val="none"/>
          <w:lang w:eastAsia="zh-CN"/>
        </w:rPr>
        <w:t>。</w:t>
      </w:r>
      <w:r>
        <w:rPr>
          <w:rFonts w:hint="eastAsia" w:ascii="方正仿宋_GBK" w:hAnsi="方正仿宋_GBK" w:eastAsia="方正仿宋_GBK" w:cs="方正仿宋_GBK"/>
          <w:color w:val="auto"/>
          <w:sz w:val="32"/>
          <w:szCs w:val="32"/>
        </w:rPr>
        <w:t>统筹城乡、区域</w:t>
      </w:r>
      <w:r>
        <w:rPr>
          <w:rFonts w:hint="eastAsia" w:ascii="方正仿宋_GBK" w:hAnsi="方正仿宋_GBK" w:eastAsia="方正仿宋_GBK" w:cs="方正仿宋_GBK"/>
          <w:color w:val="auto"/>
          <w:sz w:val="32"/>
          <w:szCs w:val="32"/>
          <w:lang w:eastAsia="zh-CN"/>
        </w:rPr>
        <w:t>就业和</w:t>
      </w:r>
      <w:r>
        <w:rPr>
          <w:rFonts w:hint="eastAsia" w:ascii="方正仿宋_GBK" w:hAnsi="方正仿宋_GBK" w:eastAsia="方正仿宋_GBK" w:cs="方正仿宋_GBK"/>
          <w:color w:val="auto"/>
          <w:sz w:val="32"/>
          <w:szCs w:val="32"/>
        </w:rPr>
        <w:t>社保服务资源配置，</w:t>
      </w:r>
      <w:r>
        <w:rPr>
          <w:rFonts w:hint="eastAsia" w:ascii="方正仿宋_GBK" w:hAnsi="方正仿宋_GBK" w:eastAsia="方正仿宋_GBK" w:cs="方正仿宋_GBK"/>
          <w:color w:val="auto"/>
          <w:sz w:val="32"/>
          <w:szCs w:val="32"/>
          <w:highlight w:val="none"/>
          <w:lang w:val="en-US" w:eastAsia="zh-CN"/>
        </w:rPr>
        <w:t>重点加强对高校毕业生、失业人员、就业困难人员、新就业形态人员等群体的分层分类服务，持续缩小群体间、区域间服务差距</w:t>
      </w:r>
      <w:r>
        <w:rPr>
          <w:rFonts w:hint="eastAsia" w:ascii="方正仿宋_GB2312" w:hAnsi="方正仿宋_GB2312" w:eastAsia="方正仿宋_GB2312" w:cs="方正仿宋_GB2312"/>
          <w:color w:val="auto"/>
          <w:sz w:val="32"/>
          <w:szCs w:val="32"/>
          <w:highlight w:val="none"/>
          <w:u w:val="none"/>
          <w:lang w:eastAsia="zh-CN"/>
        </w:rPr>
        <w:t>。</w:t>
      </w:r>
      <w:r>
        <w:rPr>
          <w:rFonts w:hint="eastAsia" w:ascii="方正仿宋_GBK" w:hAnsi="方正仿宋_GBK" w:eastAsia="方正仿宋_GBK" w:cs="方正仿宋_GBK"/>
          <w:sz w:val="32"/>
          <w:szCs w:val="32"/>
          <w:lang w:val="en-US" w:eastAsia="zh-CN"/>
        </w:rPr>
        <w:t>开展人社领域信访突出问题化解，着力解决群众急难愁盼问题，不断提升民生服务质效。</w:t>
      </w:r>
    </w:p>
    <w:p w14:paraId="57DF0D5C">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35" w:name="_Toc17658"/>
      <w:r>
        <w:rPr>
          <w:rFonts w:hint="default" w:ascii="方正楷体简体" w:hAnsi="方正楷体简体" w:eastAsia="方正楷体简体" w:cs="方正楷体简体"/>
          <w:b w:val="0"/>
          <w:bCs/>
          <w:color w:val="auto"/>
          <w:kern w:val="2"/>
          <w:sz w:val="32"/>
          <w:szCs w:val="24"/>
          <w:lang w:val="en-US" w:eastAsia="zh-CN" w:bidi="ar-SA"/>
        </w:rPr>
        <w:t>第</w:t>
      </w:r>
      <w:r>
        <w:rPr>
          <w:rFonts w:hint="eastAsia" w:ascii="方正楷体简体" w:hAnsi="方正楷体简体" w:eastAsia="方正楷体简体" w:cs="方正楷体简体"/>
          <w:b w:val="0"/>
          <w:bCs/>
          <w:color w:val="auto"/>
          <w:kern w:val="2"/>
          <w:sz w:val="32"/>
          <w:szCs w:val="24"/>
          <w:lang w:val="en-US" w:eastAsia="zh-CN" w:bidi="ar-SA"/>
        </w:rPr>
        <w:t>三</w:t>
      </w:r>
      <w:r>
        <w:rPr>
          <w:rFonts w:hint="default" w:ascii="方正楷体简体" w:hAnsi="方正楷体简体" w:eastAsia="方正楷体简体" w:cs="方正楷体简体"/>
          <w:b w:val="0"/>
          <w:bCs/>
          <w:color w:val="auto"/>
          <w:kern w:val="2"/>
          <w:sz w:val="32"/>
          <w:szCs w:val="24"/>
          <w:lang w:val="en-US" w:eastAsia="zh-CN" w:bidi="ar-SA"/>
        </w:rPr>
        <w:t>节</w:t>
      </w:r>
      <w:r>
        <w:rPr>
          <w:rFonts w:hint="eastAsia" w:ascii="方正楷体简体" w:hAnsi="方正楷体简体" w:eastAsia="方正楷体简体" w:cs="方正楷体简体"/>
          <w:b w:val="0"/>
          <w:bCs/>
          <w:color w:val="auto"/>
          <w:kern w:val="2"/>
          <w:sz w:val="32"/>
          <w:szCs w:val="24"/>
          <w:lang w:val="en-US" w:eastAsia="zh-CN" w:bidi="ar-SA"/>
        </w:rPr>
        <w:t xml:space="preserve"> 推进</w:t>
      </w:r>
      <w:r>
        <w:rPr>
          <w:rFonts w:hint="default" w:ascii="方正楷体简体" w:hAnsi="方正楷体简体" w:eastAsia="方正楷体简体" w:cs="方正楷体简体"/>
          <w:b w:val="0"/>
          <w:bCs/>
          <w:color w:val="auto"/>
          <w:kern w:val="2"/>
          <w:sz w:val="32"/>
          <w:szCs w:val="24"/>
          <w:lang w:val="en-US" w:eastAsia="zh-CN" w:bidi="ar-SA"/>
        </w:rPr>
        <w:t>基本公共服务数智化</w:t>
      </w:r>
      <w:bookmarkEnd w:id="35"/>
    </w:p>
    <w:p w14:paraId="5BFAB4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持续贯彻落实</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数字人社</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建设行动。拓展社会保障卡</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一卡通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应用场景，提升信息化便民服务能力。推进人社数据跨部门共享，建立人社数据资源共享清单，依托市一体化数据资源服务平台，提供数据共享服务。深化人工智能与人社服务融合，发挥AI与大数据在就业监测预警、政策</w:t>
      </w:r>
      <w:r>
        <w:rPr>
          <w:rFonts w:hint="eastAsia" w:ascii="Times New Roman" w:hAnsi="Times New Roman" w:eastAsia="方正仿宋_GBK" w:cs="Times New Roman"/>
          <w:sz w:val="32"/>
          <w:szCs w:val="32"/>
          <w:lang w:val="en-US" w:eastAsia="zh-CN"/>
        </w:rPr>
        <w:t>实施</w:t>
      </w:r>
      <w:r>
        <w:rPr>
          <w:rFonts w:hint="default" w:ascii="Times New Roman" w:hAnsi="Times New Roman" w:eastAsia="方正仿宋_GBK" w:cs="Times New Roman"/>
          <w:sz w:val="32"/>
          <w:szCs w:val="32"/>
          <w:lang w:val="en-US" w:eastAsia="zh-CN"/>
        </w:rPr>
        <w:t>、服务群众方面的作用</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强化数据安全防护体系建设，加强数据全生命周期保护。</w:t>
      </w:r>
    </w:p>
    <w:tbl>
      <w:tblPr>
        <w:tblStyle w:val="21"/>
        <w:tblpPr w:leftFromText="180" w:rightFromText="180" w:vertAnchor="text" w:horzAnchor="page" w:tblpXSpec="center" w:tblpY="53"/>
        <w:tblOverlap w:val="never"/>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7"/>
      </w:tblGrid>
      <w:tr w14:paraId="0574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17" w:type="dxa"/>
            <w:noWrap w:val="0"/>
            <w:vAlign w:val="top"/>
          </w:tcPr>
          <w:p w14:paraId="34AC4D35">
            <w:pPr>
              <w:keepNext/>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Autospacing="0" w:afterAutospacing="0" w:line="360" w:lineRule="auto"/>
              <w:ind w:left="0" w:leftChars="0"/>
              <w:jc w:val="center"/>
              <w:textAlignment w:val="auto"/>
              <w:outlineLvl w:val="9"/>
              <w:rPr>
                <w:rFonts w:hint="eastAsia" w:ascii="方正仿宋_GBK" w:hAnsi="方正仿宋_GBK" w:eastAsia="方正仿宋_GBK" w:cs="方正仿宋_GBK"/>
                <w:b w:val="0"/>
                <w:bCs w:val="0"/>
                <w:color w:val="auto"/>
                <w:sz w:val="32"/>
                <w:szCs w:val="32"/>
                <w:vertAlign w:val="baseline"/>
                <w:lang w:val="en-US" w:eastAsia="zh-CN"/>
              </w:rPr>
            </w:pPr>
            <w:r>
              <w:rPr>
                <w:rFonts w:hint="default" w:ascii="Times New Roman" w:hAnsi="Times New Roman" w:eastAsia="方正黑体_GBK" w:cs="Times New Roman"/>
                <w:b w:val="0"/>
                <w:bCs w:val="0"/>
                <w:color w:val="auto"/>
                <w:sz w:val="24"/>
                <w:szCs w:val="24"/>
                <w:highlight w:val="none"/>
                <w:lang w:val="en-US" w:eastAsia="zh-CN"/>
              </w:rPr>
              <w:t>专栏</w:t>
            </w:r>
            <w:r>
              <w:rPr>
                <w:rFonts w:hint="eastAsia" w:ascii="Times New Roman" w:hAnsi="Times New Roman" w:eastAsia="方正黑体_GBK" w:cs="Times New Roman"/>
                <w:b w:val="0"/>
                <w:bCs w:val="0"/>
                <w:color w:val="auto"/>
                <w:sz w:val="24"/>
                <w:szCs w:val="24"/>
                <w:highlight w:val="none"/>
                <w:lang w:val="en-US" w:eastAsia="zh-CN"/>
              </w:rPr>
              <w:t>14</w:t>
            </w:r>
            <w:r>
              <w:rPr>
                <w:rFonts w:hint="default" w:ascii="Times New Roman" w:hAnsi="Times New Roman" w:eastAsia="方正黑体_GBK" w:cs="Times New Roman"/>
                <w:b w:val="0"/>
                <w:bCs w:val="0"/>
                <w:color w:val="auto"/>
                <w:sz w:val="24"/>
                <w:szCs w:val="24"/>
                <w:highlight w:val="none"/>
                <w:lang w:val="en-US" w:eastAsia="zh-CN"/>
              </w:rPr>
              <w:t xml:space="preserve"> 智慧人社赋能行动</w:t>
            </w:r>
          </w:p>
        </w:tc>
      </w:tr>
      <w:tr w14:paraId="7557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7" w:type="dxa"/>
            <w:noWrap w:val="0"/>
            <w:vAlign w:val="top"/>
          </w:tcPr>
          <w:p w14:paraId="2A3D2FF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Chars="0" w:right="0" w:rightChars="0" w:firstLine="482" w:firstLineChars="200"/>
              <w:jc w:val="both"/>
              <w:textAlignment w:val="auto"/>
              <w:outlineLvl w:val="9"/>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b/>
                <w:bCs/>
                <w:color w:val="auto"/>
                <w:sz w:val="24"/>
                <w:szCs w:val="24"/>
                <w:highlight w:val="none"/>
                <w:lang w:val="en-US" w:eastAsia="zh-CN"/>
              </w:rPr>
              <w:t>1.优化AI政策问答助手</w:t>
            </w:r>
            <w:r>
              <w:rPr>
                <w:rFonts w:hint="eastAsia" w:ascii="Times New Roman" w:hAnsi="Times New Roman" w:eastAsia="方正仿宋_GBK" w:cs="Times New Roman"/>
                <w:b/>
                <w:bCs/>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依托</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乌鲁木齐市人社局</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微信公众号，</w:t>
            </w:r>
            <w:r>
              <w:rPr>
                <w:rFonts w:hint="eastAsia" w:ascii="Times New Roman" w:hAnsi="Times New Roman" w:eastAsia="方正仿宋_GBK" w:cs="Times New Roman"/>
                <w:color w:val="auto"/>
                <w:sz w:val="24"/>
                <w:szCs w:val="24"/>
                <w:highlight w:val="none"/>
                <w:lang w:val="en-US" w:eastAsia="zh-CN"/>
              </w:rPr>
              <w:t>完善</w:t>
            </w:r>
            <w:r>
              <w:rPr>
                <w:rFonts w:hint="default" w:ascii="Times New Roman" w:hAnsi="Times New Roman" w:eastAsia="方正仿宋_GBK" w:cs="Times New Roman"/>
                <w:color w:val="auto"/>
                <w:sz w:val="24"/>
                <w:szCs w:val="24"/>
                <w:highlight w:val="none"/>
                <w:lang w:val="en-US" w:eastAsia="zh-CN"/>
              </w:rPr>
              <w:t>人社民生问答知识库</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实现24小时不间断服务。</w:t>
            </w:r>
          </w:p>
          <w:p w14:paraId="70FBFBE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Chars="0" w:right="0" w:rightChars="0" w:firstLine="482" w:firstLineChars="200"/>
              <w:jc w:val="both"/>
              <w:textAlignment w:val="auto"/>
              <w:outlineLvl w:val="9"/>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b/>
                <w:bCs/>
                <w:color w:val="auto"/>
                <w:sz w:val="24"/>
                <w:szCs w:val="24"/>
                <w:highlight w:val="none"/>
                <w:lang w:val="en-US" w:eastAsia="zh-CN"/>
              </w:rPr>
              <w:t>2.升级智慧就业匹配</w:t>
            </w:r>
            <w:r>
              <w:rPr>
                <w:rFonts w:hint="eastAsia" w:ascii="Times New Roman" w:hAnsi="Times New Roman" w:eastAsia="方正仿宋_GBK" w:cs="Times New Roman"/>
                <w:b/>
                <w:bCs/>
                <w:color w:val="auto"/>
                <w:sz w:val="24"/>
                <w:szCs w:val="24"/>
                <w:highlight w:val="none"/>
                <w:lang w:val="en-US" w:eastAsia="zh-CN"/>
              </w:rPr>
              <w:t>服务</w:t>
            </w:r>
            <w:r>
              <w:rPr>
                <w:rFonts w:hint="default" w:ascii="Times New Roman" w:hAnsi="Times New Roman" w:eastAsia="方正仿宋_GBK" w:cs="Times New Roman"/>
                <w:b/>
                <w:bCs/>
                <w:color w:val="auto"/>
                <w:sz w:val="24"/>
                <w:szCs w:val="24"/>
                <w:highlight w:val="none"/>
                <w:lang w:val="en-US" w:eastAsia="zh-CN"/>
              </w:rPr>
              <w:t>功能</w:t>
            </w:r>
            <w:r>
              <w:rPr>
                <w:rFonts w:hint="eastAsia" w:ascii="Times New Roman" w:hAnsi="Times New Roman" w:eastAsia="方正仿宋_GBK" w:cs="Times New Roman"/>
                <w:b/>
                <w:bCs/>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整合企业招聘信息和求职者数据，为求职者提供人岗智能匹配服务。</w:t>
            </w:r>
          </w:p>
          <w:p w14:paraId="586EFE0F">
            <w:pPr>
              <w:keepNext/>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outlineLvl w:val="9"/>
              <w:rPr>
                <w:rFonts w:hint="eastAsia" w:ascii="方正仿宋_GBK" w:hAnsi="方正仿宋_GBK" w:eastAsia="方正仿宋_GBK" w:cs="方正仿宋_GBK"/>
                <w:b w:val="0"/>
                <w:bCs w:val="0"/>
                <w:color w:val="auto"/>
                <w:sz w:val="24"/>
                <w:szCs w:val="24"/>
                <w:vertAlign w:val="baseline"/>
                <w:lang w:val="en-US" w:eastAsia="zh-CN"/>
              </w:rPr>
            </w:pPr>
            <w:r>
              <w:rPr>
                <w:rFonts w:hint="default" w:ascii="Times New Roman" w:hAnsi="Times New Roman" w:eastAsia="方正仿宋_GBK" w:cs="Times New Roman"/>
                <w:b/>
                <w:bCs/>
                <w:color w:val="auto"/>
                <w:sz w:val="24"/>
                <w:szCs w:val="24"/>
                <w:highlight w:val="none"/>
                <w:lang w:val="en-US" w:eastAsia="zh-CN"/>
              </w:rPr>
              <w:t>3.打造智慧劳动能力鉴定系统</w:t>
            </w:r>
            <w:r>
              <w:rPr>
                <w:rFonts w:hint="eastAsia" w:ascii="Times New Roman" w:hAnsi="Times New Roman" w:eastAsia="方正仿宋_GBK" w:cs="Times New Roman"/>
                <w:b/>
                <w:bCs/>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综合分析被鉴定人医学检查数据，智能辅助生成鉴定结论。</w:t>
            </w:r>
          </w:p>
        </w:tc>
      </w:tr>
    </w:tbl>
    <w:p w14:paraId="70D2D39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36" w:name="_Toc10121"/>
      <w:r>
        <w:rPr>
          <w:rFonts w:hint="eastAsia" w:ascii="方正楷体简体" w:hAnsi="方正楷体简体" w:eastAsia="方正楷体简体" w:cs="方正楷体简体"/>
          <w:b w:val="0"/>
          <w:bCs/>
          <w:color w:val="auto"/>
          <w:kern w:val="2"/>
          <w:sz w:val="32"/>
          <w:szCs w:val="24"/>
          <w:lang w:val="en-US" w:eastAsia="zh-CN" w:bidi="ar-SA"/>
        </w:rPr>
        <w:t>第四节 打造人社公共服务品牌</w:t>
      </w:r>
      <w:bookmarkEnd w:id="36"/>
    </w:p>
    <w:p w14:paraId="4248D5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方正仿宋_GBK" w:cs="Times New Roman"/>
          <w:highlight w:val="none"/>
          <w:u w:val="none"/>
          <w:lang w:val="en-US" w:eastAsia="zh-CN"/>
        </w:rPr>
      </w:pPr>
      <w:r>
        <w:rPr>
          <w:rFonts w:hint="eastAsia" w:ascii="方正仿宋_GBK" w:hAnsi="方正仿宋_GBK" w:eastAsia="方正仿宋_GBK" w:cs="方正仿宋_GBK"/>
          <w:b w:val="0"/>
          <w:kern w:val="2"/>
          <w:sz w:val="32"/>
          <w:szCs w:val="32"/>
          <w:lang w:val="en-US" w:eastAsia="zh-CN" w:bidi="ar-SA"/>
        </w:rPr>
        <w:t>优化</w:t>
      </w:r>
      <w:r>
        <w:rPr>
          <w:rFonts w:hint="eastAsia" w:ascii="方正仿宋_GBK" w:hAnsi="方正仿宋_GBK" w:eastAsia="方正仿宋_GBK" w:cs="方正仿宋_GBK"/>
        </w:rPr>
        <w:t>“</w:t>
      </w:r>
      <w:r>
        <w:rPr>
          <w:rFonts w:hint="eastAsia"/>
          <w:lang w:eastAsia="zh-CN"/>
        </w:rPr>
        <w:t>乌优办</w:t>
      </w:r>
      <w:r>
        <w:rPr>
          <w:rFonts w:hint="eastAsia"/>
          <w:lang w:val="en-US" w:eastAsia="zh-CN"/>
        </w:rPr>
        <w:t xml:space="preserve"> </w:t>
      </w:r>
      <w:r>
        <w:t>全乌享</w:t>
      </w:r>
      <w:r>
        <w:rPr>
          <w:rFonts w:hint="eastAsia" w:ascii="方正仿宋_GBK" w:hAnsi="方正仿宋_GBK" w:eastAsia="方正仿宋_GBK" w:cs="方正仿宋_GBK"/>
        </w:rPr>
        <w:t>”</w:t>
      </w:r>
      <w:r>
        <w:t>社保服务品牌</w:t>
      </w:r>
      <w:r>
        <w:rPr>
          <w:rFonts w:hint="eastAsia"/>
          <w:lang w:eastAsia="zh-CN"/>
        </w:rPr>
        <w:t>建设</w:t>
      </w:r>
      <w:r>
        <w:t>，组建社保小蜜蜂</w:t>
      </w:r>
      <w:r>
        <w:rPr>
          <w:rFonts w:hint="eastAsia"/>
          <w:lang w:eastAsia="zh-CN"/>
        </w:rPr>
        <w:t>志愿</w:t>
      </w:r>
      <w:r>
        <w:t>服务队，做实暖心便民服务，擦亮乌鲁木齐特色社保服务名片。</w:t>
      </w:r>
      <w:r>
        <w:rPr>
          <w:rFonts w:hint="eastAsia" w:ascii="Times New Roman" w:hAnsi="Times New Roman" w:eastAsia="方正仿宋_GBK" w:cs="Times New Roman"/>
          <w:b w:val="0"/>
          <w:bCs w:val="0"/>
          <w:color w:val="000000"/>
          <w:sz w:val="32"/>
          <w:szCs w:val="32"/>
          <w:highlight w:val="none"/>
          <w:u w:val="none"/>
          <w:lang w:val="en-US" w:eastAsia="zh-CN"/>
        </w:rPr>
        <w:t>打造</w:t>
      </w:r>
      <w:r>
        <w:rPr>
          <w:rFonts w:hint="eastAsia" w:ascii="Times New Roman" w:hAnsi="Times New Roman" w:eastAsia="方正仿宋_GBK" w:cs="Times New Roman"/>
          <w:highlight w:val="none"/>
          <w:u w:val="none"/>
          <w:lang w:val="en-US" w:eastAsia="zh-CN"/>
        </w:rPr>
        <w:t>“乐业首府”</w:t>
      </w:r>
      <w:r>
        <w:rPr>
          <w:rFonts w:hint="eastAsia" w:ascii="Times New Roman" w:hAnsi="Times New Roman" w:eastAsia="方正仿宋_GBK" w:cs="Times New Roman"/>
          <w:b w:val="0"/>
          <w:bCs w:val="0"/>
          <w:color w:val="000000"/>
          <w:sz w:val="32"/>
          <w:szCs w:val="32"/>
          <w:highlight w:val="none"/>
          <w:u w:val="none"/>
          <w:lang w:val="en-US" w:eastAsia="zh-CN"/>
        </w:rPr>
        <w:t>公共就业</w:t>
      </w:r>
      <w:r>
        <w:rPr>
          <w:rFonts w:hint="eastAsia" w:ascii="Times New Roman" w:hAnsi="Times New Roman" w:eastAsia="方正仿宋_GBK" w:cs="Times New Roman"/>
          <w:b w:val="0"/>
          <w:bCs w:val="0"/>
          <w:color w:val="auto"/>
          <w:kern w:val="2"/>
          <w:sz w:val="32"/>
          <w:szCs w:val="32"/>
          <w:highlight w:val="none"/>
          <w:lang w:val="en-US" w:eastAsia="zh-CN" w:bidi="ar-SA"/>
        </w:rPr>
        <w:t>服务特色</w:t>
      </w:r>
      <w:r>
        <w:rPr>
          <w:rFonts w:hint="eastAsia" w:ascii="方正仿宋_GBK" w:hAnsi="方正仿宋_GBK" w:eastAsia="方正仿宋_GBK" w:cs="方正仿宋_GBK"/>
          <w:b w:val="0"/>
          <w:kern w:val="2"/>
          <w:sz w:val="32"/>
          <w:szCs w:val="32"/>
          <w:lang w:val="en-US" w:eastAsia="zh-CN" w:bidi="ar-SA"/>
        </w:rPr>
        <w:t>品牌，推动服务模式进阶升级，促进就业服务精准触达和全域覆盖</w:t>
      </w:r>
      <w:r>
        <w:rPr>
          <w:rFonts w:hint="eastAsia" w:ascii="Times New Roman" w:hAnsi="Times New Roman" w:eastAsia="方正仿宋_GBK" w:cs="Times New Roman"/>
          <w:highlight w:val="none"/>
          <w:u w:val="none"/>
          <w:lang w:val="en-US" w:eastAsia="zh-CN"/>
        </w:rPr>
        <w:t>，助力各族群众实现稳定就业、舒心乐业。</w:t>
      </w:r>
    </w:p>
    <w:p w14:paraId="3E7166C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1"/>
        <w:rPr>
          <w:rFonts w:hint="default" w:ascii="Times New Roman" w:hAnsi="Times New Roman" w:eastAsia="方正仿宋_GBK" w:cs="Times New Roman"/>
          <w:sz w:val="32"/>
          <w:szCs w:val="32"/>
          <w:lang w:val="en-US" w:eastAsia="zh-CN"/>
        </w:rPr>
      </w:pPr>
      <w:bookmarkStart w:id="37" w:name="_Toc14054"/>
      <w:r>
        <w:rPr>
          <w:rFonts w:hint="eastAsia" w:ascii="方正楷体_GBK" w:hAnsi="方正楷体_GBK" w:eastAsia="方正楷体_GBK" w:cs="方正楷体_GBK"/>
          <w:highlight w:val="none"/>
          <w:u w:val="none"/>
          <w:lang w:val="en-US" w:eastAsia="zh-CN"/>
        </w:rPr>
        <w:t>第五节</w:t>
      </w:r>
      <w:r>
        <w:rPr>
          <w:rFonts w:hint="eastAsia" w:ascii="Times New Roman" w:hAnsi="Times New Roman" w:eastAsia="方正仿宋_GBK" w:cs="Times New Roman"/>
          <w:highlight w:val="none"/>
          <w:u w:val="none"/>
          <w:lang w:val="en-US" w:eastAsia="zh-CN"/>
        </w:rPr>
        <w:t xml:space="preserve"> </w:t>
      </w:r>
      <w:r>
        <w:rPr>
          <w:rFonts w:hint="default" w:ascii="方正楷体简体" w:hAnsi="方正楷体简体" w:eastAsia="方正楷体简体" w:cs="方正楷体简体"/>
          <w:b w:val="0"/>
          <w:bCs/>
          <w:color w:val="auto"/>
          <w:kern w:val="2"/>
          <w:sz w:val="32"/>
          <w:szCs w:val="24"/>
          <w:lang w:val="en-US" w:eastAsia="zh-CN" w:bidi="ar-SA"/>
        </w:rPr>
        <w:t>推动人事考试公共服务规范化</w:t>
      </w:r>
      <w:bookmarkEnd w:id="37"/>
    </w:p>
    <w:p w14:paraId="7770038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方正楷体简体" w:hAnsi="方正楷体简体" w:eastAsia="方正楷体简体" w:cs="方正楷体简体"/>
          <w:b w:val="0"/>
          <w:bCs/>
          <w:color w:val="auto"/>
          <w:kern w:val="2"/>
          <w:sz w:val="32"/>
          <w:szCs w:val="24"/>
          <w:lang w:val="en-US" w:eastAsia="zh-CN" w:bidi="ar-SA"/>
        </w:rPr>
      </w:pPr>
      <w:r>
        <w:rPr>
          <w:rFonts w:hint="eastAsia" w:ascii="Times New Roman" w:hAnsi="Times New Roman" w:eastAsia="方正仿宋_GBK" w:cs="Times New Roman"/>
          <w:sz w:val="32"/>
          <w:szCs w:val="32"/>
          <w:lang w:val="en-US" w:eastAsia="zh-CN"/>
        </w:rPr>
        <w:t>开展</w:t>
      </w:r>
      <w:r>
        <w:rPr>
          <w:rFonts w:hint="default" w:ascii="Times New Roman" w:hAnsi="Times New Roman" w:eastAsia="方正仿宋_GBK" w:cs="Times New Roman"/>
          <w:sz w:val="32"/>
          <w:szCs w:val="32"/>
          <w:lang w:val="en-US" w:eastAsia="zh-CN"/>
        </w:rPr>
        <w:t>人事考试治理能力提升行动。以安全考试、公平考试、科学考试为目标，健全人事考试风险防控体系，以全流程管理维护人事考试公平公正，持续优化考生服务举措，着力提升人事考试公共服务水平，牢守考试安全底线。</w:t>
      </w:r>
    </w:p>
    <w:p w14:paraId="1640FED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38" w:name="_Toc1635"/>
      <w:r>
        <w:rPr>
          <w:rFonts w:hint="eastAsia" w:ascii="方正楷体简体" w:hAnsi="方正楷体简体" w:eastAsia="方正楷体简体" w:cs="方正楷体简体"/>
          <w:b w:val="0"/>
          <w:bCs/>
          <w:color w:val="auto"/>
          <w:kern w:val="2"/>
          <w:sz w:val="32"/>
          <w:szCs w:val="24"/>
          <w:lang w:val="en-US" w:eastAsia="zh-CN" w:bidi="ar-SA"/>
        </w:rPr>
        <w:t>第六节 主动融入乌鲁木齐都市圈建设</w:t>
      </w:r>
      <w:bookmarkEnd w:id="38"/>
    </w:p>
    <w:p w14:paraId="7403CA77">
      <w:r>
        <w:rPr>
          <w:rFonts w:hint="default" w:ascii="Times New Roman" w:hAnsi="Times New Roman" w:eastAsia="方正仿宋_GBK" w:cs="方正仿宋_GBK"/>
          <w:sz w:val="32"/>
          <w:szCs w:val="32"/>
          <w:lang w:val="en-US" w:eastAsia="zh-CN"/>
        </w:rPr>
        <w:t>推进</w:t>
      </w:r>
      <w:r>
        <w:rPr>
          <w:rFonts w:hint="eastAsia" w:ascii="Times New Roman" w:hAnsi="Times New Roman" w:eastAsia="方正仿宋_GBK" w:cs="方正仿宋_GBK"/>
          <w:sz w:val="32"/>
          <w:szCs w:val="32"/>
          <w:lang w:val="en-US" w:eastAsia="zh-CN"/>
        </w:rPr>
        <w:t>乌鲁木齐、昌吉、五家渠等地人社服务协</w:t>
      </w:r>
      <w:r>
        <w:rPr>
          <w:rFonts w:hint="default" w:ascii="Times New Roman" w:hAnsi="Times New Roman" w:eastAsia="方正仿宋_GBK" w:cs="方正仿宋_GBK"/>
          <w:sz w:val="32"/>
          <w:szCs w:val="32"/>
          <w:lang w:val="en-US" w:eastAsia="zh-CN"/>
        </w:rPr>
        <w:t>同发展</w:t>
      </w:r>
      <w:r>
        <w:rPr>
          <w:rFonts w:hint="eastAsia" w:ascii="Times New Roman" w:hAnsi="Times New Roman" w:eastAsia="方正仿宋_GBK" w:cs="方正仿宋_GBK"/>
          <w:sz w:val="32"/>
          <w:szCs w:val="32"/>
          <w:lang w:val="en-US" w:eastAsia="zh-CN"/>
        </w:rPr>
        <w:t>，优化乌鲁木齐都市圈人力资源开发利用质效，</w:t>
      </w:r>
      <w:r>
        <w:rPr>
          <w:rFonts w:hint="default" w:ascii="Times New Roman" w:hAnsi="Times New Roman" w:eastAsia="方正仿宋_GBK" w:cs="方正仿宋_GBK"/>
          <w:sz w:val="32"/>
          <w:szCs w:val="32"/>
          <w:lang w:val="en-US" w:eastAsia="zh-CN"/>
        </w:rPr>
        <w:t>促进人力资源跨</w:t>
      </w:r>
      <w:r>
        <w:rPr>
          <w:rFonts w:hint="eastAsia" w:ascii="Times New Roman" w:hAnsi="Times New Roman" w:eastAsia="方正仿宋_GBK" w:cs="方正仿宋_GBK"/>
          <w:sz w:val="32"/>
          <w:szCs w:val="32"/>
          <w:lang w:val="en-US" w:eastAsia="zh-CN"/>
        </w:rPr>
        <w:t>地区合理</w:t>
      </w:r>
      <w:r>
        <w:rPr>
          <w:rFonts w:hint="default" w:ascii="Times New Roman" w:hAnsi="Times New Roman" w:eastAsia="方正仿宋_GBK" w:cs="方正仿宋_GBK"/>
          <w:sz w:val="32"/>
          <w:szCs w:val="32"/>
          <w:lang w:val="en-US" w:eastAsia="zh-CN"/>
        </w:rPr>
        <w:t>流动。</w:t>
      </w:r>
      <w:r>
        <w:rPr>
          <w:rFonts w:hint="eastAsia" w:ascii="方正仿宋_GBK" w:hAnsi="方正仿宋_GBK" w:eastAsia="方正仿宋_GBK" w:cs="方正仿宋_GBK"/>
          <w:sz w:val="32"/>
          <w:szCs w:val="32"/>
        </w:rPr>
        <w:t>牢固树立兵地“一盘棋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一家人”理念，</w:t>
      </w:r>
      <w:r>
        <w:rPr>
          <w:rStyle w:val="28"/>
          <w:rFonts w:hint="eastAsia" w:ascii="Times New Roman" w:hAnsi="Times New Roman" w:eastAsia="方正仿宋_GBK" w:cs="Times New Roman"/>
          <w:color w:val="000000"/>
          <w:sz w:val="32"/>
          <w:szCs w:val="32"/>
          <w:lang w:val="en-US" w:eastAsia="zh-CN"/>
        </w:rPr>
        <w:t>落实《</w:t>
      </w:r>
      <w:r>
        <w:rPr>
          <w:rStyle w:val="28"/>
          <w:rFonts w:hint="default" w:ascii="Times New Roman" w:hAnsi="Times New Roman" w:eastAsia="方正仿宋_GBK" w:cs="Times New Roman"/>
          <w:color w:val="000000"/>
          <w:sz w:val="32"/>
          <w:szCs w:val="32"/>
          <w:lang w:val="en-US" w:eastAsia="zh-CN"/>
        </w:rPr>
        <w:t>兵地人社领域融合发展合作备忘录</w:t>
      </w:r>
      <w:r>
        <w:rPr>
          <w:rStyle w:val="28"/>
          <w:rFonts w:hint="eastAsia" w:ascii="Times New Roman" w:hAnsi="Times New Roman" w:eastAsia="方正仿宋_GBK" w:cs="Times New Roman"/>
          <w:color w:val="000000"/>
          <w:sz w:val="32"/>
          <w:szCs w:val="32"/>
          <w:lang w:val="en-US" w:eastAsia="zh-CN"/>
        </w:rPr>
        <w:t>》</w:t>
      </w:r>
      <w:r>
        <w:rPr>
          <w:rStyle w:val="28"/>
          <w:rFonts w:hint="default" w:ascii="Times New Roman" w:hAnsi="Times New Roman" w:eastAsia="方正仿宋_GBK" w:cs="Times New Roman"/>
          <w:color w:val="000000"/>
          <w:sz w:val="32"/>
          <w:szCs w:val="32"/>
          <w:lang w:val="en-US" w:eastAsia="zh-CN"/>
        </w:rPr>
        <w:t>，建立联席会议、对口联络、信息通报等合作机制，</w:t>
      </w:r>
      <w:r>
        <w:rPr>
          <w:rStyle w:val="28"/>
          <w:rFonts w:hint="eastAsia" w:ascii="Times New Roman" w:hAnsi="Times New Roman" w:eastAsia="方正仿宋_GBK" w:cs="Times New Roman"/>
          <w:color w:val="000000"/>
          <w:sz w:val="32"/>
          <w:szCs w:val="32"/>
          <w:lang w:val="en-US" w:eastAsia="zh-CN"/>
        </w:rPr>
        <w:t>推进</w:t>
      </w:r>
      <w:r>
        <w:rPr>
          <w:rStyle w:val="28"/>
          <w:rFonts w:hint="default" w:ascii="Times New Roman" w:hAnsi="Times New Roman" w:eastAsia="方正仿宋_GBK" w:cs="Times New Roman"/>
          <w:b w:val="0"/>
          <w:bCs w:val="0"/>
          <w:color w:val="000000"/>
          <w:sz w:val="32"/>
          <w:szCs w:val="32"/>
          <w:lang w:val="en-US" w:eastAsia="zh-CN"/>
        </w:rPr>
        <w:t>公共就业服务共建共享</w:t>
      </w:r>
      <w:r>
        <w:rPr>
          <w:rStyle w:val="28"/>
          <w:rFonts w:hint="eastAsia" w:ascii="Times New Roman" w:hAnsi="Times New Roman" w:eastAsia="方正仿宋_GBK" w:cs="Times New Roman"/>
          <w:b w:val="0"/>
          <w:bCs w:val="0"/>
          <w:color w:val="000000"/>
          <w:sz w:val="32"/>
          <w:szCs w:val="32"/>
          <w:lang w:val="en-US" w:eastAsia="zh-CN"/>
        </w:rPr>
        <w:t>、社会保险融合发展、人才服务交流互通、劳动关系治理联建联动</w:t>
      </w:r>
      <w:r>
        <w:rPr>
          <w:rStyle w:val="28"/>
          <w:rFonts w:hint="eastAsia" w:ascii="Times New Roman" w:hAnsi="Times New Roman" w:eastAsia="方正仿宋_GBK" w:cs="Times New Roman"/>
          <w:color w:val="000000"/>
          <w:sz w:val="32"/>
          <w:szCs w:val="32"/>
          <w:lang w:val="en-US" w:eastAsia="zh-CN"/>
        </w:rPr>
        <w:t>。建立兵地通办业务事项清单，</w:t>
      </w:r>
      <w:r>
        <w:rPr>
          <w:rFonts w:hint="eastAsia" w:ascii="Times New Roman" w:hAnsi="Times New Roman" w:eastAsia="方正仿宋_GBK" w:cs="方正仿宋_GBK"/>
          <w:sz w:val="32"/>
          <w:szCs w:val="32"/>
          <w:lang w:val="en-US" w:eastAsia="zh-CN"/>
        </w:rPr>
        <w:t>推动跨兵地业务协同联办。深化兵地就业协同融合，</w:t>
      </w:r>
      <w:r>
        <w:rPr>
          <w:rFonts w:hint="eastAsia" w:ascii="方正仿宋_GBK" w:hAnsi="方正仿宋_GBK" w:eastAsia="方正仿宋_GBK" w:cs="方正仿宋_GBK"/>
          <w:sz w:val="32"/>
          <w:szCs w:val="32"/>
        </w:rPr>
        <w:t>统筹开展公共就业和人才服务活动，</w:t>
      </w:r>
      <w:r>
        <w:rPr>
          <w:rFonts w:hint="eastAsia" w:ascii="Times New Roman" w:hAnsi="Times New Roman" w:eastAsia="方正仿宋_GBK" w:cs="方正仿宋_GBK"/>
          <w:sz w:val="32"/>
          <w:szCs w:val="32"/>
          <w:lang w:val="en-US" w:eastAsia="zh-CN"/>
        </w:rPr>
        <w:t>畅通岗位信息互通渠道，整合用工资源，推动劳动力有序流动顺畅就业，助力兵地协同共进、高质量发展。</w:t>
      </w:r>
    </w:p>
    <w:p w14:paraId="714EC11D">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0"/>
        <w:rPr>
          <w:rFonts w:hint="eastAsia" w:ascii="黑体" w:hAnsi="黑体" w:eastAsia="黑体" w:cs="黑体"/>
          <w:b w:val="0"/>
          <w:bCs/>
          <w:color w:val="auto"/>
          <w:lang w:eastAsia="zh-CN"/>
        </w:rPr>
      </w:pPr>
      <w:bookmarkStart w:id="39" w:name="_Toc30493"/>
    </w:p>
    <w:p w14:paraId="60F65606">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黑体_GBK" w:hAnsi="方正黑体_GBK" w:eastAsia="方正黑体_GBK" w:cs="方正黑体_GBK"/>
          <w:color w:val="auto"/>
        </w:rPr>
      </w:pPr>
      <w:r>
        <w:rPr>
          <w:rFonts w:hint="eastAsia" w:ascii="黑体" w:hAnsi="黑体" w:eastAsia="黑体" w:cs="黑体"/>
          <w:b w:val="0"/>
          <w:bCs/>
          <w:color w:val="auto"/>
          <w:lang w:eastAsia="zh-CN"/>
        </w:rPr>
        <w:t>第八章</w:t>
      </w:r>
      <w:r>
        <w:rPr>
          <w:rFonts w:hint="eastAsia" w:ascii="黑体" w:hAnsi="黑体" w:eastAsia="黑体" w:cs="黑体"/>
          <w:b w:val="0"/>
          <w:bCs/>
          <w:color w:val="auto"/>
          <w:lang w:val="en-US" w:eastAsia="zh-CN"/>
        </w:rPr>
        <w:t xml:space="preserve"> </w:t>
      </w:r>
      <w:r>
        <w:rPr>
          <w:rFonts w:hint="eastAsia" w:ascii="黑体" w:hAnsi="黑体" w:eastAsia="黑体" w:cs="黑体"/>
          <w:b w:val="0"/>
          <w:bCs/>
          <w:color w:val="auto"/>
        </w:rPr>
        <w:fldChar w:fldCharType="begin"/>
      </w:r>
      <w:r>
        <w:rPr>
          <w:rFonts w:hint="eastAsia" w:ascii="黑体" w:hAnsi="黑体" w:eastAsia="黑体" w:cs="黑体"/>
          <w:b w:val="0"/>
          <w:bCs/>
          <w:color w:val="auto"/>
        </w:rPr>
        <w:instrText xml:space="preserve"> HYPERLINK \l _Toc10728_WPSOffice_Level1 </w:instrText>
      </w:r>
      <w:r>
        <w:rPr>
          <w:rFonts w:hint="eastAsia" w:ascii="黑体" w:hAnsi="黑体" w:eastAsia="黑体" w:cs="黑体"/>
          <w:b w:val="0"/>
          <w:bCs/>
          <w:color w:val="auto"/>
        </w:rPr>
        <w:fldChar w:fldCharType="separate"/>
      </w:r>
      <w:r>
        <w:rPr>
          <w:rFonts w:hint="eastAsia" w:ascii="黑体" w:hAnsi="黑体" w:eastAsia="黑体" w:cs="黑体"/>
          <w:b w:val="0"/>
          <w:bCs/>
          <w:color w:val="auto"/>
        </w:rPr>
        <w:t>保障措施</w:t>
      </w:r>
      <w:r>
        <w:rPr>
          <w:rFonts w:hint="eastAsia" w:ascii="黑体" w:hAnsi="黑体" w:eastAsia="黑体" w:cs="黑体"/>
          <w:b w:val="0"/>
          <w:bCs/>
          <w:color w:val="auto"/>
        </w:rPr>
        <w:fldChar w:fldCharType="end"/>
      </w:r>
      <w:bookmarkEnd w:id="39"/>
    </w:p>
    <w:p w14:paraId="1217EDEF">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left"/>
        <w:textAlignment w:val="auto"/>
        <w:outlineLvl w:val="9"/>
        <w:rPr>
          <w:rFonts w:hint="default" w:ascii="方正仿宋_GBK" w:hAnsi="方正仿宋_GBK" w:eastAsia="方正仿宋_GBK" w:cs="方正仿宋_GBK"/>
          <w:b w:val="0"/>
          <w:bCs/>
          <w:color w:val="auto"/>
          <w:lang w:val="en-US" w:eastAsia="zh-CN"/>
        </w:rPr>
      </w:pPr>
      <w:r>
        <w:rPr>
          <w:rFonts w:hint="eastAsia" w:ascii="方正仿宋_GBK" w:hAnsi="方正仿宋_GBK" w:eastAsia="方正仿宋_GBK" w:cs="方正仿宋_GBK"/>
          <w:b w:val="0"/>
          <w:bCs/>
          <w:color w:val="auto"/>
          <w:lang w:val="en-US" w:eastAsia="zh-CN"/>
        </w:rPr>
        <w:t>建立健全权责清晰、运行高效、督导有力的规划落实责任机制，保障人社事业发展“十五五”规划有效实施。</w:t>
      </w:r>
    </w:p>
    <w:p w14:paraId="2A72F35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40" w:name="_Toc16269"/>
      <w:r>
        <w:rPr>
          <w:rFonts w:hint="eastAsia" w:ascii="方正楷体简体" w:hAnsi="方正楷体简体" w:eastAsia="方正楷体简体" w:cs="方正楷体简体"/>
          <w:b w:val="0"/>
          <w:bCs/>
          <w:color w:val="auto"/>
          <w:kern w:val="2"/>
          <w:sz w:val="32"/>
          <w:szCs w:val="24"/>
          <w:lang w:val="en-US" w:eastAsia="zh-CN" w:bidi="ar-SA"/>
        </w:rPr>
        <w:t>第一节 强化法治保障</w:t>
      </w:r>
      <w:bookmarkEnd w:id="40"/>
    </w:p>
    <w:p w14:paraId="4545332C">
      <w:pPr>
        <w:keepNext w:val="0"/>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default" w:ascii="方正仿宋_GBK" w:hAnsi="方正仿宋_GBK" w:eastAsia="方正仿宋_GBK" w:cs="方正仿宋_GBK"/>
          <w:b w:val="0"/>
          <w:bCs/>
          <w:color w:val="auto"/>
          <w:lang w:val="en-US" w:eastAsia="zh-CN"/>
        </w:rPr>
      </w:pPr>
      <w:r>
        <w:rPr>
          <w:rFonts w:hint="eastAsia" w:ascii="方正仿宋_GBK" w:hAnsi="方正仿宋_GBK" w:eastAsia="方正仿宋_GBK" w:cs="方正仿宋_GBK"/>
          <w:b w:val="0"/>
          <w:bCs/>
          <w:color w:val="auto"/>
          <w:lang w:val="en-US" w:eastAsia="zh-CN"/>
        </w:rPr>
        <w:t>推动实施法治人社建设，提升行政规范性文件合法性审核工作质量。加强行政执法监督，持续规范涉企行政执法，优化法治化营商环境。贯落实“九五”普法规划，加强法治教育培训，提高人社系统干部法治思维和依法行政能力。</w:t>
      </w:r>
    </w:p>
    <w:p w14:paraId="25173CC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41" w:name="_Toc11729"/>
      <w:r>
        <w:rPr>
          <w:rFonts w:hint="eastAsia" w:ascii="方正楷体简体" w:hAnsi="方正楷体简体" w:eastAsia="方正楷体简体" w:cs="方正楷体简体"/>
          <w:b w:val="0"/>
          <w:bCs/>
          <w:color w:val="auto"/>
          <w:kern w:val="2"/>
          <w:sz w:val="32"/>
          <w:szCs w:val="24"/>
          <w:lang w:val="en-US" w:eastAsia="zh-CN" w:bidi="ar-SA"/>
        </w:rPr>
        <w:t xml:space="preserve">第二节 </w:t>
      </w:r>
      <w:r>
        <w:rPr>
          <w:rFonts w:hint="default" w:ascii="方正楷体简体" w:hAnsi="方正楷体简体" w:eastAsia="方正楷体简体" w:cs="方正楷体简体"/>
          <w:b w:val="0"/>
          <w:bCs/>
          <w:color w:val="auto"/>
          <w:kern w:val="2"/>
          <w:sz w:val="32"/>
          <w:szCs w:val="24"/>
          <w:lang w:val="en-US" w:eastAsia="zh-CN" w:bidi="ar-SA"/>
        </w:rPr>
        <w:fldChar w:fldCharType="begin"/>
      </w:r>
      <w:r>
        <w:rPr>
          <w:rFonts w:hint="default" w:ascii="方正楷体简体" w:hAnsi="方正楷体简体" w:eastAsia="方正楷体简体" w:cs="方正楷体简体"/>
          <w:b w:val="0"/>
          <w:bCs/>
          <w:color w:val="auto"/>
          <w:kern w:val="2"/>
          <w:sz w:val="32"/>
          <w:szCs w:val="24"/>
          <w:lang w:val="en-US" w:eastAsia="zh-CN" w:bidi="ar-SA"/>
        </w:rPr>
        <w:instrText xml:space="preserve"> HYPERLINK \l _Toc4380_WPSOffice_Level2 </w:instrText>
      </w:r>
      <w:r>
        <w:rPr>
          <w:rFonts w:hint="default" w:ascii="方正楷体简体" w:hAnsi="方正楷体简体" w:eastAsia="方正楷体简体" w:cs="方正楷体简体"/>
          <w:b w:val="0"/>
          <w:bCs/>
          <w:color w:val="auto"/>
          <w:kern w:val="2"/>
          <w:sz w:val="32"/>
          <w:szCs w:val="24"/>
          <w:lang w:val="en-US" w:eastAsia="zh-CN" w:bidi="ar-SA"/>
        </w:rPr>
        <w:fldChar w:fldCharType="separate"/>
      </w:r>
      <w:r>
        <w:rPr>
          <w:rFonts w:hint="default" w:ascii="方正楷体简体" w:hAnsi="方正楷体简体" w:eastAsia="方正楷体简体" w:cs="方正楷体简体"/>
          <w:b w:val="0"/>
          <w:bCs/>
          <w:color w:val="auto"/>
          <w:kern w:val="2"/>
          <w:sz w:val="32"/>
          <w:szCs w:val="24"/>
          <w:lang w:val="en-US" w:eastAsia="zh-CN" w:bidi="ar-SA"/>
        </w:rPr>
        <w:t>强化资金保障</w:t>
      </w:r>
      <w:r>
        <w:rPr>
          <w:rFonts w:hint="default" w:ascii="方正楷体简体" w:hAnsi="方正楷体简体" w:eastAsia="方正楷体简体" w:cs="方正楷体简体"/>
          <w:b w:val="0"/>
          <w:bCs/>
          <w:color w:val="auto"/>
          <w:kern w:val="2"/>
          <w:sz w:val="32"/>
          <w:szCs w:val="24"/>
          <w:lang w:val="en-US" w:eastAsia="zh-CN" w:bidi="ar-SA"/>
        </w:rPr>
        <w:fldChar w:fldCharType="end"/>
      </w:r>
      <w:bookmarkEnd w:id="41"/>
    </w:p>
    <w:p w14:paraId="449D448C">
      <w:pPr>
        <w:keepNext w:val="0"/>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ascii="方正仿宋_GBK" w:hAnsi="方正仿宋_GBK" w:eastAsia="方正仿宋_GBK" w:cs="方正仿宋_GBK"/>
          <w:color w:val="FF0000"/>
          <w:lang w:val="en-US" w:eastAsia="zh-CN"/>
        </w:rPr>
      </w:pPr>
      <w:r>
        <w:rPr>
          <w:rFonts w:hint="eastAsia" w:ascii="方正仿宋_GBK" w:hAnsi="方正仿宋_GBK" w:eastAsia="方正仿宋_GBK" w:cs="方正仿宋_GBK"/>
          <w:color w:val="auto"/>
          <w:sz w:val="32"/>
          <w:szCs w:val="32"/>
          <w:lang w:val="en-US" w:eastAsia="zh-CN"/>
        </w:rPr>
        <w:t>坚持投资于物与投资于人紧密结合，积极争取有关部门加大对人社事业的资金支持，重点向规划确定的重点任务、重大活动安排倾斜。</w:t>
      </w:r>
      <w:r>
        <w:rPr>
          <w:rFonts w:hint="eastAsia" w:ascii="方正仿宋_GBK" w:hAnsi="方正仿宋_GBK" w:eastAsia="方正仿宋_GBK" w:cs="方正仿宋_GBK"/>
          <w:color w:val="auto"/>
          <w:lang w:val="en-US" w:eastAsia="zh-CN"/>
        </w:rPr>
        <w:t>优化财政支出结构，建立“预算编制有目标、执行监控有预警、绩效评价有反馈”的闭环机制，切实提高资金使用的规范性、安全性、有效性。</w:t>
      </w:r>
    </w:p>
    <w:p w14:paraId="14456D70">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default" w:ascii="方正楷体简体" w:hAnsi="方正楷体简体" w:eastAsia="方正楷体简体" w:cs="方正楷体简体"/>
          <w:b w:val="0"/>
          <w:bCs/>
          <w:color w:val="auto"/>
          <w:kern w:val="2"/>
          <w:sz w:val="32"/>
          <w:szCs w:val="24"/>
          <w:lang w:val="en-US" w:eastAsia="zh-CN" w:bidi="ar-SA"/>
        </w:rPr>
      </w:pPr>
      <w:bookmarkStart w:id="42" w:name="_Toc1533"/>
      <w:r>
        <w:rPr>
          <w:rFonts w:hint="eastAsia" w:ascii="方正楷体简体" w:hAnsi="方正楷体简体" w:eastAsia="方正楷体简体" w:cs="方正楷体简体"/>
          <w:b w:val="0"/>
          <w:bCs/>
          <w:color w:val="auto"/>
          <w:kern w:val="2"/>
          <w:sz w:val="32"/>
          <w:szCs w:val="24"/>
          <w:lang w:val="en-US" w:eastAsia="zh-CN" w:bidi="ar-SA"/>
        </w:rPr>
        <w:t>第三节 强化宣传引导</w:t>
      </w:r>
      <w:bookmarkEnd w:id="42"/>
    </w:p>
    <w:p w14:paraId="2449B04A">
      <w:pPr>
        <w:pStyle w:val="14"/>
        <w:bidi w:val="0"/>
        <w:outlineLvl w:val="9"/>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kern w:val="2"/>
          <w:sz w:val="32"/>
          <w:szCs w:val="24"/>
          <w:lang w:val="en-US" w:eastAsia="zh-CN" w:bidi="ar-SA"/>
        </w:rPr>
        <w:t>坚持围绕中心、服务大局，深刻认识把握“十五五”期间形势任务，紧紧围绕人社工作主线，紧扣加强政策和服务高品质供给要求，全力做好稳就业惠民生宣传。</w:t>
      </w:r>
      <w:r>
        <w:rPr>
          <w:rFonts w:hint="default" w:ascii="Times New Roman" w:hAnsi="Times New Roman" w:eastAsia="方正仿宋_GBK" w:cs="Times New Roman"/>
          <w:b w:val="0"/>
          <w:bCs/>
          <w:kern w:val="2"/>
          <w:sz w:val="32"/>
          <w:szCs w:val="32"/>
          <w:lang w:val="en-US" w:eastAsia="zh-CN" w:bidi="ar-SA"/>
        </w:rPr>
        <w:t>创新宣传形式，拓展宣传渠道，打造全方位、多角度、立体式宣传格局。坚持正确舆论导向，引导全社会共同关心和支持人力资源和社会保障工作。</w:t>
      </w:r>
    </w:p>
    <w:p w14:paraId="09E8A6A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bookmarkStart w:id="43" w:name="_Toc26497"/>
      <w:r>
        <w:rPr>
          <w:rFonts w:hint="eastAsia" w:ascii="方正楷体简体" w:hAnsi="方正楷体简体" w:eastAsia="方正楷体简体" w:cs="方正楷体简体"/>
          <w:b w:val="0"/>
          <w:bCs/>
          <w:color w:val="auto"/>
          <w:kern w:val="2"/>
          <w:sz w:val="32"/>
          <w:szCs w:val="24"/>
          <w:lang w:val="en-US" w:eastAsia="zh-CN" w:bidi="ar-SA"/>
        </w:rPr>
        <w:t>第四节 强化</w:t>
      </w:r>
      <w:bookmarkEnd w:id="43"/>
      <w:r>
        <w:rPr>
          <w:rFonts w:hint="eastAsia" w:ascii="方正楷体简体" w:hAnsi="方正楷体简体" w:eastAsia="方正楷体简体" w:cs="方正楷体简体"/>
          <w:b w:val="0"/>
          <w:bCs/>
          <w:color w:val="auto"/>
          <w:kern w:val="2"/>
          <w:sz w:val="32"/>
          <w:szCs w:val="24"/>
          <w:lang w:val="en-US" w:eastAsia="zh-CN" w:bidi="ar-SA"/>
        </w:rPr>
        <w:t>规划实施</w:t>
      </w:r>
    </w:p>
    <w:p w14:paraId="473CFAC0">
      <w:pPr>
        <w:keepNext w:val="0"/>
        <w:keepLines w:val="0"/>
        <w:pageBreakBefore w:val="0"/>
        <w:widowControl w:val="0"/>
        <w:kinsoku/>
        <w:wordWrap w:val="0"/>
        <w:overflowPunct/>
        <w:topLinePunct w:val="0"/>
        <w:autoSpaceDE/>
        <w:autoSpaceDN/>
        <w:bidi w:val="0"/>
        <w:adjustRightInd/>
        <w:snapToGrid/>
        <w:spacing w:line="560" w:lineRule="exact"/>
        <w:jc w:val="both"/>
        <w:textAlignment w:val="auto"/>
        <w:outlineLvl w:val="9"/>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val="en-US" w:eastAsia="zh-CN"/>
        </w:rPr>
        <w:t>制定规划目标任务分解落实方案，加强规划中期评估和总结评估，确保规划执行有力、落实到位。加强规划与年度计划的衔接，合理设置年度目标，并做好年度间综合平衡。每年对主要指标、任务措施进行测算，及时提出加强和改进规划实施的政策举措。</w:t>
      </w:r>
    </w:p>
    <w:p w14:paraId="793564F8">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outlineLvl w:val="1"/>
        <w:rPr>
          <w:rFonts w:hint="eastAsia" w:ascii="方正楷体简体" w:hAnsi="方正楷体简体" w:eastAsia="方正楷体简体" w:cs="方正楷体简体"/>
          <w:b w:val="0"/>
          <w:bCs/>
          <w:color w:val="auto"/>
          <w:kern w:val="2"/>
          <w:sz w:val="32"/>
          <w:szCs w:val="24"/>
          <w:lang w:val="en-US" w:eastAsia="zh-CN" w:bidi="ar-SA"/>
        </w:rPr>
      </w:pPr>
    </w:p>
    <w:sectPr>
      <w:type w:val="continuous"/>
      <w:pgSz w:w="11906" w:h="16838"/>
      <w:pgMar w:top="2098" w:right="1531" w:bottom="1587" w:left="1531" w:header="851" w:footer="992" w:gutter="0"/>
      <w:pgBorders>
        <w:top w:val="none" w:sz="0" w:space="0"/>
        <w:left w:val="none" w:sz="0" w:space="0"/>
        <w:bottom w:val="none" w:sz="0" w:space="0"/>
        <w:right w:val="none" w:sz="0" w:space="0"/>
      </w:pgBorders>
      <w:pgNumType w:fmt="decimal"/>
      <w:cols w:space="0" w:num="1"/>
      <w:rtlGutter w:val="0"/>
      <w:docGrid w:type="lines" w:linePitch="44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2A0BFC-6AAA-4960-AB60-8CEDACF835A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方正仿宋_GBK"/>
    <w:panose1 w:val="02000000000000000000"/>
    <w:charset w:val="86"/>
    <w:family w:val="auto"/>
    <w:pitch w:val="default"/>
    <w:sig w:usb0="00000000" w:usb1="00000000" w:usb2="00000012" w:usb3="00000000" w:csb0="00040001" w:csb1="00000000"/>
    <w:embedRegular r:id="rId2" w:fontKey="{D501EF9F-D71D-414C-B1A3-D2C041731E07}"/>
  </w:font>
  <w:font w:name="方正公文小标宋">
    <w:altName w:val="方正小标宋简体"/>
    <w:panose1 w:val="02000500000000000000"/>
    <w:charset w:val="86"/>
    <w:family w:val="auto"/>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3" w:fontKey="{AA3B7E51-24BE-4346-9CC3-354AE6C74C69}"/>
  </w:font>
  <w:font w:name="方正小标宋简体">
    <w:panose1 w:val="02000000000000000000"/>
    <w:charset w:val="86"/>
    <w:family w:val="auto"/>
    <w:pitch w:val="default"/>
    <w:sig w:usb0="A00002BF" w:usb1="184F6CFA" w:usb2="00000012" w:usb3="00000000" w:csb0="00040001" w:csb1="00000000"/>
    <w:embedRegular r:id="rId4" w:fontKey="{99A5F269-AAFC-4EEB-A6AF-FBEA51B5A730}"/>
  </w:font>
  <w:font w:name="方正黑体_GBK">
    <w:panose1 w:val="02000000000000000000"/>
    <w:charset w:val="86"/>
    <w:family w:val="auto"/>
    <w:pitch w:val="default"/>
    <w:sig w:usb0="A00002BF" w:usb1="38CF7CFA" w:usb2="00082016" w:usb3="00000000" w:csb0="00040001" w:csb1="00000000"/>
    <w:embedRegular r:id="rId5" w:fontKey="{4B478B27-9F7B-4848-8923-D9962D403E7B}"/>
  </w:font>
  <w:font w:name="方正楷体简体">
    <w:panose1 w:val="02000000000000000000"/>
    <w:charset w:val="86"/>
    <w:family w:val="auto"/>
    <w:pitch w:val="default"/>
    <w:sig w:usb0="A00002BF" w:usb1="184F6CFA" w:usb2="00000012" w:usb3="00000000" w:csb0="00040001" w:csb1="00000000"/>
    <w:embedRegular r:id="rId6" w:fontKey="{9595558E-8488-42D6-935A-0C13D063615A}"/>
  </w:font>
  <w:font w:name="方正楷体_GBK">
    <w:panose1 w:val="02000000000000000000"/>
    <w:charset w:val="86"/>
    <w:family w:val="auto"/>
    <w:pitch w:val="default"/>
    <w:sig w:usb0="A00002BF" w:usb1="38CF7CFA" w:usb2="00082016" w:usb3="00000000" w:csb0="00040001" w:csb1="00000000"/>
    <w:embedRegular r:id="rId7" w:fontKey="{465C97D9-A3B8-40E7-906B-5D4CC698C8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53AF6">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A9827">
                          <w:pPr>
                            <w:pStyle w:val="1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C3A9827">
                    <w:pPr>
                      <w:pStyle w:val="1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544EA">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9237E">
                          <w:pPr>
                            <w:pStyle w:val="1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F9237E">
                    <w:pPr>
                      <w:pStyle w:val="1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13FDC"/>
    <w:multiLevelType w:val="singleLevel"/>
    <w:tmpl w:val="A8313FDC"/>
    <w:lvl w:ilvl="0" w:tentative="0">
      <w:start w:val="4"/>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1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E94E6C"/>
    <w:rsid w:val="00256ABF"/>
    <w:rsid w:val="003056DE"/>
    <w:rsid w:val="00420E7C"/>
    <w:rsid w:val="00437516"/>
    <w:rsid w:val="0045657D"/>
    <w:rsid w:val="007F4D64"/>
    <w:rsid w:val="00824C48"/>
    <w:rsid w:val="00C07DEA"/>
    <w:rsid w:val="01260F2A"/>
    <w:rsid w:val="013A092C"/>
    <w:rsid w:val="015201AD"/>
    <w:rsid w:val="01A64125"/>
    <w:rsid w:val="01EE5E5A"/>
    <w:rsid w:val="020053A0"/>
    <w:rsid w:val="023416C7"/>
    <w:rsid w:val="025C7268"/>
    <w:rsid w:val="02665C24"/>
    <w:rsid w:val="02666A49"/>
    <w:rsid w:val="026C5295"/>
    <w:rsid w:val="02A418D7"/>
    <w:rsid w:val="02B65855"/>
    <w:rsid w:val="03991DF6"/>
    <w:rsid w:val="03C23461"/>
    <w:rsid w:val="03D0039E"/>
    <w:rsid w:val="03DA48E8"/>
    <w:rsid w:val="04073EB8"/>
    <w:rsid w:val="04635599"/>
    <w:rsid w:val="04AE2C39"/>
    <w:rsid w:val="05301DB1"/>
    <w:rsid w:val="05696BF0"/>
    <w:rsid w:val="05822D1E"/>
    <w:rsid w:val="05965135"/>
    <w:rsid w:val="05A2087E"/>
    <w:rsid w:val="05AB7BBE"/>
    <w:rsid w:val="061F6011"/>
    <w:rsid w:val="063E7ECD"/>
    <w:rsid w:val="065D3B3A"/>
    <w:rsid w:val="068837C4"/>
    <w:rsid w:val="06A43A96"/>
    <w:rsid w:val="073303A6"/>
    <w:rsid w:val="07412277"/>
    <w:rsid w:val="07846756"/>
    <w:rsid w:val="07916D09"/>
    <w:rsid w:val="079948FE"/>
    <w:rsid w:val="07CB3C18"/>
    <w:rsid w:val="07D65F6C"/>
    <w:rsid w:val="07E665F5"/>
    <w:rsid w:val="081B727D"/>
    <w:rsid w:val="08453D6A"/>
    <w:rsid w:val="08616192"/>
    <w:rsid w:val="08E8093F"/>
    <w:rsid w:val="09057F6C"/>
    <w:rsid w:val="091E2504"/>
    <w:rsid w:val="09205241"/>
    <w:rsid w:val="095347D1"/>
    <w:rsid w:val="099654D2"/>
    <w:rsid w:val="099D0853"/>
    <w:rsid w:val="0A064A00"/>
    <w:rsid w:val="0A360224"/>
    <w:rsid w:val="0A3B548D"/>
    <w:rsid w:val="0A6A12A0"/>
    <w:rsid w:val="0A7E3AF3"/>
    <w:rsid w:val="0AA574E5"/>
    <w:rsid w:val="0ABA558C"/>
    <w:rsid w:val="0AED7B94"/>
    <w:rsid w:val="0AF90B10"/>
    <w:rsid w:val="0B624CBC"/>
    <w:rsid w:val="0B9B0319"/>
    <w:rsid w:val="0B9B7EAB"/>
    <w:rsid w:val="0BCA33E7"/>
    <w:rsid w:val="0BCA3911"/>
    <w:rsid w:val="0BE63309"/>
    <w:rsid w:val="0C5F0ACF"/>
    <w:rsid w:val="0C840A1A"/>
    <w:rsid w:val="0D171176"/>
    <w:rsid w:val="0D1F1687"/>
    <w:rsid w:val="0D811433"/>
    <w:rsid w:val="0DD264D9"/>
    <w:rsid w:val="0E1F5086"/>
    <w:rsid w:val="0E317059"/>
    <w:rsid w:val="0E795085"/>
    <w:rsid w:val="0EAF7927"/>
    <w:rsid w:val="0EE5457E"/>
    <w:rsid w:val="0F3D7CEB"/>
    <w:rsid w:val="0F663BD2"/>
    <w:rsid w:val="0F692A6F"/>
    <w:rsid w:val="0F8C08BD"/>
    <w:rsid w:val="102B6E13"/>
    <w:rsid w:val="103A4C0C"/>
    <w:rsid w:val="103C4B2F"/>
    <w:rsid w:val="104273EF"/>
    <w:rsid w:val="108F6A5A"/>
    <w:rsid w:val="10AA6D5F"/>
    <w:rsid w:val="10CD441E"/>
    <w:rsid w:val="10DA04A5"/>
    <w:rsid w:val="10E86A7B"/>
    <w:rsid w:val="1118101A"/>
    <w:rsid w:val="114856A6"/>
    <w:rsid w:val="115C628C"/>
    <w:rsid w:val="116F3C27"/>
    <w:rsid w:val="119618E8"/>
    <w:rsid w:val="11DC45DB"/>
    <w:rsid w:val="12022DB9"/>
    <w:rsid w:val="12066CB7"/>
    <w:rsid w:val="12297250"/>
    <w:rsid w:val="12585987"/>
    <w:rsid w:val="128072E8"/>
    <w:rsid w:val="12B677C2"/>
    <w:rsid w:val="13373B73"/>
    <w:rsid w:val="134123DD"/>
    <w:rsid w:val="140D6EEF"/>
    <w:rsid w:val="143769B9"/>
    <w:rsid w:val="1491667A"/>
    <w:rsid w:val="14AA0EF6"/>
    <w:rsid w:val="14DD044C"/>
    <w:rsid w:val="151350A2"/>
    <w:rsid w:val="153016AC"/>
    <w:rsid w:val="15350822"/>
    <w:rsid w:val="154C07A6"/>
    <w:rsid w:val="156F45A9"/>
    <w:rsid w:val="159641E1"/>
    <w:rsid w:val="15A34D00"/>
    <w:rsid w:val="15BE749A"/>
    <w:rsid w:val="16201D5D"/>
    <w:rsid w:val="16235CA6"/>
    <w:rsid w:val="16294A84"/>
    <w:rsid w:val="163A7083"/>
    <w:rsid w:val="163D3CE7"/>
    <w:rsid w:val="16563130"/>
    <w:rsid w:val="16B17FC7"/>
    <w:rsid w:val="174E374F"/>
    <w:rsid w:val="175C751A"/>
    <w:rsid w:val="176202EF"/>
    <w:rsid w:val="179E4726"/>
    <w:rsid w:val="17B752F6"/>
    <w:rsid w:val="182739E3"/>
    <w:rsid w:val="184E6AEE"/>
    <w:rsid w:val="19007908"/>
    <w:rsid w:val="190D4F66"/>
    <w:rsid w:val="1940737B"/>
    <w:rsid w:val="194F441F"/>
    <w:rsid w:val="195D1695"/>
    <w:rsid w:val="1976058B"/>
    <w:rsid w:val="199569B7"/>
    <w:rsid w:val="19BC2548"/>
    <w:rsid w:val="19CC1A6C"/>
    <w:rsid w:val="19DA36AB"/>
    <w:rsid w:val="19E30FB0"/>
    <w:rsid w:val="1A3F1A96"/>
    <w:rsid w:val="1A8D54FA"/>
    <w:rsid w:val="1AA13E20"/>
    <w:rsid w:val="1AC474F7"/>
    <w:rsid w:val="1B65127F"/>
    <w:rsid w:val="1B704357"/>
    <w:rsid w:val="1B733E18"/>
    <w:rsid w:val="1B8B730F"/>
    <w:rsid w:val="1B9A79EA"/>
    <w:rsid w:val="1BC4291D"/>
    <w:rsid w:val="1BDC5123"/>
    <w:rsid w:val="1BE92EC5"/>
    <w:rsid w:val="1C0300D5"/>
    <w:rsid w:val="1C61569D"/>
    <w:rsid w:val="1CEA53B1"/>
    <w:rsid w:val="1CF7287C"/>
    <w:rsid w:val="1CF87735"/>
    <w:rsid w:val="1D0A7CC9"/>
    <w:rsid w:val="1D0D567D"/>
    <w:rsid w:val="1D2F0925"/>
    <w:rsid w:val="1D506A5E"/>
    <w:rsid w:val="1D905CE4"/>
    <w:rsid w:val="1DBB67CF"/>
    <w:rsid w:val="1DEC600F"/>
    <w:rsid w:val="1E2A6295"/>
    <w:rsid w:val="1E967B20"/>
    <w:rsid w:val="1EBB5430"/>
    <w:rsid w:val="1EC75F44"/>
    <w:rsid w:val="1EFEC7DE"/>
    <w:rsid w:val="1F061775"/>
    <w:rsid w:val="1F271212"/>
    <w:rsid w:val="1F554D78"/>
    <w:rsid w:val="1F7639B5"/>
    <w:rsid w:val="1F8A1BBA"/>
    <w:rsid w:val="1F8A2E22"/>
    <w:rsid w:val="1FA25422"/>
    <w:rsid w:val="1FC62AAD"/>
    <w:rsid w:val="20411092"/>
    <w:rsid w:val="204E7A91"/>
    <w:rsid w:val="207854F5"/>
    <w:rsid w:val="20AE7339"/>
    <w:rsid w:val="20BD3045"/>
    <w:rsid w:val="211C60CC"/>
    <w:rsid w:val="2149312A"/>
    <w:rsid w:val="21C24E71"/>
    <w:rsid w:val="21CC3CDF"/>
    <w:rsid w:val="21FC7CC7"/>
    <w:rsid w:val="223C7CC4"/>
    <w:rsid w:val="225403A6"/>
    <w:rsid w:val="227022C2"/>
    <w:rsid w:val="22CB5324"/>
    <w:rsid w:val="22D72258"/>
    <w:rsid w:val="23780CBF"/>
    <w:rsid w:val="239F7630"/>
    <w:rsid w:val="23A61187"/>
    <w:rsid w:val="23BF4B92"/>
    <w:rsid w:val="23D809B5"/>
    <w:rsid w:val="24085A13"/>
    <w:rsid w:val="24210AF2"/>
    <w:rsid w:val="2438587A"/>
    <w:rsid w:val="243D7784"/>
    <w:rsid w:val="24472292"/>
    <w:rsid w:val="24711533"/>
    <w:rsid w:val="248B7FD0"/>
    <w:rsid w:val="2490178C"/>
    <w:rsid w:val="24D32F62"/>
    <w:rsid w:val="24DC1ADD"/>
    <w:rsid w:val="25136387"/>
    <w:rsid w:val="252E215F"/>
    <w:rsid w:val="253D62BC"/>
    <w:rsid w:val="254A31F2"/>
    <w:rsid w:val="259F7A64"/>
    <w:rsid w:val="25BF65FB"/>
    <w:rsid w:val="26290229"/>
    <w:rsid w:val="26352F41"/>
    <w:rsid w:val="263D44F0"/>
    <w:rsid w:val="2665541B"/>
    <w:rsid w:val="267F3A66"/>
    <w:rsid w:val="26B84614"/>
    <w:rsid w:val="26D56FDF"/>
    <w:rsid w:val="26E30AFD"/>
    <w:rsid w:val="26F469F8"/>
    <w:rsid w:val="271B0A23"/>
    <w:rsid w:val="275C5122"/>
    <w:rsid w:val="278A1929"/>
    <w:rsid w:val="27A740AD"/>
    <w:rsid w:val="27C4156C"/>
    <w:rsid w:val="28416414"/>
    <w:rsid w:val="284C4A2B"/>
    <w:rsid w:val="286701B3"/>
    <w:rsid w:val="28795BCE"/>
    <w:rsid w:val="28AF344A"/>
    <w:rsid w:val="28C73B35"/>
    <w:rsid w:val="28E40000"/>
    <w:rsid w:val="28F770C2"/>
    <w:rsid w:val="290B3B64"/>
    <w:rsid w:val="296E5E07"/>
    <w:rsid w:val="29736E91"/>
    <w:rsid w:val="2976039D"/>
    <w:rsid w:val="29855A2C"/>
    <w:rsid w:val="29E82E21"/>
    <w:rsid w:val="2A3C7759"/>
    <w:rsid w:val="2A4009AB"/>
    <w:rsid w:val="2A8E3CE0"/>
    <w:rsid w:val="2A9247D3"/>
    <w:rsid w:val="2AC35061"/>
    <w:rsid w:val="2ACF36BA"/>
    <w:rsid w:val="2B0C24B0"/>
    <w:rsid w:val="2B1813E1"/>
    <w:rsid w:val="2B432930"/>
    <w:rsid w:val="2B4F6B28"/>
    <w:rsid w:val="2B5A6EAF"/>
    <w:rsid w:val="2B6309BB"/>
    <w:rsid w:val="2BAC66B6"/>
    <w:rsid w:val="2BFE73BA"/>
    <w:rsid w:val="2C3A399C"/>
    <w:rsid w:val="2C3E5C25"/>
    <w:rsid w:val="2C6E5BF2"/>
    <w:rsid w:val="2C8708E0"/>
    <w:rsid w:val="2CB95915"/>
    <w:rsid w:val="2D0830EF"/>
    <w:rsid w:val="2E50690A"/>
    <w:rsid w:val="2E8C22F4"/>
    <w:rsid w:val="2EA84D9A"/>
    <w:rsid w:val="2EC7277C"/>
    <w:rsid w:val="2F024AAB"/>
    <w:rsid w:val="2F0C123B"/>
    <w:rsid w:val="2F7A5C03"/>
    <w:rsid w:val="2F9D5694"/>
    <w:rsid w:val="2FBA00DA"/>
    <w:rsid w:val="2FD56706"/>
    <w:rsid w:val="2FE36023"/>
    <w:rsid w:val="30133FEC"/>
    <w:rsid w:val="30152D72"/>
    <w:rsid w:val="30C27B93"/>
    <w:rsid w:val="30CB4551"/>
    <w:rsid w:val="314119C2"/>
    <w:rsid w:val="31607511"/>
    <w:rsid w:val="31B66C1B"/>
    <w:rsid w:val="31CD6840"/>
    <w:rsid w:val="3232786A"/>
    <w:rsid w:val="323971F4"/>
    <w:rsid w:val="32465F1E"/>
    <w:rsid w:val="3263094F"/>
    <w:rsid w:val="32D16607"/>
    <w:rsid w:val="32D8387B"/>
    <w:rsid w:val="3322306C"/>
    <w:rsid w:val="333B009C"/>
    <w:rsid w:val="334C7FB6"/>
    <w:rsid w:val="334F0F3B"/>
    <w:rsid w:val="33CB178D"/>
    <w:rsid w:val="34110EDD"/>
    <w:rsid w:val="34445DC5"/>
    <w:rsid w:val="346FF031"/>
    <w:rsid w:val="34710119"/>
    <w:rsid w:val="34E55713"/>
    <w:rsid w:val="350826E6"/>
    <w:rsid w:val="352B5C2D"/>
    <w:rsid w:val="357B604D"/>
    <w:rsid w:val="35B8262E"/>
    <w:rsid w:val="35F81894"/>
    <w:rsid w:val="36401CA3"/>
    <w:rsid w:val="36674D51"/>
    <w:rsid w:val="3679288A"/>
    <w:rsid w:val="36AD02CC"/>
    <w:rsid w:val="36C06BA0"/>
    <w:rsid w:val="36F371F8"/>
    <w:rsid w:val="37184056"/>
    <w:rsid w:val="375131E2"/>
    <w:rsid w:val="377863E3"/>
    <w:rsid w:val="383230CB"/>
    <w:rsid w:val="39034314"/>
    <w:rsid w:val="39681ABA"/>
    <w:rsid w:val="39AE629E"/>
    <w:rsid w:val="39F87651"/>
    <w:rsid w:val="3A6564D3"/>
    <w:rsid w:val="3A7022ED"/>
    <w:rsid w:val="3A846AC5"/>
    <w:rsid w:val="3AC559D0"/>
    <w:rsid w:val="3AD45894"/>
    <w:rsid w:val="3AF3669A"/>
    <w:rsid w:val="3AFE220E"/>
    <w:rsid w:val="3B414BC4"/>
    <w:rsid w:val="3B5A7CEC"/>
    <w:rsid w:val="3B783FC6"/>
    <w:rsid w:val="3B7E0B4E"/>
    <w:rsid w:val="3C103F97"/>
    <w:rsid w:val="3C312096"/>
    <w:rsid w:val="3CB622A4"/>
    <w:rsid w:val="3CF03605"/>
    <w:rsid w:val="3D081E51"/>
    <w:rsid w:val="3D446913"/>
    <w:rsid w:val="3DA84875"/>
    <w:rsid w:val="3E1528EA"/>
    <w:rsid w:val="3E217E77"/>
    <w:rsid w:val="3E3642DC"/>
    <w:rsid w:val="3E4F1453"/>
    <w:rsid w:val="3E4F41AD"/>
    <w:rsid w:val="3ECE5BD2"/>
    <w:rsid w:val="3F0542E9"/>
    <w:rsid w:val="404E4136"/>
    <w:rsid w:val="40AD342C"/>
    <w:rsid w:val="40E523F3"/>
    <w:rsid w:val="4127399B"/>
    <w:rsid w:val="41690A14"/>
    <w:rsid w:val="41781F5F"/>
    <w:rsid w:val="41956191"/>
    <w:rsid w:val="41D16A46"/>
    <w:rsid w:val="41D96185"/>
    <w:rsid w:val="41EB2520"/>
    <w:rsid w:val="42053829"/>
    <w:rsid w:val="423B3CC9"/>
    <w:rsid w:val="425F056A"/>
    <w:rsid w:val="42905431"/>
    <w:rsid w:val="4291797E"/>
    <w:rsid w:val="42F95214"/>
    <w:rsid w:val="42FA1B02"/>
    <w:rsid w:val="439F33B3"/>
    <w:rsid w:val="43B10D6E"/>
    <w:rsid w:val="43DD04D5"/>
    <w:rsid w:val="44011CE3"/>
    <w:rsid w:val="441C2057"/>
    <w:rsid w:val="44307631"/>
    <w:rsid w:val="4440411C"/>
    <w:rsid w:val="447265DE"/>
    <w:rsid w:val="44736C5A"/>
    <w:rsid w:val="44C064E3"/>
    <w:rsid w:val="45332EB4"/>
    <w:rsid w:val="4541443C"/>
    <w:rsid w:val="457B5A42"/>
    <w:rsid w:val="459C7A87"/>
    <w:rsid w:val="45B76A0F"/>
    <w:rsid w:val="46160AA8"/>
    <w:rsid w:val="463F2A4E"/>
    <w:rsid w:val="46482F4D"/>
    <w:rsid w:val="46721FA3"/>
    <w:rsid w:val="468C2E73"/>
    <w:rsid w:val="46CA0433"/>
    <w:rsid w:val="46F102F3"/>
    <w:rsid w:val="46FB3B6A"/>
    <w:rsid w:val="47084819"/>
    <w:rsid w:val="471D22E4"/>
    <w:rsid w:val="4726726D"/>
    <w:rsid w:val="47767966"/>
    <w:rsid w:val="47AA1CA0"/>
    <w:rsid w:val="47C14A44"/>
    <w:rsid w:val="48135B76"/>
    <w:rsid w:val="481E5F4A"/>
    <w:rsid w:val="482642B5"/>
    <w:rsid w:val="4839529D"/>
    <w:rsid w:val="48570EBF"/>
    <w:rsid w:val="48A529D8"/>
    <w:rsid w:val="48C4437D"/>
    <w:rsid w:val="48C60B7A"/>
    <w:rsid w:val="48E4506A"/>
    <w:rsid w:val="48EF7910"/>
    <w:rsid w:val="48F978DF"/>
    <w:rsid w:val="4928211D"/>
    <w:rsid w:val="49703648"/>
    <w:rsid w:val="49AF7C27"/>
    <w:rsid w:val="4A441B87"/>
    <w:rsid w:val="4A480D44"/>
    <w:rsid w:val="4AC524F2"/>
    <w:rsid w:val="4ACF4254"/>
    <w:rsid w:val="4AE14CE5"/>
    <w:rsid w:val="4B042090"/>
    <w:rsid w:val="4B043FA0"/>
    <w:rsid w:val="4BAB5019"/>
    <w:rsid w:val="4BCA4F5F"/>
    <w:rsid w:val="4C23259A"/>
    <w:rsid w:val="4C593F12"/>
    <w:rsid w:val="4CAE5E15"/>
    <w:rsid w:val="4CC824F6"/>
    <w:rsid w:val="4CFD16A7"/>
    <w:rsid w:val="4D272AD5"/>
    <w:rsid w:val="4D77007F"/>
    <w:rsid w:val="4D832CB1"/>
    <w:rsid w:val="4D9258D3"/>
    <w:rsid w:val="4DB84BCD"/>
    <w:rsid w:val="4DBB0C96"/>
    <w:rsid w:val="4DF250FF"/>
    <w:rsid w:val="4DFB61FC"/>
    <w:rsid w:val="4E0C3F18"/>
    <w:rsid w:val="4E1B7F57"/>
    <w:rsid w:val="4E1F1C33"/>
    <w:rsid w:val="4E491D67"/>
    <w:rsid w:val="4EC85950"/>
    <w:rsid w:val="4ED42EB5"/>
    <w:rsid w:val="4EEA3FAC"/>
    <w:rsid w:val="4EFA6732"/>
    <w:rsid w:val="4F877738"/>
    <w:rsid w:val="4F8777D4"/>
    <w:rsid w:val="4F9C1B2E"/>
    <w:rsid w:val="4FBE7D1A"/>
    <w:rsid w:val="4FC15F81"/>
    <w:rsid w:val="50071633"/>
    <w:rsid w:val="50117B58"/>
    <w:rsid w:val="501747C3"/>
    <w:rsid w:val="50681521"/>
    <w:rsid w:val="50A15361"/>
    <w:rsid w:val="50B96100"/>
    <w:rsid w:val="50CA5A85"/>
    <w:rsid w:val="50FD6CFC"/>
    <w:rsid w:val="51394A1C"/>
    <w:rsid w:val="514B6AE6"/>
    <w:rsid w:val="51532A7B"/>
    <w:rsid w:val="515B4604"/>
    <w:rsid w:val="51E94E6C"/>
    <w:rsid w:val="52174AA4"/>
    <w:rsid w:val="521F6213"/>
    <w:rsid w:val="52405274"/>
    <w:rsid w:val="52435C07"/>
    <w:rsid w:val="524E52C1"/>
    <w:rsid w:val="52917F04"/>
    <w:rsid w:val="52B95DF4"/>
    <w:rsid w:val="52D77515"/>
    <w:rsid w:val="52E65D2C"/>
    <w:rsid w:val="53B91620"/>
    <w:rsid w:val="53FA3C53"/>
    <w:rsid w:val="540734C4"/>
    <w:rsid w:val="54242899"/>
    <w:rsid w:val="547D217B"/>
    <w:rsid w:val="54954EE5"/>
    <w:rsid w:val="55112A5B"/>
    <w:rsid w:val="55262EAF"/>
    <w:rsid w:val="554C39C3"/>
    <w:rsid w:val="5588258A"/>
    <w:rsid w:val="559D515A"/>
    <w:rsid w:val="55A950E9"/>
    <w:rsid w:val="55B22FA5"/>
    <w:rsid w:val="55C93441"/>
    <w:rsid w:val="55CE74C9"/>
    <w:rsid w:val="55FD59A2"/>
    <w:rsid w:val="56241FDF"/>
    <w:rsid w:val="56F92C15"/>
    <w:rsid w:val="574D6610"/>
    <w:rsid w:val="576A00F7"/>
    <w:rsid w:val="578E4D29"/>
    <w:rsid w:val="57AB5671"/>
    <w:rsid w:val="5865747F"/>
    <w:rsid w:val="590C3E5F"/>
    <w:rsid w:val="592A648D"/>
    <w:rsid w:val="595F61C4"/>
    <w:rsid w:val="59DC009F"/>
    <w:rsid w:val="59F55223"/>
    <w:rsid w:val="59FD00B1"/>
    <w:rsid w:val="5A3F7C21"/>
    <w:rsid w:val="5A731FBA"/>
    <w:rsid w:val="5A802C08"/>
    <w:rsid w:val="5A9263A6"/>
    <w:rsid w:val="5AF118DE"/>
    <w:rsid w:val="5B1C4214"/>
    <w:rsid w:val="5B246653"/>
    <w:rsid w:val="5B6264D5"/>
    <w:rsid w:val="5BF77C75"/>
    <w:rsid w:val="5C427DE2"/>
    <w:rsid w:val="5C6462A1"/>
    <w:rsid w:val="5C6755B9"/>
    <w:rsid w:val="5CC35B6A"/>
    <w:rsid w:val="5D044498"/>
    <w:rsid w:val="5D1538E2"/>
    <w:rsid w:val="5D35488B"/>
    <w:rsid w:val="5D370296"/>
    <w:rsid w:val="5D49561A"/>
    <w:rsid w:val="5D6416C7"/>
    <w:rsid w:val="5DB76029"/>
    <w:rsid w:val="5DD75065"/>
    <w:rsid w:val="5DE91920"/>
    <w:rsid w:val="5DFA5DD6"/>
    <w:rsid w:val="5E590706"/>
    <w:rsid w:val="5E6F2E7E"/>
    <w:rsid w:val="5E9E40F8"/>
    <w:rsid w:val="5EE81843"/>
    <w:rsid w:val="5F181A45"/>
    <w:rsid w:val="5F1D26EE"/>
    <w:rsid w:val="5F3054BA"/>
    <w:rsid w:val="5F7A4635"/>
    <w:rsid w:val="5FA62EFB"/>
    <w:rsid w:val="5FC95D2E"/>
    <w:rsid w:val="5FCC6580"/>
    <w:rsid w:val="5FCE083C"/>
    <w:rsid w:val="6026348E"/>
    <w:rsid w:val="60336BFF"/>
    <w:rsid w:val="60750A64"/>
    <w:rsid w:val="607D3F08"/>
    <w:rsid w:val="60E34DCA"/>
    <w:rsid w:val="61091806"/>
    <w:rsid w:val="61395655"/>
    <w:rsid w:val="614800A8"/>
    <w:rsid w:val="617D727E"/>
    <w:rsid w:val="61965C29"/>
    <w:rsid w:val="61F81DBC"/>
    <w:rsid w:val="622D56C0"/>
    <w:rsid w:val="623F104F"/>
    <w:rsid w:val="62531A22"/>
    <w:rsid w:val="625B6138"/>
    <w:rsid w:val="62FA0AE3"/>
    <w:rsid w:val="630024DF"/>
    <w:rsid w:val="63053881"/>
    <w:rsid w:val="63526734"/>
    <w:rsid w:val="63691477"/>
    <w:rsid w:val="636B047A"/>
    <w:rsid w:val="6412054D"/>
    <w:rsid w:val="641E1DD0"/>
    <w:rsid w:val="644E7E8A"/>
    <w:rsid w:val="64524B07"/>
    <w:rsid w:val="64785961"/>
    <w:rsid w:val="649A523E"/>
    <w:rsid w:val="64D72230"/>
    <w:rsid w:val="65177928"/>
    <w:rsid w:val="651F365E"/>
    <w:rsid w:val="6535289F"/>
    <w:rsid w:val="65385EEE"/>
    <w:rsid w:val="654350FE"/>
    <w:rsid w:val="65BCE463"/>
    <w:rsid w:val="663414BA"/>
    <w:rsid w:val="6635554A"/>
    <w:rsid w:val="66EE2D8F"/>
    <w:rsid w:val="66F0460A"/>
    <w:rsid w:val="67427B4D"/>
    <w:rsid w:val="67A723F0"/>
    <w:rsid w:val="67BB4587"/>
    <w:rsid w:val="67E46C83"/>
    <w:rsid w:val="67F367B6"/>
    <w:rsid w:val="680A0702"/>
    <w:rsid w:val="680C398C"/>
    <w:rsid w:val="685E30C9"/>
    <w:rsid w:val="68BA215E"/>
    <w:rsid w:val="68C83A2C"/>
    <w:rsid w:val="68D67EF7"/>
    <w:rsid w:val="68E671BD"/>
    <w:rsid w:val="68FA3C61"/>
    <w:rsid w:val="68FF4E51"/>
    <w:rsid w:val="69087CDF"/>
    <w:rsid w:val="69625237"/>
    <w:rsid w:val="6987602F"/>
    <w:rsid w:val="69C87064"/>
    <w:rsid w:val="69EF09E4"/>
    <w:rsid w:val="6A067025"/>
    <w:rsid w:val="6A103BF7"/>
    <w:rsid w:val="6A1B532D"/>
    <w:rsid w:val="6A2C6A3C"/>
    <w:rsid w:val="6A3659AC"/>
    <w:rsid w:val="6A4C1F72"/>
    <w:rsid w:val="6A615F83"/>
    <w:rsid w:val="6A964D0A"/>
    <w:rsid w:val="6AE972CB"/>
    <w:rsid w:val="6AF64FFC"/>
    <w:rsid w:val="6B794260"/>
    <w:rsid w:val="6BCF1E69"/>
    <w:rsid w:val="6C105A58"/>
    <w:rsid w:val="6C1071B0"/>
    <w:rsid w:val="6C387207"/>
    <w:rsid w:val="6C6D5821"/>
    <w:rsid w:val="6C891416"/>
    <w:rsid w:val="6CA12DC9"/>
    <w:rsid w:val="6CA82754"/>
    <w:rsid w:val="6CA94952"/>
    <w:rsid w:val="6D123EF3"/>
    <w:rsid w:val="6D4B142B"/>
    <w:rsid w:val="6D6367C2"/>
    <w:rsid w:val="6D657CE5"/>
    <w:rsid w:val="6DDF7374"/>
    <w:rsid w:val="6DEF04EA"/>
    <w:rsid w:val="6E4E2A84"/>
    <w:rsid w:val="6E53498E"/>
    <w:rsid w:val="6E5434C2"/>
    <w:rsid w:val="6E7F3A9C"/>
    <w:rsid w:val="6EAE1586"/>
    <w:rsid w:val="6EED6AD6"/>
    <w:rsid w:val="6F0312AE"/>
    <w:rsid w:val="6F0F0944"/>
    <w:rsid w:val="6F3D238D"/>
    <w:rsid w:val="6F675F0C"/>
    <w:rsid w:val="6F72050D"/>
    <w:rsid w:val="6F77706F"/>
    <w:rsid w:val="6FFA5FC3"/>
    <w:rsid w:val="6FFFD9F3"/>
    <w:rsid w:val="701F03D6"/>
    <w:rsid w:val="702D5518"/>
    <w:rsid w:val="7077091E"/>
    <w:rsid w:val="7174582F"/>
    <w:rsid w:val="71876432"/>
    <w:rsid w:val="71B07C13"/>
    <w:rsid w:val="71D0235E"/>
    <w:rsid w:val="7232223C"/>
    <w:rsid w:val="72513F19"/>
    <w:rsid w:val="728108D4"/>
    <w:rsid w:val="728140E5"/>
    <w:rsid w:val="72EC0317"/>
    <w:rsid w:val="73040633"/>
    <w:rsid w:val="734325CB"/>
    <w:rsid w:val="736E40B9"/>
    <w:rsid w:val="73744264"/>
    <w:rsid w:val="739723D3"/>
    <w:rsid w:val="73A11BD4"/>
    <w:rsid w:val="73B43DC2"/>
    <w:rsid w:val="73BC69EE"/>
    <w:rsid w:val="73CD4C93"/>
    <w:rsid w:val="73DF8D35"/>
    <w:rsid w:val="73F26EC8"/>
    <w:rsid w:val="741E5659"/>
    <w:rsid w:val="74455ECD"/>
    <w:rsid w:val="745D6577"/>
    <w:rsid w:val="746F2827"/>
    <w:rsid w:val="74725ACE"/>
    <w:rsid w:val="74D76301"/>
    <w:rsid w:val="750B6C25"/>
    <w:rsid w:val="75225254"/>
    <w:rsid w:val="75342D58"/>
    <w:rsid w:val="753BD7A5"/>
    <w:rsid w:val="754A5696"/>
    <w:rsid w:val="757403BC"/>
    <w:rsid w:val="757B6C2F"/>
    <w:rsid w:val="758075D4"/>
    <w:rsid w:val="758B6D0D"/>
    <w:rsid w:val="75C238C0"/>
    <w:rsid w:val="762B7A6C"/>
    <w:rsid w:val="77326F9A"/>
    <w:rsid w:val="776481C4"/>
    <w:rsid w:val="77753BCB"/>
    <w:rsid w:val="77A97FD0"/>
    <w:rsid w:val="77AA4702"/>
    <w:rsid w:val="77AB11E2"/>
    <w:rsid w:val="77BD7404"/>
    <w:rsid w:val="786C3C3D"/>
    <w:rsid w:val="78844DA8"/>
    <w:rsid w:val="78AE558D"/>
    <w:rsid w:val="78E47EF1"/>
    <w:rsid w:val="78F74977"/>
    <w:rsid w:val="79076F20"/>
    <w:rsid w:val="791F5C0B"/>
    <w:rsid w:val="793A5AC9"/>
    <w:rsid w:val="793F07D0"/>
    <w:rsid w:val="79DB42ED"/>
    <w:rsid w:val="7A49752C"/>
    <w:rsid w:val="7A4F1436"/>
    <w:rsid w:val="7A586457"/>
    <w:rsid w:val="7A653DC0"/>
    <w:rsid w:val="7AEA12EF"/>
    <w:rsid w:val="7B841239"/>
    <w:rsid w:val="7BBD7178"/>
    <w:rsid w:val="7BE7EB1A"/>
    <w:rsid w:val="7C2F2F40"/>
    <w:rsid w:val="7C336FB7"/>
    <w:rsid w:val="7C3C2522"/>
    <w:rsid w:val="7C64560B"/>
    <w:rsid w:val="7C8810E0"/>
    <w:rsid w:val="7C9D205D"/>
    <w:rsid w:val="7C9E5802"/>
    <w:rsid w:val="7CA27ACC"/>
    <w:rsid w:val="7CE32661"/>
    <w:rsid w:val="7CE93D13"/>
    <w:rsid w:val="7CFA3D45"/>
    <w:rsid w:val="7D084492"/>
    <w:rsid w:val="7D2A15EE"/>
    <w:rsid w:val="7D2D0569"/>
    <w:rsid w:val="7D582BD0"/>
    <w:rsid w:val="7D6529D6"/>
    <w:rsid w:val="7D7C39D0"/>
    <w:rsid w:val="7D835644"/>
    <w:rsid w:val="7DA4082D"/>
    <w:rsid w:val="7DA625FD"/>
    <w:rsid w:val="7DD42090"/>
    <w:rsid w:val="7E101E61"/>
    <w:rsid w:val="7E256583"/>
    <w:rsid w:val="7E43F151"/>
    <w:rsid w:val="7E652982"/>
    <w:rsid w:val="7EB006E5"/>
    <w:rsid w:val="7EB5224C"/>
    <w:rsid w:val="7EC70F4C"/>
    <w:rsid w:val="7EFAED95"/>
    <w:rsid w:val="7F284EAC"/>
    <w:rsid w:val="7F373E42"/>
    <w:rsid w:val="7F8D6DCF"/>
    <w:rsid w:val="7FCB6347"/>
    <w:rsid w:val="7FD24CA5"/>
    <w:rsid w:val="7FDA5A69"/>
    <w:rsid w:val="937EFBD7"/>
    <w:rsid w:val="9EDFB7E5"/>
    <w:rsid w:val="A6FFF565"/>
    <w:rsid w:val="A7FBA4C5"/>
    <w:rsid w:val="AEEDEB3D"/>
    <w:rsid w:val="BFDF9106"/>
    <w:rsid w:val="BFFFD192"/>
    <w:rsid w:val="DE6FAA96"/>
    <w:rsid w:val="DF95CB95"/>
    <w:rsid w:val="E577880D"/>
    <w:rsid w:val="E87EA1A8"/>
    <w:rsid w:val="EB9FE7B9"/>
    <w:rsid w:val="EFADC511"/>
    <w:rsid w:val="F6FF9FC4"/>
    <w:rsid w:val="FA8685AF"/>
    <w:rsid w:val="FDD7DA00"/>
    <w:rsid w:val="FF55A0A0"/>
    <w:rsid w:val="FF5FF3B6"/>
    <w:rsid w:val="FFFBE4F2"/>
    <w:rsid w:val="FFFD0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1" w:firstLineChars="200"/>
      <w:jc w:val="left"/>
    </w:pPr>
    <w:rPr>
      <w:rFonts w:ascii="Calibri" w:hAnsi="Calibri" w:eastAsia="方正仿宋_GB2312"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eastAsia="方正公文小标宋"/>
      <w:kern w:val="44"/>
      <w:sz w:val="44"/>
    </w:rPr>
  </w:style>
  <w:style w:type="paragraph" w:styleId="3">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b/>
    </w:rPr>
  </w:style>
  <w:style w:type="paragraph" w:styleId="4">
    <w:name w:val="heading 3"/>
    <w:basedOn w:val="1"/>
    <w:next w:val="1"/>
    <w:link w:val="27"/>
    <w:unhideWhenUsed/>
    <w:qFormat/>
    <w:uiPriority w:val="0"/>
    <w:pPr>
      <w:keepNext/>
      <w:keepLines/>
      <w:spacing w:beforeLines="0" w:beforeAutospacing="0" w:afterLines="0" w:afterAutospacing="0" w:line="560" w:lineRule="exact"/>
      <w:outlineLvl w:val="2"/>
    </w:pPr>
    <w:rPr>
      <w:rFonts w:eastAsia="楷体"/>
      <w:b/>
    </w:rPr>
  </w:style>
  <w:style w:type="paragraph" w:styleId="5">
    <w:name w:val="heading 4"/>
    <w:basedOn w:val="1"/>
    <w:next w:val="1"/>
    <w:unhideWhenUsed/>
    <w:qFormat/>
    <w:uiPriority w:val="0"/>
    <w:pPr>
      <w:keepNext/>
      <w:keepLines/>
      <w:spacing w:beforeLines="0" w:beforeAutospacing="0" w:afterLines="0" w:afterAutospacing="0" w:line="560" w:lineRule="exact"/>
      <w:outlineLvl w:val="3"/>
    </w:pPr>
    <w:rPr>
      <w:rFonts w:ascii="Arial" w:hAnsi="Arial"/>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7">
    <w:name w:val="index 8"/>
    <w:basedOn w:val="1"/>
    <w:next w:val="1"/>
    <w:qFormat/>
    <w:uiPriority w:val="0"/>
    <w:pPr>
      <w:ind w:left="2940"/>
    </w:pPr>
    <w:rPr>
      <w:rFonts w:ascii="Times New Roman" w:hAnsi="Times New Roman"/>
    </w:rPr>
  </w:style>
  <w:style w:type="paragraph" w:styleId="8">
    <w:name w:val="index 5"/>
    <w:basedOn w:val="1"/>
    <w:next w:val="1"/>
    <w:qFormat/>
    <w:uiPriority w:val="2"/>
    <w:pPr>
      <w:widowControl w:val="0"/>
      <w:ind w:left="1680"/>
      <w:jc w:val="both"/>
    </w:pPr>
    <w:rPr>
      <w:rFonts w:ascii="Calibri" w:hAnsi="Calibri" w:eastAsia="宋体" w:cs="Times New Roman"/>
      <w:kern w:val="2"/>
      <w:sz w:val="21"/>
      <w:szCs w:val="24"/>
      <w:lang w:val="en-US" w:eastAsia="zh-CN" w:bidi="ar-SA"/>
    </w:rPr>
  </w:style>
  <w:style w:type="paragraph" w:styleId="9">
    <w:name w:val="annotation text"/>
    <w:basedOn w:val="1"/>
    <w:qFormat/>
    <w:uiPriority w:val="0"/>
    <w:pPr>
      <w:jc w:val="left"/>
    </w:pPr>
  </w:style>
  <w:style w:type="paragraph" w:styleId="10">
    <w:name w:val="Body Text"/>
    <w:basedOn w:val="1"/>
    <w:next w:val="11"/>
    <w:unhideWhenUsed/>
    <w:qFormat/>
    <w:uiPriority w:val="99"/>
  </w:style>
  <w:style w:type="paragraph" w:customStyle="1" w:styleId="11">
    <w:name w:val="_Style 3"/>
    <w:next w:val="1"/>
    <w:autoRedefine/>
    <w:qFormat/>
    <w:uiPriority w:val="0"/>
    <w:pPr>
      <w:wordWrap w:val="0"/>
    </w:pPr>
    <w:rPr>
      <w:rFonts w:ascii="Times New Roman" w:hAnsi="Times New Roman" w:eastAsia="宋体" w:cs="Times New Roman"/>
      <w:sz w:val="32"/>
      <w:szCs w:val="22"/>
      <w:lang w:val="en-US" w:eastAsia="zh-CN" w:bidi="ar-SA"/>
    </w:rPr>
  </w:style>
  <w:style w:type="paragraph" w:styleId="12">
    <w:name w:val="Body Text Indent"/>
    <w:basedOn w:val="1"/>
    <w:next w:val="1"/>
    <w:qFormat/>
    <w:uiPriority w:val="0"/>
    <w:pPr>
      <w:spacing w:after="120"/>
      <w:ind w:left="420" w:leftChars="200"/>
    </w:pPr>
  </w:style>
  <w:style w:type="paragraph" w:styleId="13">
    <w:name w:val="Plain Text"/>
    <w:basedOn w:val="1"/>
    <w:next w:val="7"/>
    <w:qFormat/>
    <w:uiPriority w:val="0"/>
    <w:pPr>
      <w:spacing w:before="120" w:after="120" w:line="560" w:lineRule="exact"/>
      <w:ind w:firstLine="964" w:firstLineChars="200"/>
    </w:pPr>
    <w:rPr>
      <w:rFonts w:ascii="宋体" w:hAnsi="宋体" w:eastAsia="仿宋_GB2312"/>
      <w:sz w:val="32"/>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9">
    <w:name w:val="Body Text First Indent 2"/>
    <w:basedOn w:val="12"/>
    <w:next w:val="13"/>
    <w:qFormat/>
    <w:uiPriority w:val="0"/>
    <w:pPr>
      <w:spacing w:before="100" w:beforeAutospacing="1"/>
      <w:ind w:left="0"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character" w:customStyle="1" w:styleId="24">
    <w:name w:val="font21"/>
    <w:basedOn w:val="22"/>
    <w:qFormat/>
    <w:uiPriority w:val="0"/>
    <w:rPr>
      <w:rFonts w:hint="default" w:ascii="Times New Roman" w:hAnsi="Times New Roman" w:cs="Times New Roman"/>
      <w:color w:val="000000"/>
      <w:sz w:val="20"/>
      <w:szCs w:val="20"/>
      <w:u w:val="none"/>
    </w:rPr>
  </w:style>
  <w:style w:type="character" w:customStyle="1" w:styleId="25">
    <w:name w:val="font41"/>
    <w:basedOn w:val="22"/>
    <w:qFormat/>
    <w:uiPriority w:val="0"/>
    <w:rPr>
      <w:rFonts w:hint="eastAsia" w:ascii="方正仿宋_GBK" w:hAnsi="方正仿宋_GBK" w:eastAsia="方正仿宋_GBK" w:cs="方正仿宋_GBK"/>
      <w:color w:val="000000"/>
      <w:sz w:val="20"/>
      <w:szCs w:val="20"/>
      <w:u w:val="none"/>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character" w:customStyle="1" w:styleId="27">
    <w:name w:val="标题 3 Char"/>
    <w:link w:val="4"/>
    <w:qFormat/>
    <w:uiPriority w:val="0"/>
    <w:rPr>
      <w:rFonts w:eastAsia="楷体"/>
      <w:b/>
    </w:rPr>
  </w:style>
  <w:style w:type="character" w:customStyle="1" w:styleId="28">
    <w:name w:val="NormalCharacter"/>
    <w:semiHidden/>
    <w:qFormat/>
    <w:uiPriority w:val="0"/>
    <w:rPr>
      <w:rFonts w:ascii="Calibri" w:hAnsi="Calibri" w:eastAsia="宋体" w:cs="Times New Roman"/>
      <w:kern w:val="2"/>
      <w:sz w:val="21"/>
      <w:szCs w:val="22"/>
      <w:lang w:val="en-US" w:eastAsia="zh-CN" w:bidi="ar-SA"/>
    </w:rPr>
  </w:style>
  <w:style w:type="paragraph" w:customStyle="1" w:styleId="29">
    <w:name w:val="msonormalcxspmiddle"/>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8332</Words>
  <Characters>8741</Characters>
  <Lines>0</Lines>
  <Paragraphs>0</Paragraphs>
  <TotalTime>1</TotalTime>
  <ScaleCrop>false</ScaleCrop>
  <LinksUpToDate>false</LinksUpToDate>
  <CharactersWithSpaces>8753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2026-02-05T14:52:00Z</dcterms:created>
  <dc:creator>胡鑫林</dc:creator>
  <cp:lastModifiedBy>Administrator</cp:lastModifiedBy>
  <cp:lastPrinted>2026-07-06T11:25:00Z</cp:lastPrinted>
  <dcterms:modified xsi:type="dcterms:W3CDTF">2026-07-06T11:39:37Z</dcterms:modified>
  <dc:title>乌鲁木齐市人力资源和社会保障事业</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A48506AE0F4A4FC9B6414368D4E2E5E1_13</vt:lpwstr>
  </property>
  <property fmtid="{D5CDD505-2E9C-101B-9397-08002B2CF9AE}" pid="4" name="KSOTemplateDocerSaveRecord">
    <vt:lpwstr>eyJoZGlkIjoiNzY1MWUxYTJjMjRjZWI0ODRlZjU0NmVmYjE1OWE3MGEiLCJ1c2VySWQiOiI0MjU1MDMxNzcifQ==</vt:lpwstr>
  </property>
</Properties>
</file>