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30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《乌鲁木齐市“红山科技创新券”管理办法》起草说明</w:t>
      </w:r>
    </w:p>
    <w:p w14:paraId="637C1A7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充分发挥科技创新券政策引导作用，进一步优化财政资助方式，推动科技资源开放共享，激发中小企业创新活力，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促进科技服务业高质量发展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我单位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结合我市实际，制定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《</w:t>
      </w:r>
      <w:r>
        <w:rPr>
          <w:rFonts w:hint="eastAsia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乌鲁木齐市“红山科技创新券”管理办法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》（以下简称《管理办法》），现将</w:t>
      </w:r>
      <w:r>
        <w:rPr>
          <w:rFonts w:hint="eastAsia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起草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情况说明如下：</w:t>
      </w:r>
    </w:p>
    <w:p w14:paraId="70E311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 xml:space="preserve">    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制定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背景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shd w:val="clear" w:color="auto" w:fill="FFFFFF"/>
        </w:rPr>
        <w:t>和重要意义</w:t>
      </w:r>
    </w:p>
    <w:p w14:paraId="7FBBC69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shd w:val="clear" w:color="auto" w:fill="FFFFFF"/>
        </w:rPr>
        <w:t>（一）制定背景</w:t>
      </w:r>
    </w:p>
    <w:p w14:paraId="1B53B4D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充分发挥科技创新券政策引导作用，进一步优化财政资助方式，推动科技资源开放共享，激发中小企业创新活力，促进科技服务业高质量发展，营造良好创新创业生态，根据乌鲁木齐市《关于加快推进高水平科技强市建设三年行动方案（2026—2028年）》（乌党办发〔2026〕4号），结合我市实际，制定了本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管理办法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</w:p>
    <w:p w14:paraId="02A18C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方正楷体_GBK" w:cs="Times New Roman"/>
          <w:sz w:val="3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highlight w:val="none"/>
          <w:shd w:val="clear" w:color="auto" w:fill="FFFFFF"/>
        </w:rPr>
        <w:t>（二）制定文件的必要性</w:t>
      </w:r>
    </w:p>
    <w:p w14:paraId="173CA8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一是党的二十大对坚持创新驱动发展、全面塑造发展新优势作出重要部署。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中共中央关于制定国民经济和社会发展第十五个五年规划的建议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》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中指出：“促进服务业优质高效发展。实施服务业扩能提质行动，扩大服务业开放，深化监管改革，完善支持政策体系，扩大优质经营主体，分领域推进生产性服务业向专业化和价值链高端延伸，促进生活性服务业高品质、多样化、便利化发展。提高现代服务业与先进制造业、现代农业融合发展水平，推进服务业数智化。加强服务标准和质量品牌建设。健全服务业统计监测体系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 w14:paraId="7E6C0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二是工业和信息化部等九部门印发《关于加快推进科技服务业高质量发展的实施意见》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、《科技服务业标准体系建设指南（2025版）》（工信部联科〔2026〕15号）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文件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以创新驱动、市场导向、融合发展、系统推进、质量为先为原则，壮大服务主体，优化发展生态，提升服务能力，实现规模增长和质效提升，加快科技成果转化和产业化，有力支撑科技创新和产业创新融合发展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。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文件指出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：“要推动科技服务业全面发展，围绕研究开发、技术转移转化、企业孵化、技术推广、检验检测认证、信息技术、工程技术、科技金融、知识产权、科技咨询及其他科技服务等重点领域进行全面部署，明确发展任务。要加快转型升级，强化科技服务创新，深化新一代信息技术融合应用，推广应用先进绿色技术，促进与三次产业深度融合，推动科技服务业高端化、智能化、绿色化、融合化发展”。</w:t>
      </w:r>
    </w:p>
    <w:p w14:paraId="4985233F">
      <w:pPr>
        <w:pStyle w:val="2"/>
        <w:ind w:firstLine="640" w:firstLineChars="200"/>
        <w:rPr>
          <w:rFonts w:hint="default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是工业和信息化部等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五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部门印发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《科技服务业标准体系建设指南（2025版）》（工信部联科〔2026〕15号）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文件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指出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：“科技服务业是运用现代科学知识和技术手段，围绕科技创新全链条发展、科技成果高效率转化，向社会提供智力服务的新兴产业，是现代服务业的重要组成部分，主要包括研究开发服务、技术转移转化服务、企业孵化服务、技术推广服务、检验检测认证服务、信息技术服务、工程技术服务、科技金融服务、知识产权服务、科技咨询及其他科技服务等。近年来，我国科技服务业发展迅速，新型服务主体不断涌现，服务业态不断丰富，新技术、新模式、新业态层出不穷，科技服务业已逐渐成为全球技术竞争的重要抓手。随着技术创新、模式创新、产业创新和服务创新加速融合，亟需加强标准体系建设，规范和引领科技服务业高质量发展”。</w:t>
      </w:r>
    </w:p>
    <w:p w14:paraId="796B8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自治区高度重视实施科技创新驱动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发展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战略，加快从要素驱动向创新驱动转变，增强发展内生动力和可持续发展能力。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《新疆维吾尔自治区国民经济和社会发展第十五个五年规划纲要》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中指出：“实施服务业扩能提质行动，完善支持政策体系，培育优质经营主体，扩大服务业开放，推进“新品工程”，健全区域公共品牌服务业标准体系，增强全产业链竞争优势。”。</w:t>
      </w:r>
    </w:p>
    <w:p w14:paraId="2D28C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Times New Roman" w:eastAsia="方正黑体_GBK" w:cs="Times New Roman"/>
          <w:color w:val="0000FF"/>
          <w:sz w:val="32"/>
          <w:szCs w:val="22"/>
        </w:rPr>
      </w:pP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五是</w:t>
      </w:r>
      <w:r>
        <w:rPr>
          <w:rFonts w:hint="eastAsia" w:ascii="Times New Roman" w:hAnsi="Times New Roman" w:eastAsia="方正仿宋_GBK" w:cs="Times New Roman"/>
          <w:sz w:val="32"/>
          <w:szCs w:val="22"/>
          <w:lang w:val="en-US" w:eastAsia="zh-CN"/>
        </w:rPr>
        <w:t>坚持创新驱动发展，围绕产业链培育创新链，促进科技创新资源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集聚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22"/>
          <w:lang w:val="en-US" w:eastAsia="zh-CN"/>
        </w:rPr>
        <w:t>，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促进科技服务业发展，</w:t>
      </w:r>
      <w:r>
        <w:rPr>
          <w:rFonts w:hint="eastAsia" w:ascii="Times New Roman" w:hAnsi="Times New Roman" w:eastAsia="方正仿宋_GBK" w:cs="Times New Roman"/>
          <w:sz w:val="32"/>
          <w:szCs w:val="22"/>
          <w:lang w:val="en-US" w:eastAsia="zh-CN"/>
        </w:rPr>
        <w:t>加快科技成果转移转化，不断提高经济发展核心竞争力，是确保我市“十</w:t>
      </w:r>
      <w:r>
        <w:rPr>
          <w:rFonts w:hint="eastAsia" w:eastAsia="方正仿宋_GBK" w:cs="Times New Roman"/>
          <w:sz w:val="32"/>
          <w:szCs w:val="2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22"/>
          <w:lang w:val="en-US" w:eastAsia="zh-CN"/>
        </w:rPr>
        <w:t>五”规划目标实现和落实乌鲁木齐市委十二届十五次全会精神、政府工作报告精神的重要举措。目前已制定的《乌鲁木齐市“红山科技创新券”实施管理办法》（乌科规〔2023〕2号）文件已经废止，迫切需要继续加强相关工作部署，出台创新券实施支持政策，规范管理制度，促进高质量发展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highlight w:val="yellow"/>
          <w:shd w:val="clear" w:color="auto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 xml:space="preserve">     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</w:rPr>
        <w:t>二、</w:t>
      </w:r>
      <w:r>
        <w:rPr>
          <w:rFonts w:hint="eastAsia" w:ascii="方正黑体_GBK" w:eastAsia="方正黑体_GBK" w:cs="Times New Roman"/>
          <w:color w:val="auto"/>
          <w:sz w:val="32"/>
          <w:szCs w:val="22"/>
          <w:lang w:val="en-US" w:eastAsia="zh-CN"/>
        </w:rPr>
        <w:t>制定</w:t>
      </w:r>
      <w:r>
        <w:rPr>
          <w:rFonts w:ascii="方正黑体_GBK" w:hAnsi="Times New Roman" w:eastAsia="方正黑体_GBK" w:cs="Times New Roman"/>
          <w:color w:val="auto"/>
          <w:sz w:val="32"/>
          <w:szCs w:val="22"/>
        </w:rPr>
        <w:t>依据</w:t>
      </w:r>
    </w:p>
    <w:p w14:paraId="2A1BDC7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依据国家、自治区、市委、市政府相关政策要求，制定了《</w:t>
      </w:r>
      <w:r>
        <w:rPr>
          <w:rFonts w:hint="eastAsia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乌鲁木齐市“红山科技创新券”管理办法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》，相关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制定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依据主要有：</w:t>
      </w:r>
    </w:p>
    <w:p w14:paraId="34B831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国家实施创新驱动发展战略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eastAsia="zh-CN"/>
        </w:rPr>
        <w:t>，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  <w:t>推进科技服务业高质量发展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相关政策要求</w:t>
      </w:r>
    </w:p>
    <w:p w14:paraId="6AEC30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 xml:space="preserve"> 《中共中央关于制定国民经济和社会发展第十五个五年规划的建议》文件精神：“促进服务业优质高效发展。实施服务业扩能提质行动，扩大服务业开放，深化监管改革，完善支持政策体系，扩大优质经营主体，分领域推进生产性服务业向专业化和价值链高端延伸，促进生活性服务业高品质、多样化、便利化发展”。</w:t>
      </w:r>
    </w:p>
    <w:p w14:paraId="1C942D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yellow"/>
          <w:shd w:val="clear" w:color="auto" w:fill="FFFFFF"/>
          <w:lang w:bidi="ar"/>
        </w:rPr>
      </w:pP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工业和信息化部等九部门印发《关于加快推进科技服务业高质量发展的实施意见》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文件精神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要推动科技服务业全面发展，围绕研究开发、技术转移转化、企业孵化、技术推广、检验检测认证、信息技术、工程技术、科技金融、知识产权、科技咨询及其他科技服务等重点领域进行全面部署，明确发展任务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”。</w:t>
      </w:r>
    </w:p>
    <w:p w14:paraId="226CFB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default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default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自治区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实施创新驱动发展战略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eastAsia="zh-CN"/>
        </w:rPr>
        <w:t>，</w:t>
      </w: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  <w:t>推进科技服务业高质量发展</w:t>
      </w:r>
      <w:r>
        <w:rPr>
          <w:rFonts w:hint="default" w:ascii="方正楷体_GBK" w:hAnsi="方正楷体_GBK" w:eastAsia="方正楷体_GBK" w:cs="方正楷体_GBK"/>
          <w:color w:val="000000"/>
          <w:sz w:val="32"/>
          <w:szCs w:val="32"/>
          <w:highlight w:val="none"/>
          <w:lang w:eastAsia="zh-CN"/>
        </w:rPr>
        <w:t>相关政策要求</w:t>
      </w:r>
    </w:p>
    <w:p w14:paraId="24B5D4F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《新疆维吾尔自治区国民经济和社会发展第十五个五年规划纲要》文件精神：“实施服务业扩能提质行动，完善支持政策体系，培育优质经营主体，扩大服务业开放，推进“新品工程”，健全区域公共品牌服务业标准体系，增强全产业链竞争优势。”。</w:t>
      </w:r>
    </w:p>
    <w:p w14:paraId="1A7E17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default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贯彻落实市委、市政府相关工作部署</w:t>
      </w:r>
    </w:p>
    <w:p w14:paraId="134689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乌鲁木齐市《关于加快推进高水平科技强市建设三年行动方案（2026—2028年）》（乌党办发〔2026〕4号）提出：“‘红山科技创新券’政策。支持科技中小微企业向高校院所、服务机构购买研发设计、检验检测等服务，继续予以政策支持。支持高校、院所、高能级平台科技成果‘先用后转’，鼓励金融机构开发保险产品，‘红山创新券’扩大范围对投保费兑付”。</w:t>
      </w:r>
    </w:p>
    <w:p w14:paraId="2D499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</w:rPr>
      </w:pPr>
      <w:r>
        <w:rPr>
          <w:rFonts w:hint="eastAsia" w:ascii="方正黑体_GBK" w:hAnsi="Times New Roman" w:eastAsia="方正黑体_GBK" w:cs="Times New Roman"/>
          <w:color w:val="000000"/>
          <w:sz w:val="32"/>
          <w:szCs w:val="22"/>
          <w:highlight w:val="none"/>
        </w:rPr>
        <w:t>三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</w:rPr>
        <w:t>、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  <w:lang w:val="en-US" w:eastAsia="zh-CN"/>
        </w:rPr>
        <w:t>制定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</w:rPr>
        <w:t>思路和过程</w:t>
      </w:r>
    </w:p>
    <w:p w14:paraId="334849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shd w:val="clear" w:color="auto" w:fill="FFFFFF"/>
          <w:lang w:bidi="ar"/>
        </w:rPr>
        <w:t>（一）</w:t>
      </w: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制定</w:t>
      </w: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shd w:val="clear" w:color="auto" w:fill="FFFFFF"/>
          <w:lang w:bidi="ar"/>
        </w:rPr>
        <w:t>情况说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shd w:val="clear" w:color="auto" w:fill="FFFFFF"/>
          <w:lang w:bidi="ar"/>
        </w:rPr>
        <w:t>明。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市科技局在前期调研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和两次实施工作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的基础上，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对标市委、市政府相关工作的部署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要求，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参考了</w:t>
      </w:r>
      <w:r>
        <w:rPr>
          <w:rFonts w:hint="eastAsia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福建省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上海市、山东省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等地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已出台的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科技创新券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管理办法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结合我市实际，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修订完善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《</w:t>
      </w:r>
      <w:r>
        <w:rPr>
          <w:rFonts w:hint="eastAsia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乌鲁木齐市“红山科技创新券”管理办法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。该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办法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贯彻上级要求，以抓落实为主，主动服务全市发展战略，坚持系统谋划，使各项工作有具体抓手、明确目标和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操作流程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，力求务实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可操作性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。</w:t>
      </w:r>
    </w:p>
    <w:p w14:paraId="3EFFD7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（二）征求意见情况。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该《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管理办法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共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征求了乌鲁木齐市各区（县）、相关部门15家单位意见建议，共收到9家单位反馈4条意见，6家单位未反馈，视为无意见；征求6家代表性企业意见建议，2家企业提出4条意见建议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并通过市科技局网站公开向社会各界征求意见，期间未收到反馈意见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eastAsia="zh-CN"/>
        </w:rPr>
        <w:t>组织</w:t>
      </w:r>
      <w:r>
        <w:rPr>
          <w:rFonts w:hint="eastAsia" w:eastAsia="方正仿宋_GBK" w:cs="Times New Roman"/>
          <w:color w:val="auto"/>
          <w:sz w:val="32"/>
          <w:szCs w:val="2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名专家开展函评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专家共提出</w:t>
      </w:r>
      <w:r>
        <w:rPr>
          <w:rFonts w:hint="eastAsia" w:eastAsia="方正仿宋_GBK" w:cs="Times New Roman"/>
          <w:color w:val="auto"/>
          <w:sz w:val="32"/>
          <w:szCs w:val="22"/>
          <w:highlight w:val="none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条意见建议。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在逐条研究、充分吸纳的基础上吸纳了</w:t>
      </w:r>
      <w:r>
        <w:rPr>
          <w:rFonts w:hint="eastAsia" w:eastAsia="方正仿宋_GBK" w:cs="Times New Roman"/>
          <w:color w:val="auto"/>
          <w:sz w:val="32"/>
          <w:szCs w:val="2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条意见建议，进行修改完善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 w14:paraId="00C70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</w:pPr>
      <w:r>
        <w:rPr>
          <w:rFonts w:hint="eastAsia" w:ascii="方正楷体_GBK" w:hAnsi="Times New Roman" w:eastAsia="方正楷体_GBK" w:cs="Times New Roman"/>
          <w:color w:val="auto"/>
          <w:sz w:val="32"/>
          <w:szCs w:val="22"/>
          <w:highlight w:val="none"/>
        </w:rPr>
        <w:t>（三</w:t>
      </w:r>
      <w:r>
        <w:rPr>
          <w:rFonts w:ascii="方正楷体_GBK" w:hAnsi="Times New Roman" w:eastAsia="方正楷体_GBK" w:cs="Times New Roman"/>
          <w:color w:val="auto"/>
          <w:sz w:val="32"/>
          <w:szCs w:val="22"/>
          <w:highlight w:val="none"/>
        </w:rPr>
        <w:t>）</w:t>
      </w:r>
      <w:r>
        <w:rPr>
          <w:rFonts w:hint="eastAsia" w:ascii="方正楷体_GBK" w:hAnsi="Times New Roman" w:eastAsia="方正楷体_GBK" w:cs="Times New Roman"/>
          <w:color w:val="auto"/>
          <w:sz w:val="32"/>
          <w:szCs w:val="22"/>
          <w:highlight w:val="none"/>
        </w:rPr>
        <w:t>公平竞争</w:t>
      </w:r>
      <w:r>
        <w:rPr>
          <w:rFonts w:ascii="方正楷体_GBK" w:hAnsi="Times New Roman" w:eastAsia="方正楷体_GBK" w:cs="Times New Roman"/>
          <w:color w:val="auto"/>
          <w:sz w:val="32"/>
          <w:szCs w:val="22"/>
          <w:highlight w:val="none"/>
        </w:rPr>
        <w:t>审查</w:t>
      </w:r>
      <w:r>
        <w:rPr>
          <w:rFonts w:hint="eastAsia" w:ascii="方正楷体_GBK" w:hAnsi="Times New Roman" w:eastAsia="方正楷体_GBK" w:cs="Times New Roman"/>
          <w:color w:val="auto"/>
          <w:sz w:val="32"/>
          <w:szCs w:val="22"/>
          <w:highlight w:val="none"/>
        </w:rPr>
        <w:t>情况。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管理办法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》已于</w:t>
      </w:r>
      <w:r>
        <w:rPr>
          <w:rFonts w:hint="eastAsia" w:eastAsia="方正仿宋_GBK" w:cs="Times New Roman"/>
          <w:color w:val="auto"/>
          <w:sz w:val="32"/>
          <w:szCs w:val="22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年</w:t>
      </w:r>
      <w:r>
        <w:rPr>
          <w:rFonts w:hint="eastAsia" w:eastAsia="方正仿宋_GBK" w:cs="Times New Roman"/>
          <w:color w:val="auto"/>
          <w:sz w:val="32"/>
          <w:szCs w:val="2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月通过市科技局资管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  <w:lang w:val="en-US" w:eastAsia="zh-CN"/>
        </w:rPr>
        <w:t>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的</w:t>
      </w:r>
      <w:r>
        <w:rPr>
          <w:rFonts w:hint="eastAsia" w:eastAsia="方正仿宋_GBK" w:cs="Times New Roman"/>
          <w:color w:val="auto"/>
          <w:sz w:val="32"/>
          <w:szCs w:val="22"/>
          <w:highlight w:val="none"/>
          <w:lang w:val="en-US" w:eastAsia="zh-CN"/>
        </w:rPr>
        <w:t>公平竞争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  <w:highlight w:val="none"/>
        </w:rPr>
        <w:t>审查，提出审查意见和建议均已采纳。</w:t>
      </w:r>
    </w:p>
    <w:p w14:paraId="21D9AD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22"/>
          <w:highlight w:val="none"/>
        </w:rPr>
      </w:pPr>
      <w:r>
        <w:rPr>
          <w:rFonts w:hint="eastAsia" w:ascii="方正楷体_GBK" w:hAnsi="Times New Roman" w:eastAsia="方正楷体_GBK" w:cs="Times New Roman"/>
          <w:strike w:val="0"/>
          <w:dstrike w:val="0"/>
          <w:color w:val="auto"/>
          <w:sz w:val="32"/>
          <w:szCs w:val="22"/>
          <w:highlight w:val="none"/>
        </w:rPr>
        <w:t>（</w:t>
      </w:r>
      <w:r>
        <w:rPr>
          <w:rFonts w:ascii="方正楷体_GBK" w:hAnsi="Times New Roman" w:eastAsia="方正楷体_GBK" w:cs="Times New Roman"/>
          <w:strike w:val="0"/>
          <w:dstrike w:val="0"/>
          <w:color w:val="auto"/>
          <w:sz w:val="32"/>
          <w:szCs w:val="22"/>
          <w:highlight w:val="none"/>
        </w:rPr>
        <w:t>四）</w:t>
      </w:r>
      <w:r>
        <w:rPr>
          <w:rFonts w:hint="eastAsia" w:ascii="方正楷体_GBK" w:hAnsi="Times New Roman" w:eastAsia="方正楷体_GBK" w:cs="Times New Roman"/>
          <w:strike w:val="0"/>
          <w:dstrike w:val="0"/>
          <w:color w:val="auto"/>
          <w:sz w:val="32"/>
          <w:szCs w:val="22"/>
          <w:highlight w:val="none"/>
        </w:rPr>
        <w:t>合法性审查情况。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22"/>
          <w:highlight w:val="none"/>
        </w:rPr>
        <w:t>《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管理办法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22"/>
          <w:highlight w:val="none"/>
        </w:rPr>
        <w:t>》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已于202</w:t>
      </w:r>
      <w:r>
        <w:rPr>
          <w:rFonts w:hint="eastAsia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</w:t>
      </w:r>
      <w:r>
        <w:rPr>
          <w:rFonts w:hint="eastAsia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4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月通过市科技局资管科的合法性审</w:t>
      </w:r>
      <w:r>
        <w:rPr>
          <w:rFonts w:hint="eastAsia" w:eastAsia="方正仿宋_GBK" w:cs="Times New Roman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查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22"/>
          <w:highlight w:val="none"/>
        </w:rPr>
        <w:t>。</w:t>
      </w:r>
    </w:p>
    <w:p w14:paraId="5CFD4C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eastAsia="方正仿宋_GBK"/>
          <w:strike w:val="0"/>
          <w:color w:val="FF0000"/>
          <w:highlight w:val="none"/>
          <w:lang w:val="en-US" w:eastAsia="zh-CN"/>
        </w:rPr>
      </w:pPr>
      <w:r>
        <w:rPr>
          <w:rFonts w:hint="eastAsia" w:ascii="方正楷体_GBK" w:hAnsi="Times New Roman" w:eastAsia="方正楷体_GBK" w:cs="Times New Roman"/>
          <w:strike w:val="0"/>
          <w:dstrike w:val="0"/>
          <w:color w:val="auto"/>
          <w:kern w:val="2"/>
          <w:sz w:val="32"/>
          <w:szCs w:val="22"/>
          <w:highlight w:val="none"/>
          <w:lang w:val="en-US" w:eastAsia="zh-CN" w:bidi="ar-SA"/>
        </w:rPr>
        <w:t>（五）会议研究情况。《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管理办法</w:t>
      </w:r>
      <w:r>
        <w:rPr>
          <w:rFonts w:hint="eastAsia" w:ascii="方正楷体_GBK" w:hAnsi="Times New Roman" w:eastAsia="方正楷体_GBK" w:cs="Times New Roman"/>
          <w:strike w:val="0"/>
          <w:dstrike w:val="0"/>
          <w:color w:val="auto"/>
          <w:kern w:val="2"/>
          <w:sz w:val="32"/>
          <w:szCs w:val="22"/>
          <w:highlight w:val="none"/>
          <w:lang w:val="en-US" w:eastAsia="zh-CN" w:bidi="ar-SA"/>
        </w:rPr>
        <w:t>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已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经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</w:t>
      </w:r>
      <w:r>
        <w:rPr>
          <w:rFonts w:eastAsia="方正仿宋_GBK"/>
          <w:color w:val="auto"/>
          <w:sz w:val="32"/>
          <w:szCs w:val="32"/>
          <w:highlight w:val="none"/>
        </w:rPr>
        <w:t>02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年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月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29</w:t>
      </w:r>
      <w:r>
        <w:rPr>
          <w:rFonts w:eastAsia="方正仿宋_GBK"/>
          <w:color w:val="auto"/>
          <w:sz w:val="32"/>
          <w:szCs w:val="32"/>
          <w:highlight w:val="none"/>
        </w:rPr>
        <w:t>日第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  <w:highlight w:val="none"/>
        </w:rPr>
        <w:t>次市科技局</w:t>
      </w:r>
      <w:r>
        <w:rPr>
          <w:rFonts w:eastAsia="方正仿宋_GBK"/>
          <w:color w:val="000000"/>
          <w:sz w:val="32"/>
          <w:szCs w:val="32"/>
          <w:highlight w:val="none"/>
        </w:rPr>
        <w:t>党组会议研究通过</w:t>
      </w:r>
      <w:r>
        <w:rPr>
          <w:rFonts w:hint="eastAsia" w:eastAsia="方正仿宋_GBK"/>
          <w:color w:val="000000"/>
          <w:sz w:val="32"/>
          <w:szCs w:val="32"/>
          <w:highlight w:val="none"/>
        </w:rPr>
        <w:t>。</w:t>
      </w:r>
    </w:p>
    <w:p w14:paraId="586D50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黑体_GBK" w:hAnsi="Times New Roman" w:eastAsia="方正黑体_GBK" w:cs="Times New Roman"/>
          <w:color w:val="auto"/>
          <w:sz w:val="32"/>
          <w:szCs w:val="22"/>
        </w:rPr>
      </w:pPr>
      <w:r>
        <w:rPr>
          <w:rFonts w:hint="eastAsia" w:ascii="方正黑体_GBK" w:hAnsi="Times New Roman" w:eastAsia="方正黑体_GBK" w:cs="Times New Roman"/>
          <w:color w:val="auto"/>
          <w:sz w:val="32"/>
          <w:szCs w:val="22"/>
        </w:rPr>
        <w:t>四、</w:t>
      </w:r>
      <w:r>
        <w:rPr>
          <w:rFonts w:ascii="方正黑体_GBK" w:hAnsi="Times New Roman" w:eastAsia="方正黑体_GBK" w:cs="Times New Roman"/>
          <w:color w:val="auto"/>
          <w:sz w:val="32"/>
          <w:szCs w:val="22"/>
        </w:rPr>
        <w:t>评估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</w:rPr>
        <w:t>论证</w:t>
      </w:r>
      <w:r>
        <w:rPr>
          <w:rFonts w:ascii="方正黑体_GBK" w:hAnsi="Times New Roman" w:eastAsia="方正黑体_GBK" w:cs="Times New Roman"/>
          <w:color w:val="auto"/>
          <w:sz w:val="32"/>
          <w:szCs w:val="22"/>
        </w:rPr>
        <w:t>结论</w:t>
      </w:r>
    </w:p>
    <w:p w14:paraId="4B62D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经征求相关单位</w:t>
      </w:r>
      <w:r>
        <w:rPr>
          <w:rFonts w:ascii="Times New Roman" w:hAnsi="Times New Roman" w:eastAsia="方正仿宋_GBK" w:cs="Times New Roman"/>
          <w:color w:val="auto"/>
          <w:sz w:val="32"/>
          <w:szCs w:val="22"/>
        </w:rPr>
        <w:t>、企业论证意见，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对照</w:t>
      </w:r>
      <w:r>
        <w:rPr>
          <w:rFonts w:hint="eastAsia" w:eastAsia="方正仿宋_GBK" w:cs="Times New Roman"/>
          <w:color w:val="auto"/>
          <w:sz w:val="32"/>
          <w:szCs w:val="22"/>
          <w:lang w:val="en-US" w:eastAsia="zh-CN"/>
        </w:rPr>
        <w:t>其他</w:t>
      </w:r>
      <w:r>
        <w:rPr>
          <w:rFonts w:ascii="Times New Roman" w:hAnsi="Times New Roman" w:eastAsia="方正仿宋_GBK" w:cs="Times New Roman"/>
          <w:color w:val="auto"/>
          <w:sz w:val="32"/>
          <w:szCs w:val="22"/>
        </w:rPr>
        <w:t>相关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城市</w:t>
      </w:r>
      <w:r>
        <w:rPr>
          <w:rFonts w:ascii="Times New Roman" w:hAnsi="Times New Roman" w:eastAsia="方正仿宋_GBK" w:cs="Times New Roman"/>
          <w:color w:val="auto"/>
          <w:sz w:val="32"/>
          <w:szCs w:val="22"/>
        </w:rPr>
        <w:t>政策，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该《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管理办法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》务实管用，有具体抓手、明确目标和配套措施，有利于发挥创新券管理作用，促进我市科技资源共享，降低企业创新成本的，解决中小企业在创业过程中的科技服务需求，</w:t>
      </w:r>
      <w:r>
        <w:rPr>
          <w:rFonts w:ascii="Times New Roman" w:hAnsi="Times New Roman" w:eastAsia="方正仿宋_GBK" w:cs="Times New Roman"/>
          <w:color w:val="auto"/>
          <w:sz w:val="32"/>
          <w:szCs w:val="22"/>
        </w:rPr>
        <w:t>符合我市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创新</w:t>
      </w:r>
      <w:r>
        <w:rPr>
          <w:rFonts w:ascii="Times New Roman" w:hAnsi="Times New Roman" w:eastAsia="方正仿宋_GBK" w:cs="Times New Roman"/>
          <w:color w:val="auto"/>
          <w:sz w:val="32"/>
          <w:szCs w:val="22"/>
        </w:rPr>
        <w:t>发展需求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22"/>
        </w:rPr>
        <w:t>。</w:t>
      </w:r>
    </w:p>
    <w:p w14:paraId="2C53B4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</w:rPr>
      </w:pP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</w:rPr>
        <w:t>五、《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  <w:lang w:eastAsia="zh-CN"/>
        </w:rPr>
        <w:t>管理办法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</w:rPr>
        <w:t>》的主要内容</w:t>
      </w:r>
    </w:p>
    <w:p w14:paraId="4506F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《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乌鲁木齐市“红山科技创新券”管理办法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》分为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章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二十四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条。</w:t>
      </w:r>
    </w:p>
    <w:p w14:paraId="31674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第一章“总则”，提出制定办法的背景和意义，解释了创新券定义、设立原则和资金来源等。</w:t>
      </w:r>
    </w:p>
    <w:p w14:paraId="65CE7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第二章“管理机构及职责”，阐述了创新券实施的组织管理部门、推荐初审部门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织实施机构以及相关管理服务职责。</w:t>
      </w:r>
    </w:p>
    <w:p w14:paraId="79285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第三章“科技服务机构及条件”，阐述了科技服务机构的概念、入库方式、入库条件以及入库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程序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。</w:t>
      </w:r>
    </w:p>
    <w:p w14:paraId="18CAA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第四章“领用主体与支持范围”，说明了创新券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领用主体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条件以及支持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方向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。</w:t>
      </w:r>
    </w:p>
    <w:p w14:paraId="1AEE7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第五章“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发放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与兑现”，说明了创新券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发放方式、补贴额度、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以及兑现方式、兑现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条件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和兑现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程序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等内容。</w:t>
      </w:r>
    </w:p>
    <w:p w14:paraId="0EF0B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第六章“监督与</w:t>
      </w:r>
      <w:r>
        <w:rPr>
          <w:rFonts w:hint="eastAsia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管理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”，阐述了监督与管理、信用管理、机制管理和发布施行等内容。</w:t>
      </w:r>
    </w:p>
    <w:p w14:paraId="2F9321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trike w:val="0"/>
          <w:dstrike w:val="0"/>
          <w:color w:val="FF0000"/>
          <w:lang w:val="en-US" w:eastAsia="zh-CN"/>
        </w:rPr>
      </w:pPr>
      <w:r>
        <w:rPr>
          <w:rFonts w:hint="eastAsia" w:ascii="方正黑体_GBK" w:eastAsia="方正黑体_GBK" w:cs="Times New Roman"/>
          <w:color w:val="auto"/>
          <w:sz w:val="32"/>
          <w:szCs w:val="22"/>
          <w:highlight w:val="none"/>
          <w:lang w:val="en-US" w:eastAsia="zh-CN"/>
        </w:rPr>
        <w:t>六、关于</w:t>
      </w:r>
      <w:r>
        <w:rPr>
          <w:rFonts w:hint="eastAsia" w:ascii="方正黑体_GBK" w:hAnsi="Times New Roman" w:eastAsia="方正黑体_GBK" w:cs="Times New Roman"/>
          <w:color w:val="auto"/>
          <w:sz w:val="32"/>
          <w:szCs w:val="22"/>
          <w:highlight w:val="none"/>
          <w:lang w:val="en-US" w:eastAsia="zh-CN"/>
        </w:rPr>
        <w:t>施行日期</w:t>
      </w:r>
      <w:r>
        <w:rPr>
          <w:rFonts w:hint="eastAsia" w:ascii="方正黑体_GBK" w:eastAsia="方正黑体_GBK" w:cs="Times New Roman"/>
          <w:color w:val="auto"/>
          <w:sz w:val="32"/>
          <w:szCs w:val="22"/>
          <w:highlight w:val="none"/>
          <w:lang w:val="en-US" w:eastAsia="zh-CN"/>
        </w:rPr>
        <w:t>的说明</w:t>
      </w:r>
    </w:p>
    <w:p w14:paraId="4EB67F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管理办法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》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公布日期是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2026年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日，施行日期是2026年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日。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B077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-67945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71594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4RPib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D71594">
                    <w:pPr>
                      <w:pStyle w:val="5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D75A7"/>
    <w:rsid w:val="00EB60B2"/>
    <w:rsid w:val="011C44BE"/>
    <w:rsid w:val="01761E20"/>
    <w:rsid w:val="021B4775"/>
    <w:rsid w:val="026E2AF7"/>
    <w:rsid w:val="02DA1F3A"/>
    <w:rsid w:val="032F2286"/>
    <w:rsid w:val="03BD3D36"/>
    <w:rsid w:val="05D84E57"/>
    <w:rsid w:val="06AE5BB8"/>
    <w:rsid w:val="06C61153"/>
    <w:rsid w:val="074C20D3"/>
    <w:rsid w:val="082A5712"/>
    <w:rsid w:val="08B84ACC"/>
    <w:rsid w:val="0BE954EB"/>
    <w:rsid w:val="0CCC4FEA"/>
    <w:rsid w:val="0CD8398F"/>
    <w:rsid w:val="0D8853B5"/>
    <w:rsid w:val="0DDF6F9F"/>
    <w:rsid w:val="0DE325EB"/>
    <w:rsid w:val="0E0367E9"/>
    <w:rsid w:val="0E2F75DE"/>
    <w:rsid w:val="0E6574A4"/>
    <w:rsid w:val="0EEA79A9"/>
    <w:rsid w:val="0EEE56EB"/>
    <w:rsid w:val="0F7A422D"/>
    <w:rsid w:val="10821175"/>
    <w:rsid w:val="12027202"/>
    <w:rsid w:val="128D521B"/>
    <w:rsid w:val="12DE5A77"/>
    <w:rsid w:val="13023513"/>
    <w:rsid w:val="13143247"/>
    <w:rsid w:val="135950FD"/>
    <w:rsid w:val="13A97E33"/>
    <w:rsid w:val="15A22D8C"/>
    <w:rsid w:val="15B66837"/>
    <w:rsid w:val="164107F7"/>
    <w:rsid w:val="167A5AB7"/>
    <w:rsid w:val="17516817"/>
    <w:rsid w:val="17681DB3"/>
    <w:rsid w:val="17C00F0C"/>
    <w:rsid w:val="18FF04F5"/>
    <w:rsid w:val="190D2C12"/>
    <w:rsid w:val="19C72DC1"/>
    <w:rsid w:val="1A6B4094"/>
    <w:rsid w:val="1BD6378F"/>
    <w:rsid w:val="1C9F0025"/>
    <w:rsid w:val="1CCB0E1A"/>
    <w:rsid w:val="1CFB1606"/>
    <w:rsid w:val="1E340C41"/>
    <w:rsid w:val="1F2C36C6"/>
    <w:rsid w:val="2127683B"/>
    <w:rsid w:val="21466CC1"/>
    <w:rsid w:val="21D771A6"/>
    <w:rsid w:val="21EA7F94"/>
    <w:rsid w:val="2480073C"/>
    <w:rsid w:val="248F1143"/>
    <w:rsid w:val="2681079B"/>
    <w:rsid w:val="286640ED"/>
    <w:rsid w:val="298365D8"/>
    <w:rsid w:val="29CA4207"/>
    <w:rsid w:val="2A5A37DD"/>
    <w:rsid w:val="2A7725E1"/>
    <w:rsid w:val="2ABE3D6C"/>
    <w:rsid w:val="2B2B7041"/>
    <w:rsid w:val="2B82123D"/>
    <w:rsid w:val="2DD4538B"/>
    <w:rsid w:val="2EEE0998"/>
    <w:rsid w:val="2F1B3E4F"/>
    <w:rsid w:val="2F9B467C"/>
    <w:rsid w:val="2FBD62F8"/>
    <w:rsid w:val="305B205D"/>
    <w:rsid w:val="31CD0D39"/>
    <w:rsid w:val="32AB107A"/>
    <w:rsid w:val="33C30645"/>
    <w:rsid w:val="34072BF8"/>
    <w:rsid w:val="341D7D55"/>
    <w:rsid w:val="354B6B44"/>
    <w:rsid w:val="356F2448"/>
    <w:rsid w:val="365B4B65"/>
    <w:rsid w:val="369462C9"/>
    <w:rsid w:val="37164F30"/>
    <w:rsid w:val="37AB1B1C"/>
    <w:rsid w:val="395064D7"/>
    <w:rsid w:val="39553AED"/>
    <w:rsid w:val="39AB7BB1"/>
    <w:rsid w:val="39B32F0A"/>
    <w:rsid w:val="39EE5CF0"/>
    <w:rsid w:val="39F11B67"/>
    <w:rsid w:val="3AAD1707"/>
    <w:rsid w:val="3B2773FA"/>
    <w:rsid w:val="3B64270E"/>
    <w:rsid w:val="3B750477"/>
    <w:rsid w:val="3C5207B8"/>
    <w:rsid w:val="3DDF42CD"/>
    <w:rsid w:val="3E1A5306"/>
    <w:rsid w:val="3E5A1BA6"/>
    <w:rsid w:val="3F4050EC"/>
    <w:rsid w:val="3F5605BF"/>
    <w:rsid w:val="3F5900B0"/>
    <w:rsid w:val="3F872A8F"/>
    <w:rsid w:val="3FF927F3"/>
    <w:rsid w:val="40D645E9"/>
    <w:rsid w:val="40DB5220"/>
    <w:rsid w:val="41A90E7A"/>
    <w:rsid w:val="4262727B"/>
    <w:rsid w:val="42ED123B"/>
    <w:rsid w:val="42ED2FE9"/>
    <w:rsid w:val="431A7B56"/>
    <w:rsid w:val="43D16466"/>
    <w:rsid w:val="44D83825"/>
    <w:rsid w:val="45196317"/>
    <w:rsid w:val="453E3FCF"/>
    <w:rsid w:val="47525B10"/>
    <w:rsid w:val="4774561C"/>
    <w:rsid w:val="48EB7FCA"/>
    <w:rsid w:val="4AA76173"/>
    <w:rsid w:val="4C6A76CD"/>
    <w:rsid w:val="4CF11927"/>
    <w:rsid w:val="4D2D76DE"/>
    <w:rsid w:val="4D8E53C8"/>
    <w:rsid w:val="4DC94652"/>
    <w:rsid w:val="4E4B32B9"/>
    <w:rsid w:val="4ECF5C98"/>
    <w:rsid w:val="4FDF015D"/>
    <w:rsid w:val="50383C9D"/>
    <w:rsid w:val="52020133"/>
    <w:rsid w:val="521C11F4"/>
    <w:rsid w:val="52262073"/>
    <w:rsid w:val="53C71F20"/>
    <w:rsid w:val="545804DE"/>
    <w:rsid w:val="548412D3"/>
    <w:rsid w:val="54EF2BF0"/>
    <w:rsid w:val="55020B76"/>
    <w:rsid w:val="55432F3C"/>
    <w:rsid w:val="55480552"/>
    <w:rsid w:val="586E02D0"/>
    <w:rsid w:val="58AE4B70"/>
    <w:rsid w:val="59486D73"/>
    <w:rsid w:val="5AB75F5E"/>
    <w:rsid w:val="5B791466"/>
    <w:rsid w:val="5C5B6DBD"/>
    <w:rsid w:val="5F101CC4"/>
    <w:rsid w:val="5F3A53B0"/>
    <w:rsid w:val="609D2487"/>
    <w:rsid w:val="60B34054"/>
    <w:rsid w:val="61241E74"/>
    <w:rsid w:val="6155202D"/>
    <w:rsid w:val="61783F6D"/>
    <w:rsid w:val="61B155C2"/>
    <w:rsid w:val="62B86D17"/>
    <w:rsid w:val="62D43425"/>
    <w:rsid w:val="63B76FCF"/>
    <w:rsid w:val="64852C29"/>
    <w:rsid w:val="653D75A7"/>
    <w:rsid w:val="65A969C6"/>
    <w:rsid w:val="65DA0D53"/>
    <w:rsid w:val="66083B12"/>
    <w:rsid w:val="6655487D"/>
    <w:rsid w:val="67184229"/>
    <w:rsid w:val="6773145F"/>
    <w:rsid w:val="67DC5256"/>
    <w:rsid w:val="67F26828"/>
    <w:rsid w:val="685E5C6B"/>
    <w:rsid w:val="692549DB"/>
    <w:rsid w:val="694A4441"/>
    <w:rsid w:val="695D4175"/>
    <w:rsid w:val="6A527A52"/>
    <w:rsid w:val="6AF97ECD"/>
    <w:rsid w:val="6D8878F1"/>
    <w:rsid w:val="6DA02882"/>
    <w:rsid w:val="6DA8667D"/>
    <w:rsid w:val="6DB663D0"/>
    <w:rsid w:val="6DE36237"/>
    <w:rsid w:val="6E331948"/>
    <w:rsid w:val="6ED44D8F"/>
    <w:rsid w:val="6F5953DE"/>
    <w:rsid w:val="6F685621"/>
    <w:rsid w:val="71975C67"/>
    <w:rsid w:val="732D6613"/>
    <w:rsid w:val="74477EFB"/>
    <w:rsid w:val="750E27C7"/>
    <w:rsid w:val="75BC0475"/>
    <w:rsid w:val="76116A13"/>
    <w:rsid w:val="765B5EE0"/>
    <w:rsid w:val="76DF08BF"/>
    <w:rsid w:val="77716FA8"/>
    <w:rsid w:val="77844FC2"/>
    <w:rsid w:val="77AF0EBC"/>
    <w:rsid w:val="78B638A1"/>
    <w:rsid w:val="79FF3026"/>
    <w:rsid w:val="7A664E53"/>
    <w:rsid w:val="7B693F60"/>
    <w:rsid w:val="7B705F89"/>
    <w:rsid w:val="7BA619AB"/>
    <w:rsid w:val="7BC63DFB"/>
    <w:rsid w:val="7BD227A0"/>
    <w:rsid w:val="7C63789C"/>
    <w:rsid w:val="7CBF6A2B"/>
    <w:rsid w:val="7D284642"/>
    <w:rsid w:val="7D425704"/>
    <w:rsid w:val="7D7B6E68"/>
    <w:rsid w:val="7DEE7639"/>
    <w:rsid w:val="7E431733"/>
    <w:rsid w:val="7E9C6E52"/>
    <w:rsid w:val="7EA53CAF"/>
    <w:rsid w:val="7EF7624E"/>
    <w:rsid w:val="7F12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spacing w:line="576" w:lineRule="auto"/>
      <w:outlineLvl w:val="0"/>
    </w:pPr>
    <w:rPr>
      <w:rFonts w:ascii="Arial" w:hAnsi="Arial" w:eastAsia="方正小标宋_GBK" w:cs="Arial"/>
      <w:b/>
      <w:snapToGrid w:val="0"/>
      <w:color w:val="000000"/>
      <w:kern w:val="44"/>
      <w:sz w:val="44"/>
      <w:szCs w:val="21"/>
      <w:lang w:eastAsia="en-US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ht"/>
    <w:basedOn w:val="8"/>
    <w:qFormat/>
    <w:uiPriority w:val="0"/>
  </w:style>
  <w:style w:type="paragraph" w:customStyle="1" w:styleId="10">
    <w:name w:val="Char Char Char Char Char Char Char"/>
    <w:basedOn w:val="1"/>
    <w:qFormat/>
    <w:uiPriority w:val="0"/>
    <w:pPr>
      <w:widowControl/>
      <w:spacing w:after="160" w:line="240" w:lineRule="exact"/>
      <w:ind w:left="640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3268</Words>
  <Characters>3326</Characters>
  <Lines>0</Lines>
  <Paragraphs>0</Paragraphs>
  <TotalTime>8</TotalTime>
  <ScaleCrop>false</ScaleCrop>
  <LinksUpToDate>false</LinksUpToDate>
  <CharactersWithSpaces>3336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2026-01-19T05:00:00Z</dcterms:created>
  <dc:creator>zzz</dc:creator>
  <cp:lastModifiedBy>CJ</cp:lastModifiedBy>
  <cp:lastPrinted>2026-02-02T04:45:00Z</cp:lastPrinted>
  <dcterms:modified xsi:type="dcterms:W3CDTF">2026-07-28T09:53:13Z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37FE4307294D47FA98AC144199CB1326_13</vt:lpwstr>
  </property>
  <property fmtid="{D5CDD505-2E9C-101B-9397-08002B2CF9AE}" pid="4" name="KSOTemplateDocerSaveRecord">
    <vt:lpwstr>eyJoZGlkIjoiYjY5Y2JjMTlkZTJjYmM0MDg5ZDBkMGEwZWY1ZjA4ZmYiLCJ1c2VySWQiOiI0NDIxNDQxOTUifQ==</vt:lpwstr>
  </property>
</Properties>
</file>