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87D1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pacing w:val="0"/>
          <w:sz w:val="36"/>
          <w:szCs w:val="36"/>
          <w:highlight w:val="none"/>
          <w:lang w:val="en-US" w:eastAsia="zh-CN"/>
        </w:rPr>
      </w:pPr>
      <w:bookmarkStart w:id="0" w:name="OLE_LINK2"/>
    </w:p>
    <w:p w14:paraId="2CDA2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auto"/>
          <w:spacing w:val="0"/>
          <w:sz w:val="44"/>
          <w:szCs w:val="44"/>
          <w:highlight w:val="none"/>
          <w:lang w:val="en-US" w:eastAsia="zh-CN"/>
        </w:rPr>
        <w:t>乌鲁木齐市</w:t>
      </w:r>
      <w:r>
        <w:rPr>
          <w:rFonts w:hint="default" w:ascii="Times New Roman" w:hAnsi="Times New Roman" w:eastAsia="方正小标宋_GBK" w:cs="Times New Roman"/>
          <w:color w:val="auto"/>
          <w:spacing w:val="0"/>
          <w:sz w:val="44"/>
          <w:szCs w:val="44"/>
          <w:highlight w:val="none"/>
        </w:rPr>
        <w:t>银龄</w:t>
      </w:r>
      <w:r>
        <w:rPr>
          <w:rFonts w:hint="default" w:ascii="Times New Roman" w:hAnsi="Times New Roman" w:eastAsia="方正小标宋_GBK" w:cs="Times New Roman"/>
          <w:color w:val="auto"/>
          <w:spacing w:val="0"/>
          <w:sz w:val="44"/>
          <w:szCs w:val="44"/>
          <w:highlight w:val="none"/>
          <w:lang w:eastAsia="zh-CN"/>
        </w:rPr>
        <w:t>教师</w:t>
      </w:r>
      <w:r>
        <w:rPr>
          <w:rFonts w:hint="default" w:ascii="Times New Roman" w:hAnsi="Times New Roman" w:eastAsia="方正小标宋_GBK" w:cs="Times New Roman"/>
          <w:color w:val="auto"/>
          <w:spacing w:val="0"/>
          <w:sz w:val="44"/>
          <w:szCs w:val="44"/>
          <w:highlight w:val="none"/>
          <w:lang w:val="en-US" w:eastAsia="zh-CN"/>
        </w:rPr>
        <w:t>招募</w:t>
      </w:r>
      <w:r>
        <w:rPr>
          <w:rFonts w:hint="eastAsia" w:ascii="Times New Roman" w:hAnsi="Times New Roman" w:eastAsia="方正小标宋_GBK" w:cs="Times New Roman"/>
          <w:color w:val="auto"/>
          <w:spacing w:val="0"/>
          <w:sz w:val="44"/>
          <w:szCs w:val="44"/>
          <w:highlight w:val="none"/>
          <w:lang w:val="en-US" w:eastAsia="zh-CN"/>
        </w:rPr>
        <w:t>与管理实施</w:t>
      </w:r>
      <w:r>
        <w:rPr>
          <w:rFonts w:hint="default" w:ascii="Times New Roman" w:hAnsi="Times New Roman" w:eastAsia="方正小标宋_GBK" w:cs="Times New Roman"/>
          <w:color w:val="auto"/>
          <w:spacing w:val="0"/>
          <w:sz w:val="44"/>
          <w:szCs w:val="44"/>
          <w:highlight w:val="none"/>
          <w:lang w:val="en-US" w:eastAsia="zh-CN"/>
        </w:rPr>
        <w:t>方案</w:t>
      </w:r>
    </w:p>
    <w:p w14:paraId="5D05A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auto"/>
          <w:spacing w:val="0"/>
          <w:sz w:val="44"/>
          <w:szCs w:val="44"/>
          <w:highlight w:val="none"/>
          <w:lang w:val="en-US" w:eastAsia="zh-CN"/>
        </w:rPr>
        <w:t>（征求意见稿</w:t>
      </w:r>
      <w:bookmarkStart w:id="4" w:name="_GoBack"/>
      <w:bookmarkEnd w:id="4"/>
      <w:r>
        <w:rPr>
          <w:rFonts w:hint="eastAsia" w:ascii="Times New Roman" w:hAnsi="Times New Roman" w:eastAsia="方正小标宋_GBK" w:cs="Times New Roman"/>
          <w:color w:val="auto"/>
          <w:spacing w:val="0"/>
          <w:sz w:val="44"/>
          <w:szCs w:val="44"/>
          <w:highlight w:val="none"/>
          <w:lang w:val="en-US" w:eastAsia="zh-CN"/>
        </w:rPr>
        <w:t>）</w:t>
      </w:r>
    </w:p>
    <w:p w14:paraId="2B8E5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6"/>
          <w:szCs w:val="36"/>
          <w:highlight w:val="none"/>
          <w14:ligatures w14:val="none"/>
        </w:rPr>
      </w:pPr>
    </w:p>
    <w:p w14:paraId="1CB8B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6"/>
          <w:szCs w:val="36"/>
          <w:highlight w:val="none"/>
          <w14:ligatures w14:val="none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6"/>
          <w:szCs w:val="36"/>
          <w:highlight w:val="none"/>
          <w14:ligatures w14:val="none"/>
        </w:rPr>
        <w:t>为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6"/>
          <w:szCs w:val="36"/>
          <w:highlight w:val="none"/>
          <w:lang w:val="en-US" w:eastAsia="zh-CN"/>
          <w14:ligatures w14:val="none"/>
        </w:rPr>
        <w:t>深入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6"/>
          <w:szCs w:val="36"/>
          <w:highlight w:val="none"/>
          <w14:ligatures w14:val="none"/>
        </w:rPr>
        <w:t>落实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6"/>
          <w:szCs w:val="36"/>
          <w:highlight w:val="none"/>
          <w:lang w:val="en-US" w:eastAsia="zh-CN"/>
          <w14:ligatures w14:val="none"/>
        </w:rPr>
        <w:t>《教育强国建设规划纲要（2024—2035年）》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和教育强市战略要求，充分发挥教育系统退休教师的政治优势、专业优势、经验优势和示范引领作用，</w:t>
      </w:r>
      <w:bookmarkStart w:id="1" w:name="OLE_LINK3"/>
      <w:r>
        <w:rPr>
          <w:rFonts w:hint="default" w:ascii="Times New Roman" w:hAnsi="Times New Roman" w:eastAsia="方正仿宋_GBK" w:cs="Times New Roman"/>
          <w:color w:val="auto"/>
          <w:spacing w:val="0"/>
          <w:sz w:val="36"/>
          <w:szCs w:val="36"/>
          <w:highlight w:val="none"/>
          <w:lang w:val="en-US" w:eastAsia="zh-CN"/>
        </w:rPr>
        <w:t>缓解市域内教师结构性紧缺难题，持续提升办学质量与育人水平，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推动我市教育高质量发展</w:t>
      </w:r>
      <w:bookmarkEnd w:id="1"/>
      <w:r>
        <w:rPr>
          <w:rFonts w:hint="default" w:ascii="Times New Roman" w:hAnsi="Times New Roman" w:eastAsia="方正仿宋_GBK" w:cs="Times New Roman"/>
          <w:color w:val="auto"/>
          <w:kern w:val="0"/>
          <w:sz w:val="36"/>
          <w:szCs w:val="36"/>
          <w:highlight w:val="none"/>
          <w:lang w:eastAsia="zh-CN"/>
          <w14:ligatures w14:val="none"/>
        </w:rPr>
        <w:t>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6"/>
          <w:szCs w:val="36"/>
          <w:highlight w:val="none"/>
          <w14:ligatures w14:val="none"/>
        </w:rPr>
        <w:t>根据《国家银龄教师行动计划》（教师〔2023〕6号）及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《关于开展自治区银龄讲学计划招募工作的通知》（</w:t>
      </w:r>
      <w:bookmarkStart w:id="2" w:name="OLE_LINK1"/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新教函〔2023〕570号</w:t>
      </w:r>
      <w:bookmarkEnd w:id="2"/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）</w:t>
      </w:r>
      <w:r>
        <w:rPr>
          <w:rFonts w:hint="eastAsia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等文件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6"/>
          <w:szCs w:val="36"/>
          <w:highlight w:val="none"/>
          <w:lang w:val="en-US" w:eastAsia="zh-CN"/>
          <w14:ligatures w14:val="none"/>
        </w:rPr>
        <w:t>要求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6"/>
          <w:szCs w:val="36"/>
          <w:highlight w:val="none"/>
          <w14:ligatures w14:val="none"/>
        </w:rPr>
        <w:t>，结合我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6"/>
          <w:szCs w:val="36"/>
          <w:highlight w:val="none"/>
          <w:lang w:val="en-US" w:eastAsia="zh-CN"/>
          <w14:ligatures w14:val="none"/>
        </w:rPr>
        <w:t>市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6"/>
          <w:szCs w:val="36"/>
          <w:highlight w:val="none"/>
          <w14:ligatures w14:val="none"/>
        </w:rPr>
        <w:t>实际，制定本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6"/>
          <w:szCs w:val="36"/>
          <w:highlight w:val="none"/>
          <w:lang w:val="en-US" w:eastAsia="zh-CN"/>
          <w14:ligatures w14:val="none"/>
        </w:rPr>
        <w:t>方案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6"/>
          <w:szCs w:val="36"/>
          <w:highlight w:val="none"/>
          <w14:ligatures w14:val="none"/>
        </w:rPr>
        <w:t>。</w:t>
      </w:r>
    </w:p>
    <w:p w14:paraId="32F84C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方正黑体_GBK" w:cs="Times New Roman"/>
          <w:color w:val="auto"/>
          <w:sz w:val="36"/>
          <w:szCs w:val="36"/>
          <w:highlight w:val="none"/>
          <w:lang w:eastAsia="zh-CN"/>
        </w:rPr>
        <w:t>一、招募</w:t>
      </w:r>
      <w:r>
        <w:rPr>
          <w:rFonts w:hint="default" w:ascii="Times New Roman" w:hAnsi="Times New Roman" w:eastAsia="方正黑体_GBK" w:cs="Times New Roman"/>
          <w:color w:val="auto"/>
          <w:sz w:val="36"/>
          <w:szCs w:val="36"/>
          <w:highlight w:val="none"/>
          <w:lang w:val="en-US" w:eastAsia="zh-CN"/>
        </w:rPr>
        <w:t>目标</w:t>
      </w:r>
    </w:p>
    <w:p w14:paraId="394F9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坚持需求导向，立足我市师资实际缺口，采取“扩大银龄教师供给、规范临聘人员结构规模、动态调控教师编制招录”的方式，推动构建弹性可调的师资保障体系</w:t>
      </w:r>
      <w:r>
        <w:rPr>
          <w:rFonts w:hint="eastAsia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，以银龄教师作为生源高峰期的阶段性弹性补充，在学生数达峰前加大招募力度，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后续根据缺口数、工作成效等因素动态调整招募计划，重点向初高中学段紧缺学科倾斜，持续充实一线教学力量。</w:t>
      </w:r>
    </w:p>
    <w:p w14:paraId="1AF95B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 w:val="36"/>
          <w:szCs w:val="36"/>
          <w:highlight w:val="none"/>
          <w:lang w:val="en-US" w:eastAsia="zh-CN"/>
        </w:rPr>
        <w:t>二</w:t>
      </w:r>
      <w:r>
        <w:rPr>
          <w:rFonts w:hint="default" w:ascii="Times New Roman" w:hAnsi="Times New Roman" w:eastAsia="方正黑体_GBK" w:cs="Times New Roman"/>
          <w:color w:val="auto"/>
          <w:sz w:val="36"/>
          <w:szCs w:val="36"/>
          <w:highlight w:val="none"/>
          <w:lang w:eastAsia="zh-CN"/>
        </w:rPr>
        <w:t>、招募</w:t>
      </w:r>
      <w:r>
        <w:rPr>
          <w:rFonts w:hint="default" w:ascii="Times New Roman" w:hAnsi="Times New Roman" w:eastAsia="方正黑体_GBK" w:cs="Times New Roman"/>
          <w:color w:val="auto"/>
          <w:sz w:val="36"/>
          <w:szCs w:val="36"/>
          <w:highlight w:val="none"/>
          <w:lang w:val="en-US" w:eastAsia="zh-CN"/>
        </w:rPr>
        <w:t>原则</w:t>
      </w:r>
    </w:p>
    <w:p w14:paraId="1B10B1F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</w:pPr>
      <w:r>
        <w:rPr>
          <w:rFonts w:hint="default" w:ascii="Times New Roman" w:hAnsi="Times New Roman" w:eastAsia="方正楷体_GBK" w:cs="Times New Roman"/>
          <w:color w:val="auto"/>
          <w:kern w:val="0"/>
          <w:sz w:val="36"/>
          <w:szCs w:val="36"/>
          <w:highlight w:val="none"/>
          <w:lang w:val="en-US" w:eastAsia="zh-CN" w:bidi="ar"/>
        </w:rPr>
        <w:t>（一）依法依规，保障权益。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6"/>
          <w:szCs w:val="36"/>
          <w:highlight w:val="none"/>
          <w:lang w:val="en-US" w:eastAsia="zh-CN" w:bidi="ar"/>
        </w:rPr>
        <w:t>严格遵守国家及自治区有关法律法规和政策规定，规范招募程序，明确各方权利义务，切实保障银龄教师和学校合法权益。</w:t>
      </w:r>
    </w:p>
    <w:p w14:paraId="2F002C4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</w:pPr>
      <w:r>
        <w:rPr>
          <w:rFonts w:hint="default" w:ascii="Times New Roman" w:hAnsi="Times New Roman" w:eastAsia="方正楷体_GBK" w:cs="Times New Roman"/>
          <w:color w:val="auto"/>
          <w:kern w:val="0"/>
          <w:sz w:val="36"/>
          <w:szCs w:val="36"/>
          <w:highlight w:val="none"/>
          <w:lang w:val="en-US" w:eastAsia="zh-CN" w:bidi="ar"/>
        </w:rPr>
        <w:t>（二）统一标准，公开透明。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6"/>
          <w:szCs w:val="36"/>
          <w:highlight w:val="none"/>
          <w:lang w:val="en-US" w:eastAsia="zh-CN" w:bidi="ar"/>
        </w:rPr>
        <w:t>统一制定招募条件、资格要求和待遇标准，规范工作流程，做到条件一致、程序规范、公开透明。</w:t>
      </w:r>
    </w:p>
    <w:p w14:paraId="1EFEC8F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</w:pPr>
      <w:r>
        <w:rPr>
          <w:rFonts w:hint="default" w:ascii="Times New Roman" w:hAnsi="Times New Roman" w:eastAsia="方正楷体_GBK" w:cs="Times New Roman"/>
          <w:color w:val="auto"/>
          <w:kern w:val="0"/>
          <w:sz w:val="36"/>
          <w:szCs w:val="36"/>
          <w:highlight w:val="none"/>
          <w:lang w:val="en-US" w:eastAsia="zh-CN" w:bidi="ar"/>
        </w:rPr>
        <w:t>（三）分级管理，协同联动。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6"/>
          <w:szCs w:val="36"/>
          <w:highlight w:val="none"/>
          <w:lang w:val="en-US" w:eastAsia="zh-CN" w:bidi="ar"/>
        </w:rPr>
        <w:t>建立市级统筹、各区组织、学校落实的分级管理机制，明确各级职责分工，形成上下联动、协同配合的工作格局。</w:t>
      </w:r>
    </w:p>
    <w:p w14:paraId="0502B93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</w:pPr>
      <w:r>
        <w:rPr>
          <w:rFonts w:hint="default" w:ascii="Times New Roman" w:hAnsi="Times New Roman" w:eastAsia="方正楷体_GBK" w:cs="Times New Roman"/>
          <w:color w:val="auto"/>
          <w:kern w:val="0"/>
          <w:sz w:val="36"/>
          <w:szCs w:val="36"/>
          <w:highlight w:val="none"/>
          <w:lang w:val="en-US" w:eastAsia="zh-CN" w:bidi="ar"/>
        </w:rPr>
        <w:t>（四）动态优化，精准施策。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6"/>
          <w:szCs w:val="36"/>
          <w:highlight w:val="none"/>
          <w:lang w:val="en-US" w:eastAsia="zh-CN" w:bidi="ar"/>
        </w:rPr>
        <w:t>根据教育发展和学校需求变化，适时优化招募计划和岗位设置，保持政策灵活性，不断提升招募管理的精准度和实效性。</w:t>
      </w:r>
    </w:p>
    <w:p w14:paraId="44C653B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</w:pPr>
      <w:r>
        <w:rPr>
          <w:rFonts w:hint="default" w:ascii="Times New Roman" w:hAnsi="Times New Roman" w:eastAsia="方正楷体_GBK" w:cs="Times New Roman"/>
          <w:color w:val="auto"/>
          <w:kern w:val="0"/>
          <w:sz w:val="36"/>
          <w:szCs w:val="36"/>
          <w:highlight w:val="none"/>
          <w:lang w:val="en-US" w:eastAsia="zh-CN" w:bidi="ar"/>
        </w:rPr>
        <w:t>（五）按需设岗，人尽其才。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6"/>
          <w:szCs w:val="36"/>
          <w:highlight w:val="none"/>
          <w:lang w:val="en-US" w:eastAsia="zh-CN" w:bidi="ar"/>
        </w:rPr>
        <w:t>坚持按需设岗、以岗定人，紧密结合学校学科建设和教师队伍优化需求，做到人岗相适，充分发挥银龄教师的专业优势和经验价值。</w:t>
      </w:r>
    </w:p>
    <w:p w14:paraId="7E2BA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黑体_GBK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方正黑体_GBK" w:cs="Times New Roman"/>
          <w:color w:val="auto"/>
          <w:sz w:val="36"/>
          <w:szCs w:val="36"/>
          <w:highlight w:val="none"/>
          <w:lang w:val="en-US" w:eastAsia="zh-CN"/>
        </w:rPr>
        <w:t>三</w:t>
      </w:r>
      <w:r>
        <w:rPr>
          <w:rFonts w:hint="default" w:ascii="Times New Roman" w:hAnsi="Times New Roman" w:eastAsia="方正黑体_GBK" w:cs="Times New Roman"/>
          <w:color w:val="auto"/>
          <w:sz w:val="36"/>
          <w:szCs w:val="36"/>
          <w:highlight w:val="none"/>
          <w:lang w:eastAsia="zh-CN"/>
        </w:rPr>
        <w:t>、招募条件</w:t>
      </w:r>
    </w:p>
    <w:p w14:paraId="70554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一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热爱教育事业，贯彻落实党的教育方针，政治可靠、师德高尚、爱岗敬业、甘于奉献，志愿到乌鲁木齐市任教。</w:t>
      </w:r>
    </w:p>
    <w:p w14:paraId="39E29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二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eastAsia="zh-CN"/>
        </w:rPr>
        <w:t>）以</w:t>
      </w:r>
      <w:r>
        <w:rPr>
          <w:rFonts w:hint="eastAsia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校长、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eastAsia="zh-CN"/>
        </w:rPr>
        <w:t>教研员、特级教师、骨干教师为主，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具有丰富一线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教育教学经验。</w:t>
      </w:r>
    </w:p>
    <w:p w14:paraId="4C90C4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（三）年龄不超过65（含）周岁，身体状况能够胜任教育教学工作（二级甲等以上医院出具的近六个月体检报告）。服务期超过1年的，每年需重新提供符合要求的体检报告</w:t>
      </w:r>
      <w:r>
        <w:rPr>
          <w:rFonts w:hint="eastAsia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紧缺特殊人才年龄可适当放宽。</w:t>
      </w:r>
    </w:p>
    <w:p w14:paraId="6A489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四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eastAsia="zh-CN"/>
        </w:rPr>
        <w:t>）具有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副高级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eastAsia="zh-CN"/>
        </w:rPr>
        <w:t>及以上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专业技术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eastAsia="zh-CN"/>
        </w:rPr>
        <w:t>职称，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具备与招募学科相匹配的教师资格证书，专业知识扎实，教学方法灵活多样，能够运用现代教育技术手段进行教学。</w:t>
      </w:r>
    </w:p>
    <w:p w14:paraId="7FB3B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（五）有下列情形之一的人员不得报名：</w:t>
      </w:r>
    </w:p>
    <w:p w14:paraId="5D9CC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1．尚未解除党纪、政纪处分或正在接受纪律审查的人员；</w:t>
      </w:r>
    </w:p>
    <w:p w14:paraId="40FD5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2．受到有期徒刑及以上刑事处罚，或涉嫌违法犯罪正在接受调查的人员；</w:t>
      </w:r>
    </w:p>
    <w:p w14:paraId="0F0F6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3．社会信用有不良记录的人员、被依法列为失信联合惩戒对象的人员，或被认定有考试作弊行为且在停考期内的人员；</w:t>
      </w:r>
    </w:p>
    <w:p w14:paraId="61E1A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黑体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4．法律法规规定的其他不得招募的情形。</w:t>
      </w:r>
    </w:p>
    <w:p w14:paraId="07E99B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firstLine="720" w:firstLineChars="200"/>
        <w:jc w:val="both"/>
        <w:textAlignment w:val="auto"/>
        <w:rPr>
          <w:rFonts w:hint="default" w:ascii="Times New Roman" w:hAnsi="Times New Roman" w:eastAsia="方正黑体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四、岗位职责</w:t>
      </w:r>
    </w:p>
    <w:p w14:paraId="33AF793C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楷体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snapToGrid w:val="0"/>
          <w:color w:val="auto"/>
          <w:spacing w:val="0"/>
          <w:kern w:val="0"/>
          <w:sz w:val="36"/>
          <w:szCs w:val="36"/>
          <w:highlight w:val="none"/>
          <w:lang w:val="en-US" w:eastAsia="zh-CN" w:bidi="ar-SA"/>
        </w:rPr>
        <w:t>（一）</w:t>
      </w:r>
      <w:r>
        <w:rPr>
          <w:rFonts w:hint="default" w:ascii="Times New Roman" w:hAnsi="Times New Roman" w:eastAsia="方正楷体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服务时间</w:t>
      </w:r>
    </w:p>
    <w:p w14:paraId="4C8DEE1E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各区教育局、各学校根据需求和学段学科特点，结合银龄教师意愿，服务时间经双方协商确定。</w:t>
      </w:r>
    </w:p>
    <w:p w14:paraId="74965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楷体_GBK" w:cs="Times New Roman"/>
          <w:snapToGrid w:val="0"/>
          <w:color w:val="auto"/>
          <w:spacing w:val="0"/>
          <w:kern w:val="0"/>
          <w:sz w:val="36"/>
          <w:szCs w:val="36"/>
          <w:highlight w:val="none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snapToGrid w:val="0"/>
          <w:color w:val="auto"/>
          <w:spacing w:val="0"/>
          <w:kern w:val="0"/>
          <w:sz w:val="36"/>
          <w:szCs w:val="36"/>
          <w:highlight w:val="none"/>
          <w:lang w:val="en-US" w:eastAsia="zh-CN" w:bidi="ar-SA"/>
        </w:rPr>
        <w:t>（二）岗位职责</w:t>
      </w:r>
    </w:p>
    <w:p w14:paraId="49C5C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科学合理确定岗位职责，重点发挥</w:t>
      </w:r>
      <w:r>
        <w:rPr>
          <w:rFonts w:hint="eastAsia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银龄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教师</w:t>
      </w:r>
      <w:r>
        <w:rPr>
          <w:rFonts w:hint="eastAsia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种子</w:t>
      </w:r>
      <w:r>
        <w:rPr>
          <w:rFonts w:hint="eastAsia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作用，即传帮带，通过指导教师教学方法，提升受援学校教师教育教学能力，提高学校教育教学质量。退休前担任校长的</w:t>
      </w:r>
      <w:r>
        <w:rPr>
          <w:rFonts w:hint="eastAsia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银龄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教师可以担任受援学校的副校长，参与学校发展规划、规章制度制定和课程改革、校园文化建设等管理工作；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银龄教师主要承担学科满课时量的教学工作，同时按要求参加学校组织开展的教研、听评课、师徒结对等其他与教学相关的活动，不承担学校教学以外的工作。</w:t>
      </w:r>
    </w:p>
    <w:p w14:paraId="3684AE35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楷体_GBK" w:cs="Times New Roman"/>
          <w:snapToGrid w:val="0"/>
          <w:color w:val="auto"/>
          <w:spacing w:val="0"/>
          <w:kern w:val="0"/>
          <w:sz w:val="36"/>
          <w:szCs w:val="36"/>
          <w:highlight w:val="none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snapToGrid w:val="0"/>
          <w:color w:val="auto"/>
          <w:spacing w:val="0"/>
          <w:kern w:val="0"/>
          <w:sz w:val="36"/>
          <w:szCs w:val="36"/>
          <w:highlight w:val="none"/>
          <w:lang w:val="en-US" w:eastAsia="zh-CN" w:bidi="ar-SA"/>
        </w:rPr>
        <w:t>（三）服务协议</w:t>
      </w:r>
    </w:p>
    <w:p w14:paraId="52645585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学校应与银龄教师签订服务协议，明确双方的权利与义务，包括服务时间、服务学校、服务方式和内容、办公与生活条件、享受待遇，以及争议处理办法等。服务协议期限原则上为一年，期满后经考核合格且双方协商一致的可续签。</w:t>
      </w:r>
    </w:p>
    <w:p w14:paraId="4E0185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firstLine="720" w:firstLineChars="200"/>
        <w:jc w:val="both"/>
        <w:textAlignment w:val="auto"/>
        <w:rPr>
          <w:rFonts w:hint="default" w:ascii="Times New Roman" w:hAnsi="Times New Roman" w:eastAsia="方正黑体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 w:val="36"/>
          <w:szCs w:val="36"/>
          <w:highlight w:val="none"/>
          <w:lang w:val="en-US" w:eastAsia="zh-CN"/>
        </w:rPr>
        <w:t>五</w:t>
      </w:r>
      <w:r>
        <w:rPr>
          <w:rFonts w:hint="default" w:ascii="Times New Roman" w:hAnsi="Times New Roman" w:eastAsia="方正黑体_GBK" w:cs="Times New Roman"/>
          <w:color w:val="auto"/>
          <w:sz w:val="36"/>
          <w:szCs w:val="36"/>
          <w:highlight w:val="none"/>
        </w:rPr>
        <w:t>、</w:t>
      </w:r>
      <w:r>
        <w:rPr>
          <w:rFonts w:hint="default" w:ascii="Times New Roman" w:hAnsi="Times New Roman" w:eastAsia="方正黑体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招募程序</w:t>
      </w:r>
    </w:p>
    <w:p w14:paraId="698B3FD6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招募工作遵循“公开、公平、自愿、择优”和“定校、定岗”原则。</w:t>
      </w:r>
      <w:r>
        <w:rPr>
          <w:rFonts w:hint="eastAsia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每年应于8月前完成招募工作全流程，确保受聘教师在新学年开学前到岗。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由招募学校及教育行政部门发布公告，接受符合的条件人员自愿报名，对报名材料进行审核，开展综合考察，确定拟招募人员并公示，公示期不少于5个工作日。公示无异议后由招募学校组织体检（体检费用由招募学校承担），与体检合格人员签订服务协议，根据协议约定时间按时上岗任教。</w:t>
      </w:r>
      <w:r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协议签订后向教育行政部门备案。</w:t>
      </w:r>
    </w:p>
    <w:p w14:paraId="4658B7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黑体_GBK" w:cs="Times New Roman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 w:val="36"/>
          <w:szCs w:val="36"/>
          <w:highlight w:val="none"/>
          <w:lang w:val="en-US" w:eastAsia="zh-CN"/>
        </w:rPr>
        <w:t>六、经费保障</w:t>
      </w:r>
    </w:p>
    <w:p w14:paraId="49EC7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6"/>
          <w:szCs w:val="36"/>
          <w:highlight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snapToGrid w:val="0"/>
          <w:color w:val="auto"/>
          <w:spacing w:val="0"/>
          <w:kern w:val="0"/>
          <w:sz w:val="36"/>
          <w:szCs w:val="36"/>
          <w:highlight w:val="none"/>
          <w:lang w:val="en-US" w:eastAsia="zh-CN" w:bidi="ar-SA"/>
        </w:rPr>
        <w:t>（一）工作经费保障。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6"/>
          <w:szCs w:val="36"/>
          <w:highlight w:val="none"/>
          <w:lang w:val="en-US" w:eastAsia="zh-CN" w:bidi="ar"/>
        </w:rPr>
        <w:t>市属中小学校（含中等职业学校）银龄教师税前按照正高级教师10万元/人/学年、副高级教师8万元/人/学年标准执行，各区教育局、财政局参照市级保障标准执行。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  <w:t>所需资金由市级财政统筹中央、自治区经费后，按照招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6"/>
          <w:szCs w:val="36"/>
          <w:highlight w:val="none"/>
          <w:lang w:val="en-US" w:eastAsia="zh-CN" w:bidi="ar"/>
        </w:rPr>
        <w:t>募学校隶属关系，由市、区两级各自承担。</w:t>
      </w:r>
    </w:p>
    <w:p w14:paraId="11A3E8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6"/>
          <w:szCs w:val="36"/>
          <w:highlight w:val="none"/>
          <w:lang w:val="en-US" w:eastAsia="zh-CN" w:bidi="ar"/>
        </w:rPr>
        <w:t>工作经费全年按照10个月计发，银龄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教师工作经费按标准足额拨付至各学校，由学校根据教师当月实际履职情况核算工作经费额度，于次月据实兑付。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eastAsia="zh-CN"/>
        </w:rPr>
        <w:t>若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  <w:t>新建学校无独立预算的，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eastAsia="zh-CN"/>
        </w:rPr>
        <w:t>可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  <w:t>由指定学校代管。</w:t>
      </w:r>
    </w:p>
    <w:p w14:paraId="1D2FF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snapToGrid w:val="0"/>
          <w:color w:val="auto"/>
          <w:spacing w:val="0"/>
          <w:kern w:val="0"/>
          <w:sz w:val="36"/>
          <w:szCs w:val="36"/>
          <w:highlight w:val="none"/>
          <w:lang w:val="en-US" w:eastAsia="zh-CN" w:bidi="ar-SA"/>
        </w:rPr>
        <w:t>（二）学年绩效补助保障。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lang w:val="en-US" w:eastAsia="zh-CN" w:bidi="ar-SA"/>
        </w:rPr>
        <w:t>市属中小学校（含中等职业学校），按照高中学段银龄教师2万元/人/学年、初中学段银龄教师1万元/人/学年标准设立学年绩效补助。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学年绩效补助参照在编人员绩效工资分配办法，由招募学校待学年结束后，依据考核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6"/>
          <w:szCs w:val="36"/>
          <w:highlight w:val="none"/>
          <w:lang w:val="en-US" w:eastAsia="zh-CN" w:bidi="ar"/>
        </w:rPr>
        <w:t>结果据实兑付。各区教育局、财政局参照市级补助标准执行，所需资金由市、区两级根据学校隶属关系各自承担。绩效补助标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  <w:t>准根据全市经济社会发展水平、师资缺口、银龄教师工作成效及财政承受能力等因素适时动态调整。</w:t>
      </w:r>
    </w:p>
    <w:p w14:paraId="504EEB4B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right="0" w:rightChars="0"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color w:val="auto"/>
          <w:spacing w:val="0"/>
          <w:kern w:val="0"/>
          <w:sz w:val="36"/>
          <w:szCs w:val="36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snapToGrid w:val="0"/>
          <w:color w:val="auto"/>
          <w:spacing w:val="0"/>
          <w:kern w:val="0"/>
          <w:sz w:val="36"/>
          <w:szCs w:val="36"/>
          <w:highlight w:val="none"/>
          <w:lang w:val="en-US" w:eastAsia="zh-CN" w:bidi="ar-SA"/>
        </w:rPr>
        <w:t>（三）生活保障。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由招募学校为银龄教师投保人身意外伤害险、雇主责任险等商业保险，做好其在岗履职期间的安全风险保障，待国家、自治区超龄劳动者工伤保障配套政策出台后，再按照政策规定依法为其办理工伤保险参保手续；服务期间，因病因伤发生医疗费用，按本人基本医疗保险关系所在地有关规定办理；参照《</w:t>
      </w:r>
      <w:bookmarkStart w:id="3" w:name="OLE_LINK4"/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新疆维吾尔自治区人民政府关于贯彻执行〈国务院关于职工探亲待遇的规定〉的具体规定</w:t>
      </w:r>
      <w:bookmarkEnd w:id="3"/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》（新政发〔1981〕184号）、《关于重新修订自治区城镇职工探亲待遇有关问题的通知》（新人发字〔2001〕2号）报销标准，每学期报销服务期内异地银龄教师往返交通费用一次；</w:t>
      </w:r>
      <w:r>
        <w:rPr>
          <w:rFonts w:hint="eastAsia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保险及探亲交通费用由财政统筹安排解决。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为异地教师免费提供周转宿舍（</w:t>
      </w:r>
      <w:r>
        <w:rPr>
          <w:rFonts w:hint="eastAsia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免租金，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使用期间发生的水、电、暖、气等费用由教师按实际使用量自行承担），做好日常后勤服务保障。</w:t>
      </w:r>
    </w:p>
    <w:p w14:paraId="25E0E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黑体_GBK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方正黑体_GBK" w:cs="Times New Roman"/>
          <w:color w:val="auto"/>
          <w:sz w:val="36"/>
          <w:szCs w:val="36"/>
          <w:highlight w:val="none"/>
          <w:lang w:val="en-US" w:eastAsia="zh-CN"/>
        </w:rPr>
        <w:t>七、日常</w:t>
      </w:r>
      <w:r>
        <w:rPr>
          <w:rFonts w:hint="default" w:ascii="Times New Roman" w:hAnsi="Times New Roman" w:eastAsia="方正黑体_GBK" w:cs="Times New Roman"/>
          <w:color w:val="auto"/>
          <w:sz w:val="36"/>
          <w:szCs w:val="36"/>
          <w:highlight w:val="none"/>
          <w:lang w:eastAsia="zh-CN"/>
        </w:rPr>
        <w:t>管理</w:t>
      </w:r>
    </w:p>
    <w:p w14:paraId="7B1D6E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</w:pPr>
      <w:r>
        <w:rPr>
          <w:rFonts w:hint="default" w:ascii="Times New Roman" w:hAnsi="Times New Roman" w:eastAsia="方正楷体_GBK" w:cs="Times New Roman"/>
          <w:snapToGrid w:val="0"/>
          <w:color w:val="auto"/>
          <w:spacing w:val="0"/>
          <w:kern w:val="0"/>
          <w:sz w:val="36"/>
          <w:szCs w:val="36"/>
          <w:highlight w:val="none"/>
          <w:lang w:val="en-US" w:eastAsia="zh-CN" w:bidi="ar-SA"/>
        </w:rPr>
        <w:t>（一）组织管理。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市教育局负责组织和统筹协调各区教育局、市属各学校的银龄招募计划，定期完善银龄教师信息库，实现供需精准匹配和常态化对接，落实国家、自治区教育厅及市委市政府关于银龄教师的工作要求，做好资金分配、日常监督和指导。各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  <w:t>区教育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局具体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  <w:t>负责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本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  <w:t>区银龄教师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的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  <w:t>统筹管理工作，制定招募工作方案，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eastAsia="zh-CN"/>
        </w:rPr>
        <w:t>组织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  <w:t>签订服务协议，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申请、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  <w:t>管理工作经费。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招募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  <w:t>学校负责银龄教师的日常管理，提供必要的教学科研设备和工作场所，做好日常服务保障工作，及时协调解决银龄教师在工作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  <w:t>生活中遇到的问题。</w:t>
      </w:r>
    </w:p>
    <w:p w14:paraId="63FA1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/>
        </w:rPr>
      </w:pPr>
      <w:r>
        <w:rPr>
          <w:rFonts w:hint="default" w:ascii="Times New Roman" w:hAnsi="Times New Roman" w:eastAsia="方正楷体_GBK" w:cs="Times New Roman"/>
          <w:snapToGrid w:val="0"/>
          <w:color w:val="auto"/>
          <w:spacing w:val="0"/>
          <w:kern w:val="0"/>
          <w:sz w:val="36"/>
          <w:szCs w:val="36"/>
          <w:highlight w:val="none"/>
          <w:lang w:val="en-US" w:eastAsia="zh-CN" w:bidi="ar-SA"/>
        </w:rPr>
        <w:t>（二）协议管理。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  <w:t>银龄教师应严格遵守服务协议约定，履行岗位职责。如因特殊情况需变更协议内容或提前终止协议的，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eastAsia="zh-CN"/>
        </w:rPr>
        <w:t>须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  <w:t>经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招募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  <w:t>学校及银龄教师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双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  <w:t>方协商一致，签订书面变更或终止协议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并报教育行政部门备案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  <w:t>。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银龄教师存在下列情形之一的，学校有权单方解除服务协议：（1）不符合招募条件或提供虚假报名材料的；（2）不履行岗位职责经提醒仍不改正的；（3）出现师德失范行为的；（4）因健康原因无法胜任工作的；（5）严重违反学校规章制度的；（6）服务期内被追究法律责任的</w:t>
      </w:r>
      <w:r>
        <w:rPr>
          <w:rFonts w:hint="eastAsia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。</w:t>
      </w:r>
    </w:p>
    <w:p w14:paraId="2A895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方正楷体_GBK" w:cs="Times New Roman"/>
          <w:snapToGrid w:val="0"/>
          <w:color w:val="auto"/>
          <w:spacing w:val="0"/>
          <w:kern w:val="0"/>
          <w:sz w:val="36"/>
          <w:szCs w:val="36"/>
          <w:highlight w:val="none"/>
          <w:lang w:val="en-US" w:eastAsia="zh-CN" w:bidi="ar-SA"/>
        </w:rPr>
        <w:t>（三）考核管理。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eastAsia="zh-CN"/>
        </w:rPr>
        <w:t>招募的银龄教师纳入学校师资队伍建设规划和日常管理。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服务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eastAsia="zh-CN"/>
        </w:rPr>
        <w:t>期间，银龄教师须按照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协议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eastAsia="zh-CN"/>
        </w:rPr>
        <w:t>规定的服务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方式和内容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eastAsia="zh-CN"/>
        </w:rPr>
        <w:t>参与学校工作。服务期满的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  <w:t>银龄教师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  <w:t>由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招募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  <w:t>学校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eastAsia="zh-CN"/>
        </w:rPr>
        <w:t>参照《事业单位工作人员考核规定》（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  <w:t>人社部发〔2023〕6号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  <w:t>对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eastAsia="zh-CN"/>
        </w:rPr>
        <w:t>其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</w:rPr>
        <w:t>进行考核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eastAsia="zh-CN"/>
        </w:rPr>
        <w:t>。考核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合格及以上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eastAsia="zh-CN"/>
        </w:rPr>
        <w:t>的银龄教师，下一学年可优先续签服务协议；考核不合格的银龄教师，按照协议相关违约责任规定处理，予以解除协议。</w:t>
      </w:r>
    </w:p>
    <w:p w14:paraId="2FB2A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snapToGrid w:val="0"/>
          <w:color w:val="auto"/>
          <w:spacing w:val="0"/>
          <w:kern w:val="0"/>
          <w:sz w:val="36"/>
          <w:szCs w:val="36"/>
          <w:highlight w:val="none"/>
          <w:lang w:val="en-US" w:eastAsia="zh-CN" w:bidi="ar-SA"/>
        </w:rPr>
        <w:t>（四）经费扣减与停发。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对个人单方面无故提前终止服务协议的，停发工作经费补助，根据服务时间据实发放学年绩效补助；对考核不合格的，本学年的学年绩效补助不予发放，按照管理权限逐级报教育行政部门备案，并纳入全市银龄教师失信黑名单，全市各级教育行政部门及学校不再与其签订服务协议。银龄教师对违约认定有异议的，可在收到认定通知之日起5个工作日内向</w:t>
      </w:r>
      <w:r>
        <w:rPr>
          <w:rFonts w:hint="eastAsia" w:ascii="Times New Roman" w:hAnsi="Times New Roman" w:eastAsia="方正仿宋_GBK" w:cs="Times New Roman"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主管教育行政部门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提出书面申诉，</w:t>
      </w:r>
      <w:r>
        <w:rPr>
          <w:rFonts w:hint="eastAsia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主管教育行政部门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需在10个工作日内作出复核答复</w:t>
      </w:r>
      <w:r>
        <w:rPr>
          <w:rFonts w:hint="eastAsia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。</w:t>
      </w:r>
    </w:p>
    <w:p w14:paraId="240CE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黑体_GBK" w:cs="Times New Roman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 w:val="36"/>
          <w:szCs w:val="36"/>
          <w:highlight w:val="none"/>
          <w:lang w:val="en-US" w:eastAsia="zh-CN"/>
        </w:rPr>
        <w:t>八．建立评优激励机制</w:t>
      </w:r>
    </w:p>
    <w:p w14:paraId="05EB4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color w:val="auto"/>
          <w:sz w:val="36"/>
          <w:szCs w:val="36"/>
          <w:highlight w:val="none"/>
          <w:lang w:val="en-US" w:eastAsia="zh-CN"/>
        </w:rPr>
        <w:t>（一）建立长效激励机制。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对服务期满且考核合格及以上的银龄教师，可颁发服务纪念证书；在项目申报、学术交流等方面给予优先支持。</w:t>
      </w:r>
    </w:p>
    <w:p w14:paraId="5ECDD4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color w:val="auto"/>
          <w:sz w:val="36"/>
          <w:szCs w:val="36"/>
          <w:highlight w:val="none"/>
          <w:lang w:val="en-US" w:eastAsia="zh-CN"/>
        </w:rPr>
        <w:t>（二）健全评优评先制度。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开展“优秀银龄教师”、“银龄教学名师”等评选活动；对表现突出的银龄教师，优先推荐参评各级各类荣誉称号，颁发荣誉证书。</w:t>
      </w:r>
    </w:p>
    <w:p w14:paraId="53EDB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color w:val="auto"/>
          <w:sz w:val="36"/>
          <w:szCs w:val="36"/>
          <w:highlight w:val="none"/>
          <w:lang w:val="en-US" w:eastAsia="zh-CN"/>
        </w:rPr>
        <w:t>（三）加大典型宣传力度。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加大对银龄教师先进事迹和典型案例的宣传力度，定期组织银龄教师事迹报告会、经验交流会和成果展示会，通过校内外媒体平台广泛宣传银龄教师的奉献精神，讲好银龄故事，梳理先进标杆，营造尊师重教、老有所为的良好氛围，增强银龄教师的荣誉感、获得感和归属感。</w:t>
      </w:r>
    </w:p>
    <w:p w14:paraId="20CA5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72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eastAsia="zh-CN"/>
        </w:rPr>
        <w:t>本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方案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eastAsia="zh-CN"/>
        </w:rPr>
        <w:t>自发布之日起施行，由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val="en-US" w:eastAsia="zh-CN"/>
        </w:rPr>
        <w:t>乌鲁木齐市</w:t>
      </w:r>
      <w:r>
        <w:rPr>
          <w:rFonts w:hint="default" w:ascii="Times New Roman" w:hAnsi="Times New Roman" w:eastAsia="方正仿宋_GBK" w:cs="Times New Roman"/>
          <w:color w:val="auto"/>
          <w:sz w:val="36"/>
          <w:szCs w:val="36"/>
          <w:highlight w:val="none"/>
          <w:lang w:eastAsia="zh-CN"/>
        </w:rPr>
        <w:t>教育局负责解释。未尽事宜，按照各级相关文件规定执行。</w:t>
      </w:r>
      <w:bookmarkEnd w:id="0"/>
    </w:p>
    <w:sectPr>
      <w:footerReference r:id="rId3" w:type="default"/>
      <w:pgSz w:w="11906" w:h="16838"/>
      <w:pgMar w:top="2098" w:right="1531" w:bottom="1984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199B6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2367280</wp:posOffset>
              </wp:positionH>
              <wp:positionV relativeFrom="paragraph">
                <wp:posOffset>-142875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01D3B0">
                          <w:pPr>
                            <w:pStyle w:val="3"/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86.4pt;margin-top:-11.2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DZh/QdgAAAALAQAADwAAAAAAAAABACAAAAAiAAAAZHJzL2Rvd25yZXYueG1s&#10;UEsBAhQAFAAAAAgAh07iQGuF+fsxAgAAYQQAAA4AAAAAAAAAAQAgAAAAJ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01D3B0">
                    <w:pPr>
                      <w:pStyle w:val="3"/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FA7F9A"/>
    <w:rsid w:val="00204858"/>
    <w:rsid w:val="00703832"/>
    <w:rsid w:val="0159584F"/>
    <w:rsid w:val="01764E34"/>
    <w:rsid w:val="01BC06E8"/>
    <w:rsid w:val="02091B4C"/>
    <w:rsid w:val="021C0661"/>
    <w:rsid w:val="035E52B9"/>
    <w:rsid w:val="03F82211"/>
    <w:rsid w:val="04E734BD"/>
    <w:rsid w:val="04ED1365"/>
    <w:rsid w:val="05D70D81"/>
    <w:rsid w:val="05FD496D"/>
    <w:rsid w:val="06EB4B2E"/>
    <w:rsid w:val="072B72F1"/>
    <w:rsid w:val="076F19CD"/>
    <w:rsid w:val="07A45B48"/>
    <w:rsid w:val="07BC43C7"/>
    <w:rsid w:val="07F21254"/>
    <w:rsid w:val="08990CD4"/>
    <w:rsid w:val="08F531AE"/>
    <w:rsid w:val="08FF3D61"/>
    <w:rsid w:val="09020655"/>
    <w:rsid w:val="09200F39"/>
    <w:rsid w:val="09247732"/>
    <w:rsid w:val="096D5B06"/>
    <w:rsid w:val="09C80775"/>
    <w:rsid w:val="0AF57C2F"/>
    <w:rsid w:val="0B6E5141"/>
    <w:rsid w:val="0BBE75D4"/>
    <w:rsid w:val="0E3E08ED"/>
    <w:rsid w:val="0F287005"/>
    <w:rsid w:val="0F6C1929"/>
    <w:rsid w:val="0F81030D"/>
    <w:rsid w:val="10146944"/>
    <w:rsid w:val="11067E35"/>
    <w:rsid w:val="11A00BAD"/>
    <w:rsid w:val="12234B73"/>
    <w:rsid w:val="123D52DE"/>
    <w:rsid w:val="12B535D4"/>
    <w:rsid w:val="13244572"/>
    <w:rsid w:val="135B03D5"/>
    <w:rsid w:val="13891D18"/>
    <w:rsid w:val="13F557B1"/>
    <w:rsid w:val="143C4512"/>
    <w:rsid w:val="14481308"/>
    <w:rsid w:val="148715C4"/>
    <w:rsid w:val="154E022A"/>
    <w:rsid w:val="15792EAF"/>
    <w:rsid w:val="15834CAC"/>
    <w:rsid w:val="15A6115F"/>
    <w:rsid w:val="15A90D64"/>
    <w:rsid w:val="15EC2B0A"/>
    <w:rsid w:val="168461FE"/>
    <w:rsid w:val="16ED5325"/>
    <w:rsid w:val="17492FEC"/>
    <w:rsid w:val="176C004F"/>
    <w:rsid w:val="18D75AC8"/>
    <w:rsid w:val="195C6CAB"/>
    <w:rsid w:val="19CE3505"/>
    <w:rsid w:val="1A22220B"/>
    <w:rsid w:val="1BA600EF"/>
    <w:rsid w:val="1BEB5E2D"/>
    <w:rsid w:val="1DA21EAE"/>
    <w:rsid w:val="1DE52696"/>
    <w:rsid w:val="1E3D5D47"/>
    <w:rsid w:val="1EB65D35"/>
    <w:rsid w:val="1EC51718"/>
    <w:rsid w:val="1EF34CD3"/>
    <w:rsid w:val="1F071BF2"/>
    <w:rsid w:val="1F7807AF"/>
    <w:rsid w:val="1F84678C"/>
    <w:rsid w:val="20494258"/>
    <w:rsid w:val="20CD038D"/>
    <w:rsid w:val="22E407FC"/>
    <w:rsid w:val="244D504C"/>
    <w:rsid w:val="25FA0932"/>
    <w:rsid w:val="267B4F7B"/>
    <w:rsid w:val="27516D91"/>
    <w:rsid w:val="27C64204"/>
    <w:rsid w:val="27FB36A9"/>
    <w:rsid w:val="292759B7"/>
    <w:rsid w:val="2A5E5EFE"/>
    <w:rsid w:val="2B834348"/>
    <w:rsid w:val="2BDF2B87"/>
    <w:rsid w:val="2C4C2D5A"/>
    <w:rsid w:val="2C5348C6"/>
    <w:rsid w:val="2C960832"/>
    <w:rsid w:val="2D9303E8"/>
    <w:rsid w:val="2F4E5B3E"/>
    <w:rsid w:val="2F6C0952"/>
    <w:rsid w:val="30872DC6"/>
    <w:rsid w:val="31CE42C2"/>
    <w:rsid w:val="32206F1C"/>
    <w:rsid w:val="325F7434"/>
    <w:rsid w:val="33270F11"/>
    <w:rsid w:val="338866CE"/>
    <w:rsid w:val="33AB1655"/>
    <w:rsid w:val="352510D3"/>
    <w:rsid w:val="35F603FE"/>
    <w:rsid w:val="378B4256"/>
    <w:rsid w:val="37D14386"/>
    <w:rsid w:val="390C6629"/>
    <w:rsid w:val="397D0F89"/>
    <w:rsid w:val="3B977B51"/>
    <w:rsid w:val="3BF044EF"/>
    <w:rsid w:val="3C111A19"/>
    <w:rsid w:val="3C546447"/>
    <w:rsid w:val="3D255ECD"/>
    <w:rsid w:val="3D8D4648"/>
    <w:rsid w:val="3DC7A387"/>
    <w:rsid w:val="3E3C19A0"/>
    <w:rsid w:val="3EBFDBCE"/>
    <w:rsid w:val="3EEB6DA8"/>
    <w:rsid w:val="3F0C7760"/>
    <w:rsid w:val="3F956FD2"/>
    <w:rsid w:val="40F47857"/>
    <w:rsid w:val="413941A3"/>
    <w:rsid w:val="416E4E29"/>
    <w:rsid w:val="42CF53BE"/>
    <w:rsid w:val="43FA7F9A"/>
    <w:rsid w:val="446A6D5C"/>
    <w:rsid w:val="44C904C1"/>
    <w:rsid w:val="4705453C"/>
    <w:rsid w:val="470C0912"/>
    <w:rsid w:val="479A1A05"/>
    <w:rsid w:val="48121DDA"/>
    <w:rsid w:val="4941303B"/>
    <w:rsid w:val="49866B1B"/>
    <w:rsid w:val="49BE7C7D"/>
    <w:rsid w:val="4A163D50"/>
    <w:rsid w:val="4A9B75FD"/>
    <w:rsid w:val="4AA0786D"/>
    <w:rsid w:val="4ADA02F6"/>
    <w:rsid w:val="4B787A7D"/>
    <w:rsid w:val="4C18236E"/>
    <w:rsid w:val="4C79319F"/>
    <w:rsid w:val="4CB35357"/>
    <w:rsid w:val="4D25749E"/>
    <w:rsid w:val="4DBF26D1"/>
    <w:rsid w:val="4ECF01B9"/>
    <w:rsid w:val="4EFD0F4F"/>
    <w:rsid w:val="4F720525"/>
    <w:rsid w:val="509E3350"/>
    <w:rsid w:val="50A10D05"/>
    <w:rsid w:val="50C70828"/>
    <w:rsid w:val="510A04B8"/>
    <w:rsid w:val="510D6E54"/>
    <w:rsid w:val="51D560E2"/>
    <w:rsid w:val="530649F7"/>
    <w:rsid w:val="53687D94"/>
    <w:rsid w:val="540A58E9"/>
    <w:rsid w:val="54886D3A"/>
    <w:rsid w:val="55060D95"/>
    <w:rsid w:val="55DC2777"/>
    <w:rsid w:val="568E1AED"/>
    <w:rsid w:val="56AB4841"/>
    <w:rsid w:val="56C121D6"/>
    <w:rsid w:val="56C37ED6"/>
    <w:rsid w:val="574F58D6"/>
    <w:rsid w:val="57AB18BC"/>
    <w:rsid w:val="57D65A17"/>
    <w:rsid w:val="57DC7BCC"/>
    <w:rsid w:val="57F42B0E"/>
    <w:rsid w:val="58186F97"/>
    <w:rsid w:val="585206CF"/>
    <w:rsid w:val="58F94086"/>
    <w:rsid w:val="594106CD"/>
    <w:rsid w:val="5965399B"/>
    <w:rsid w:val="59FF79AE"/>
    <w:rsid w:val="5A062F3F"/>
    <w:rsid w:val="5A7C66EA"/>
    <w:rsid w:val="5BED31E5"/>
    <w:rsid w:val="5CA70075"/>
    <w:rsid w:val="5D3A5B7A"/>
    <w:rsid w:val="5D5079C7"/>
    <w:rsid w:val="5F676DAB"/>
    <w:rsid w:val="5FFB4B3F"/>
    <w:rsid w:val="6062696C"/>
    <w:rsid w:val="606D05C4"/>
    <w:rsid w:val="60D23614"/>
    <w:rsid w:val="60FE4879"/>
    <w:rsid w:val="61130ED3"/>
    <w:rsid w:val="61A86F03"/>
    <w:rsid w:val="620174D7"/>
    <w:rsid w:val="621D3D14"/>
    <w:rsid w:val="626F7626"/>
    <w:rsid w:val="62A7254E"/>
    <w:rsid w:val="632366B5"/>
    <w:rsid w:val="632E2937"/>
    <w:rsid w:val="647829F1"/>
    <w:rsid w:val="64E54869"/>
    <w:rsid w:val="64FF0843"/>
    <w:rsid w:val="65104542"/>
    <w:rsid w:val="652A4A2D"/>
    <w:rsid w:val="655711A7"/>
    <w:rsid w:val="65CE1B16"/>
    <w:rsid w:val="66DB514B"/>
    <w:rsid w:val="67180649"/>
    <w:rsid w:val="68831666"/>
    <w:rsid w:val="68ED769B"/>
    <w:rsid w:val="69242AF9"/>
    <w:rsid w:val="69CB3420"/>
    <w:rsid w:val="69DF44BF"/>
    <w:rsid w:val="69E74323"/>
    <w:rsid w:val="69ED0068"/>
    <w:rsid w:val="6B5A14D7"/>
    <w:rsid w:val="6BEB4E22"/>
    <w:rsid w:val="6C3E503D"/>
    <w:rsid w:val="6C4F27DD"/>
    <w:rsid w:val="6D87653E"/>
    <w:rsid w:val="6EB507BB"/>
    <w:rsid w:val="6EFFB9B3"/>
    <w:rsid w:val="6F6C2B63"/>
    <w:rsid w:val="6FFBFE46"/>
    <w:rsid w:val="711E31C4"/>
    <w:rsid w:val="72144019"/>
    <w:rsid w:val="73B4478A"/>
    <w:rsid w:val="7618684D"/>
    <w:rsid w:val="762244E2"/>
    <w:rsid w:val="767F26F3"/>
    <w:rsid w:val="7737DB79"/>
    <w:rsid w:val="77B74840"/>
    <w:rsid w:val="783D43D3"/>
    <w:rsid w:val="7867742D"/>
    <w:rsid w:val="78D03E42"/>
    <w:rsid w:val="797C5748"/>
    <w:rsid w:val="7A264E7B"/>
    <w:rsid w:val="7A510BE6"/>
    <w:rsid w:val="7A9E5067"/>
    <w:rsid w:val="7B5D17C1"/>
    <w:rsid w:val="7C13614C"/>
    <w:rsid w:val="7C99137B"/>
    <w:rsid w:val="7CEA3806"/>
    <w:rsid w:val="7D2A7E1A"/>
    <w:rsid w:val="7E6567FC"/>
    <w:rsid w:val="7E947EBC"/>
    <w:rsid w:val="7EEF51A1"/>
    <w:rsid w:val="7F2C1EBE"/>
    <w:rsid w:val="7F5964A8"/>
    <w:rsid w:val="7FE0129B"/>
    <w:rsid w:val="A7EF0E08"/>
    <w:rsid w:val="D6FC7B0D"/>
    <w:rsid w:val="F3BB406D"/>
    <w:rsid w:val="FC6D8386"/>
    <w:rsid w:val="FEDFDB87"/>
    <w:rsid w:val="FFBFE70D"/>
    <w:rsid w:val="FFCB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semiHidden/>
    <w:unhideWhenUsed/>
    <w:qFormat/>
    <w:uiPriority w:val="99"/>
    <w:pPr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unhideWhenUsed/>
    <w:qFormat/>
    <w:uiPriority w:val="99"/>
    <w:rPr>
      <w:rFonts w:hint="default"/>
      <w:b/>
      <w:sz w:val="24"/>
      <w:szCs w:val="24"/>
    </w:rPr>
  </w:style>
  <w:style w:type="paragraph" w:customStyle="1" w:styleId="9">
    <w:name w:val="首行缩进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2026-08-05T04:28:00Z</dcterms:created>
  <dc:creator>RSK</dc:creator>
  <cp:lastModifiedBy>RSK</cp:lastModifiedBy>
  <cp:lastPrinted>2026-10-19T05:06:34Z</cp:lastPrinted>
  <dcterms:modified xsi:type="dcterms:W3CDTF">2026-10-19T05:13:14Z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8205879DFEAE4617876DAFA480778023_13</vt:lpwstr>
  </property>
</Properties>
</file>