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hint="eastAsia" w:ascii="宋体" w:hAnsi="宋体" w:eastAsia="宋体" w:cs="宋体"/>
          <w:sz w:val="44"/>
          <w:szCs w:val="44"/>
        </w:rPr>
      </w:pPr>
    </w:p>
    <w:p>
      <w:pPr>
        <w:widowControl/>
        <w:spacing w:line="600" w:lineRule="atLeast"/>
        <w:jc w:val="center"/>
        <w:rPr>
          <w:rFonts w:ascii="宋体" w:hAnsi="宋体" w:cs="宋体"/>
          <w:color w:val="525252"/>
          <w:kern w:val="0"/>
          <w:sz w:val="36"/>
          <w:szCs w:val="36"/>
        </w:rPr>
      </w:pPr>
      <w:bookmarkStart w:id="0" w:name="_GoBack"/>
      <w:r>
        <w:rPr>
          <w:rFonts w:hint="eastAsia" w:ascii="宋体" w:hAnsi="宋体" w:eastAsia="宋体" w:cs="宋体"/>
          <w:sz w:val="44"/>
          <w:szCs w:val="44"/>
        </w:rPr>
        <w:t>乌鲁木齐市文物保护管理办法</w:t>
      </w:r>
      <w:bookmarkEnd w:id="0"/>
    </w:p>
    <w:p>
      <w:pPr>
        <w:widowControl/>
        <w:spacing w:line="600" w:lineRule="atLeast"/>
        <w:ind w:firstLine="640"/>
        <w:jc w:val="left"/>
        <w:rPr>
          <w:rFonts w:ascii="宋体" w:hAnsi="宋体" w:cs="宋体"/>
          <w:color w:val="525252"/>
          <w:kern w:val="0"/>
          <w:sz w:val="11"/>
          <w:szCs w:val="11"/>
        </w:rPr>
      </w:pPr>
      <w:r>
        <w:rPr>
          <w:rFonts w:hint="eastAsia" w:ascii="仿宋_GB2312" w:hAnsi="宋体" w:eastAsia="仿宋_GB2312" w:cs="宋体"/>
          <w:color w:val="525252"/>
          <w:kern w:val="0"/>
          <w:sz w:val="32"/>
          <w:szCs w:val="32"/>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r>
        <w:rPr>
          <w:rFonts w:hint="eastAsia" w:ascii="楷体_GB2312" w:hAnsi="楷体_GB2312" w:eastAsia="楷体_GB2312" w:cs="楷体_GB2312"/>
          <w:i w:val="0"/>
          <w:caps w:val="0"/>
          <w:color w:val="333333"/>
          <w:spacing w:val="0"/>
          <w:sz w:val="32"/>
          <w:szCs w:val="32"/>
          <w:shd w:val="clear" w:color="auto" w:fill="FFFFFF"/>
          <w:lang w:val="en-US" w:eastAsia="zh-CN"/>
        </w:rPr>
        <w:t>(2012年1月7日市人民政府令第113号公布  自2012年2月15日起施行)</w:t>
      </w:r>
    </w:p>
    <w:p>
      <w:pPr>
        <w:widowControl/>
        <w:spacing w:line="540" w:lineRule="atLeast"/>
        <w:jc w:val="center"/>
        <w:rPr>
          <w:rFonts w:hint="eastAsia" w:ascii="宋体" w:hAnsi="宋体" w:cs="宋体"/>
          <w:color w:val="525252"/>
          <w:kern w:val="0"/>
          <w:sz w:val="28"/>
          <w:szCs w:val="28"/>
        </w:rPr>
      </w:pPr>
      <w:r>
        <w:rPr>
          <w:rFonts w:eastAsia="方正小标宋_GBK"/>
          <w:color w:val="525252"/>
          <w:kern w:val="0"/>
          <w:sz w:val="28"/>
          <w:szCs w:val="28"/>
        </w:rPr>
        <w:t> </w:t>
      </w:r>
    </w:p>
    <w:p>
      <w:pPr>
        <w:widowControl/>
        <w:spacing w:line="600" w:lineRule="atLeast"/>
        <w:ind w:firstLine="640"/>
        <w:jc w:val="left"/>
        <w:rPr>
          <w:rFonts w:ascii="宋体" w:hAnsi="宋体" w:cs="宋体"/>
          <w:color w:val="525252"/>
          <w:kern w:val="0"/>
          <w:sz w:val="32"/>
          <w:szCs w:val="32"/>
        </w:rPr>
      </w:pPr>
      <w:r>
        <w:rPr>
          <w:rFonts w:hint="eastAsia" w:ascii="黑体" w:hAnsi="黑体" w:eastAsia="黑体" w:cs="宋体"/>
          <w:color w:val="525252"/>
          <w:kern w:val="0"/>
          <w:sz w:val="32"/>
          <w:szCs w:val="32"/>
        </w:rPr>
        <w:t>第一条</w:t>
      </w:r>
      <w:r>
        <w:rPr>
          <w:rFonts w:hint="eastAsia" w:ascii="仿宋_GB2312" w:hAnsi="宋体" w:eastAsia="仿宋_GB2312" w:cs="宋体"/>
          <w:color w:val="525252"/>
          <w:kern w:val="0"/>
          <w:sz w:val="32"/>
          <w:szCs w:val="32"/>
        </w:rPr>
        <w:t>  为了加强对文物的保护与管理，继承优秀的历史文化遗产，根据《中华人民共和国文物保护法》、国务院《中华人民共和国文物保护法实施条例》等法律法规，结合本市实际，制定本办法。</w:t>
      </w:r>
    </w:p>
    <w:p>
      <w:pPr>
        <w:widowControl/>
        <w:spacing w:line="600" w:lineRule="atLeast"/>
        <w:ind w:firstLine="640"/>
        <w:jc w:val="left"/>
        <w:rPr>
          <w:rFonts w:ascii="宋体" w:hAnsi="宋体" w:cs="宋体"/>
          <w:color w:val="525252"/>
          <w:kern w:val="0"/>
          <w:sz w:val="32"/>
          <w:szCs w:val="32"/>
        </w:rPr>
      </w:pPr>
      <w:r>
        <w:rPr>
          <w:rFonts w:hint="eastAsia" w:ascii="黑体" w:hAnsi="黑体" w:eastAsia="黑体" w:cs="宋体"/>
          <w:color w:val="525252"/>
          <w:kern w:val="0"/>
          <w:sz w:val="32"/>
          <w:szCs w:val="32"/>
        </w:rPr>
        <w:t>第二条</w:t>
      </w:r>
      <w:r>
        <w:rPr>
          <w:rFonts w:hint="eastAsia" w:ascii="仿宋_GB2312" w:hAnsi="宋体" w:eastAsia="仿宋_GB2312" w:cs="宋体"/>
          <w:color w:val="525252"/>
          <w:kern w:val="0"/>
          <w:sz w:val="32"/>
          <w:szCs w:val="32"/>
        </w:rPr>
        <w:t>  本市行政区域内的文物保护、管理和利用，适用本办法。</w:t>
      </w:r>
    </w:p>
    <w:p>
      <w:pPr>
        <w:widowControl/>
        <w:spacing w:line="600" w:lineRule="atLeast"/>
        <w:ind w:firstLine="640"/>
        <w:jc w:val="left"/>
        <w:rPr>
          <w:rFonts w:ascii="宋体" w:hAnsi="宋体" w:cs="宋体"/>
          <w:color w:val="525252"/>
          <w:kern w:val="0"/>
          <w:sz w:val="32"/>
          <w:szCs w:val="32"/>
        </w:rPr>
      </w:pPr>
      <w:r>
        <w:rPr>
          <w:rFonts w:hint="eastAsia" w:ascii="黑体" w:hAnsi="黑体" w:eastAsia="黑体" w:cs="宋体"/>
          <w:color w:val="525252"/>
          <w:kern w:val="0"/>
          <w:sz w:val="32"/>
          <w:szCs w:val="32"/>
        </w:rPr>
        <w:t>第三条</w:t>
      </w:r>
      <w:r>
        <w:rPr>
          <w:rFonts w:hint="eastAsia" w:ascii="仿宋_GB2312" w:hAnsi="宋体" w:eastAsia="仿宋_GB2312" w:cs="宋体"/>
          <w:color w:val="525252"/>
          <w:kern w:val="0"/>
          <w:sz w:val="32"/>
          <w:szCs w:val="32"/>
        </w:rPr>
        <w:t>  市、区（县）人民政府应当将文物保护纳入土地利用总体规划、城乡建设规划和旅游发展规划，并将文物保护事业所需经费列入财政预算。</w:t>
      </w:r>
    </w:p>
    <w:p>
      <w:pPr>
        <w:widowControl/>
        <w:spacing w:line="600" w:lineRule="atLeast"/>
        <w:ind w:firstLine="640"/>
        <w:jc w:val="left"/>
        <w:rPr>
          <w:rFonts w:ascii="宋体" w:hAnsi="宋体" w:cs="宋体"/>
          <w:color w:val="525252"/>
          <w:kern w:val="0"/>
          <w:sz w:val="32"/>
          <w:szCs w:val="32"/>
        </w:rPr>
      </w:pPr>
      <w:r>
        <w:rPr>
          <w:rFonts w:hint="eastAsia" w:ascii="黑体" w:hAnsi="黑体" w:eastAsia="黑体" w:cs="宋体"/>
          <w:color w:val="525252"/>
          <w:kern w:val="0"/>
          <w:sz w:val="32"/>
          <w:szCs w:val="32"/>
        </w:rPr>
        <w:t>第四条</w:t>
      </w:r>
      <w:r>
        <w:rPr>
          <w:rFonts w:hint="eastAsia" w:ascii="仿宋_GB2312" w:hAnsi="宋体" w:eastAsia="仿宋_GB2312" w:cs="宋体"/>
          <w:color w:val="525252"/>
          <w:kern w:val="0"/>
          <w:sz w:val="32"/>
          <w:szCs w:val="32"/>
        </w:rPr>
        <w:t>  市文物行政主管部门对全市文物保护实施统一监督管理。区（县）文物行政主管部门对本行政区域内的文物保护实施监督管理。</w:t>
      </w:r>
    </w:p>
    <w:p>
      <w:pPr>
        <w:widowControl/>
        <w:spacing w:line="600" w:lineRule="atLeast"/>
        <w:ind w:firstLine="640"/>
        <w:jc w:val="left"/>
        <w:rPr>
          <w:rFonts w:ascii="宋体" w:hAnsi="宋体" w:cs="宋体"/>
          <w:color w:val="525252"/>
          <w:kern w:val="0"/>
          <w:sz w:val="32"/>
          <w:szCs w:val="32"/>
        </w:rPr>
      </w:pPr>
      <w:r>
        <w:rPr>
          <w:rFonts w:hint="eastAsia" w:ascii="仿宋_GB2312" w:hAnsi="宋体" w:eastAsia="仿宋_GB2312" w:cs="宋体"/>
          <w:color w:val="525252"/>
          <w:kern w:val="0"/>
          <w:sz w:val="32"/>
          <w:szCs w:val="32"/>
        </w:rPr>
        <w:t>城乡规划、财政、建设、公安、国土资源、旅游、环保、民宗等部门在各自职责范围内，做好文物保护工作。</w:t>
      </w:r>
    </w:p>
    <w:p>
      <w:pPr>
        <w:widowControl/>
        <w:spacing w:line="600" w:lineRule="atLeast"/>
        <w:ind w:firstLine="640"/>
        <w:jc w:val="left"/>
        <w:rPr>
          <w:rFonts w:ascii="宋体" w:hAnsi="宋体" w:cs="宋体"/>
          <w:color w:val="525252"/>
          <w:kern w:val="0"/>
          <w:sz w:val="32"/>
          <w:szCs w:val="32"/>
        </w:rPr>
      </w:pPr>
      <w:r>
        <w:rPr>
          <w:rFonts w:hint="eastAsia" w:ascii="黑体" w:hAnsi="黑体" w:eastAsia="黑体" w:cs="宋体"/>
          <w:color w:val="525252"/>
          <w:kern w:val="0"/>
          <w:sz w:val="32"/>
          <w:szCs w:val="32"/>
        </w:rPr>
        <w:t>第五条</w:t>
      </w:r>
      <w:r>
        <w:rPr>
          <w:rFonts w:hint="eastAsia" w:ascii="仿宋_GB2312" w:hAnsi="宋体" w:eastAsia="仿宋_GB2312" w:cs="宋体"/>
          <w:color w:val="525252"/>
          <w:kern w:val="0"/>
          <w:sz w:val="32"/>
          <w:szCs w:val="32"/>
        </w:rPr>
        <w:t>  市人民政府在组织编制城乡建设规划时，应当根据文物保护需要，事先由城乡规划行政主管部门会同文物行政主管部门商定对本行政区域内各级文物保护单位的保护措施，并纳入规划。</w:t>
      </w:r>
    </w:p>
    <w:p>
      <w:pPr>
        <w:widowControl/>
        <w:spacing w:line="600" w:lineRule="atLeast"/>
        <w:ind w:firstLine="640"/>
        <w:jc w:val="left"/>
        <w:rPr>
          <w:rFonts w:ascii="宋体" w:hAnsi="宋体" w:cs="宋体"/>
          <w:color w:val="525252"/>
          <w:kern w:val="0"/>
          <w:sz w:val="32"/>
          <w:szCs w:val="32"/>
        </w:rPr>
      </w:pPr>
      <w:r>
        <w:rPr>
          <w:rFonts w:hint="eastAsia" w:ascii="黑体" w:hAnsi="黑体" w:eastAsia="黑体" w:cs="宋体"/>
          <w:color w:val="525252"/>
          <w:kern w:val="0"/>
          <w:sz w:val="32"/>
          <w:szCs w:val="32"/>
        </w:rPr>
        <w:t>第六条</w:t>
      </w:r>
      <w:r>
        <w:rPr>
          <w:rFonts w:hint="eastAsia" w:ascii="仿宋_GB2312" w:hAnsi="宋体" w:eastAsia="仿宋_GB2312" w:cs="宋体"/>
          <w:color w:val="525252"/>
          <w:kern w:val="0"/>
          <w:sz w:val="32"/>
          <w:szCs w:val="32"/>
        </w:rPr>
        <w:t>  市级和区（县）级文物保护单位分别由市、区（县）人民政府核定公布。尚未核定公布为文物保护单位的不可移动文物，由区（县）文物行政主管部门予以登记并公布。</w:t>
      </w:r>
    </w:p>
    <w:p>
      <w:pPr>
        <w:widowControl/>
        <w:spacing w:line="600" w:lineRule="atLeast"/>
        <w:ind w:firstLine="640"/>
        <w:jc w:val="left"/>
        <w:rPr>
          <w:rFonts w:ascii="宋体" w:hAnsi="宋体" w:cs="宋体"/>
          <w:color w:val="525252"/>
          <w:kern w:val="0"/>
          <w:sz w:val="32"/>
          <w:szCs w:val="32"/>
        </w:rPr>
      </w:pPr>
      <w:r>
        <w:rPr>
          <w:rFonts w:hint="eastAsia" w:ascii="黑体" w:hAnsi="黑体" w:eastAsia="黑体" w:cs="宋体"/>
          <w:color w:val="525252"/>
          <w:kern w:val="0"/>
          <w:sz w:val="32"/>
          <w:szCs w:val="32"/>
        </w:rPr>
        <w:t>第七条</w:t>
      </w:r>
      <w:r>
        <w:rPr>
          <w:rFonts w:hint="eastAsia" w:ascii="宋体" w:hAnsi="宋体" w:cs="宋体"/>
          <w:color w:val="525252"/>
          <w:kern w:val="0"/>
          <w:sz w:val="32"/>
          <w:szCs w:val="32"/>
        </w:rPr>
        <w:t>  </w:t>
      </w:r>
      <w:r>
        <w:rPr>
          <w:rFonts w:hint="eastAsia" w:ascii="仿宋_GB2312" w:hAnsi="宋体" w:eastAsia="仿宋_GB2312" w:cs="宋体"/>
          <w:color w:val="525252"/>
          <w:kern w:val="0"/>
          <w:sz w:val="32"/>
          <w:szCs w:val="32"/>
        </w:rPr>
        <w:t>市级和区（县）级文物保护单位自核定公布之日起１年内，分别由市、区（县）人民政府划定保护范围，作出标志说明，建立记录档案，设置专门机构或者指定专人负责管理。</w:t>
      </w:r>
    </w:p>
    <w:p>
      <w:pPr>
        <w:widowControl/>
        <w:spacing w:line="600" w:lineRule="atLeast"/>
        <w:ind w:firstLine="640"/>
        <w:jc w:val="left"/>
        <w:rPr>
          <w:rFonts w:ascii="宋体" w:hAnsi="宋体" w:cs="宋体"/>
          <w:color w:val="525252"/>
          <w:kern w:val="0"/>
          <w:sz w:val="32"/>
          <w:szCs w:val="32"/>
        </w:rPr>
      </w:pPr>
      <w:r>
        <w:rPr>
          <w:rFonts w:hint="eastAsia" w:ascii="黑体" w:hAnsi="黑体" w:eastAsia="黑体" w:cs="宋体"/>
          <w:color w:val="525252"/>
          <w:kern w:val="0"/>
          <w:sz w:val="32"/>
          <w:szCs w:val="32"/>
        </w:rPr>
        <w:t>第八条</w:t>
      </w:r>
      <w:r>
        <w:rPr>
          <w:rFonts w:hint="eastAsia" w:ascii="仿宋_GB2312" w:hAnsi="宋体" w:eastAsia="仿宋_GB2312" w:cs="宋体"/>
          <w:color w:val="525252"/>
          <w:kern w:val="0"/>
          <w:sz w:val="32"/>
          <w:szCs w:val="32"/>
        </w:rPr>
        <w:t>  依法划定的文物保护单位保护范围，由文物行政主管部门依法向国土资源行政主管部门申请办理土地登记手续。</w:t>
      </w:r>
    </w:p>
    <w:p>
      <w:pPr>
        <w:widowControl/>
        <w:spacing w:line="600" w:lineRule="atLeast"/>
        <w:ind w:firstLine="640"/>
        <w:jc w:val="left"/>
        <w:rPr>
          <w:rFonts w:ascii="宋体" w:hAnsi="宋体" w:cs="宋体"/>
          <w:color w:val="525252"/>
          <w:kern w:val="0"/>
          <w:sz w:val="32"/>
          <w:szCs w:val="32"/>
        </w:rPr>
      </w:pPr>
      <w:r>
        <w:rPr>
          <w:rFonts w:hint="eastAsia" w:ascii="黑体" w:hAnsi="黑体" w:eastAsia="黑体" w:cs="宋体"/>
          <w:color w:val="525252"/>
          <w:kern w:val="0"/>
          <w:sz w:val="32"/>
          <w:szCs w:val="32"/>
        </w:rPr>
        <w:t>第九条</w:t>
      </w:r>
      <w:r>
        <w:rPr>
          <w:rFonts w:hint="eastAsia" w:ascii="仿宋_GB2312" w:hAnsi="宋体" w:eastAsia="仿宋_GB2312" w:cs="宋体"/>
          <w:color w:val="525252"/>
          <w:kern w:val="0"/>
          <w:sz w:val="32"/>
          <w:szCs w:val="32"/>
        </w:rPr>
        <w:t>  在文物保护单位保护范围内，禁止进行可能影响文物保护单位安全及污染其环境的工程施工建设，禁止存放易燃、易爆和易腐蚀性的物品，禁止进行爆破、钻探、挖掘、采矿、取土、垦荒、放牧、修渠、筑路或其他可能影响文物安全的活动。因特殊情况确需进行工程建设或者爆破、钻探、挖掘等施工作业的，必须保证文物保护单位的安全，并依法办理相关报批手续。</w:t>
      </w:r>
    </w:p>
    <w:p>
      <w:pPr>
        <w:widowControl/>
        <w:spacing w:line="600" w:lineRule="atLeast"/>
        <w:ind w:firstLine="640"/>
        <w:jc w:val="left"/>
        <w:rPr>
          <w:rFonts w:ascii="宋体" w:hAnsi="宋体" w:cs="宋体"/>
          <w:color w:val="525252"/>
          <w:kern w:val="0"/>
          <w:sz w:val="32"/>
          <w:szCs w:val="32"/>
        </w:rPr>
      </w:pPr>
      <w:r>
        <w:rPr>
          <w:rFonts w:hint="eastAsia" w:ascii="黑体" w:hAnsi="黑体" w:eastAsia="黑体" w:cs="宋体"/>
          <w:color w:val="525252"/>
          <w:kern w:val="0"/>
          <w:sz w:val="32"/>
          <w:szCs w:val="32"/>
        </w:rPr>
        <w:t>第十条</w:t>
      </w:r>
      <w:r>
        <w:rPr>
          <w:rFonts w:hint="eastAsia" w:ascii="宋体" w:hAnsi="宋体" w:cs="宋体"/>
          <w:color w:val="525252"/>
          <w:kern w:val="0"/>
          <w:sz w:val="32"/>
          <w:szCs w:val="32"/>
        </w:rPr>
        <w:t>  </w:t>
      </w:r>
      <w:r>
        <w:rPr>
          <w:rFonts w:hint="eastAsia" w:ascii="仿宋_GB2312" w:hAnsi="宋体" w:eastAsia="仿宋_GB2312" w:cs="宋体"/>
          <w:color w:val="525252"/>
          <w:kern w:val="0"/>
          <w:sz w:val="32"/>
          <w:szCs w:val="32"/>
        </w:rPr>
        <w:t>市、区（县）人民政府根据文物保护需要，经依法批准，可以在文物保护单位周围划出一定的建设控制地带，并予以公布。</w:t>
      </w:r>
    </w:p>
    <w:p>
      <w:pPr>
        <w:widowControl/>
        <w:spacing w:line="600" w:lineRule="atLeast"/>
        <w:ind w:firstLine="640"/>
        <w:jc w:val="left"/>
        <w:rPr>
          <w:rFonts w:ascii="宋体" w:hAnsi="宋体" w:cs="宋体"/>
          <w:color w:val="525252"/>
          <w:kern w:val="0"/>
          <w:sz w:val="32"/>
          <w:szCs w:val="32"/>
        </w:rPr>
      </w:pPr>
      <w:r>
        <w:rPr>
          <w:rFonts w:hint="eastAsia" w:ascii="仿宋_GB2312" w:hAnsi="宋体" w:eastAsia="仿宋_GB2312" w:cs="宋体"/>
          <w:color w:val="525252"/>
          <w:kern w:val="0"/>
          <w:sz w:val="32"/>
          <w:szCs w:val="32"/>
        </w:rPr>
        <w:t>在文物保护单位的建设控制地带内进行工程建设，其工程设计方案应当根据文物保护单位级别，经相应的文物行政主管部门同意后，报城乡规划行政主管部门批准。</w:t>
      </w:r>
    </w:p>
    <w:p>
      <w:pPr>
        <w:widowControl/>
        <w:spacing w:line="600" w:lineRule="atLeast"/>
        <w:ind w:firstLine="640"/>
        <w:jc w:val="left"/>
        <w:rPr>
          <w:rFonts w:ascii="宋体" w:hAnsi="宋体" w:cs="宋体"/>
          <w:color w:val="525252"/>
          <w:kern w:val="0"/>
          <w:sz w:val="32"/>
          <w:szCs w:val="32"/>
        </w:rPr>
      </w:pPr>
      <w:r>
        <w:rPr>
          <w:rFonts w:hint="eastAsia" w:ascii="黑体" w:hAnsi="黑体" w:eastAsia="黑体" w:cs="宋体"/>
          <w:color w:val="525252"/>
          <w:kern w:val="0"/>
          <w:sz w:val="32"/>
          <w:szCs w:val="32"/>
        </w:rPr>
        <w:t>第十一条</w:t>
      </w:r>
      <w:r>
        <w:rPr>
          <w:rFonts w:hint="eastAsia" w:ascii="仿宋_GB2312" w:hAnsi="宋体" w:eastAsia="仿宋_GB2312" w:cs="宋体"/>
          <w:color w:val="525252"/>
          <w:kern w:val="0"/>
          <w:sz w:val="32"/>
          <w:szCs w:val="32"/>
        </w:rPr>
        <w:t>  在文物保护单位建设控制地带内，应当严格控制建设项目，不得修建对文物构成危害及破坏文物环境风貌的建筑物和构筑物。现有危害文物安全、破坏文物环境风貌的建筑物、构筑物，应当限期治理。</w:t>
      </w:r>
    </w:p>
    <w:p>
      <w:pPr>
        <w:widowControl/>
        <w:spacing w:line="600" w:lineRule="atLeast"/>
        <w:ind w:firstLine="640"/>
        <w:jc w:val="left"/>
        <w:rPr>
          <w:rFonts w:ascii="宋体" w:hAnsi="宋体" w:cs="宋体"/>
          <w:color w:val="525252"/>
          <w:kern w:val="0"/>
          <w:sz w:val="32"/>
          <w:szCs w:val="32"/>
        </w:rPr>
      </w:pPr>
      <w:r>
        <w:rPr>
          <w:rFonts w:hint="eastAsia" w:ascii="黑体" w:hAnsi="黑体" w:eastAsia="黑体" w:cs="宋体"/>
          <w:color w:val="525252"/>
          <w:kern w:val="0"/>
          <w:sz w:val="32"/>
          <w:szCs w:val="32"/>
        </w:rPr>
        <w:t>第十二条</w:t>
      </w:r>
      <w:r>
        <w:rPr>
          <w:rFonts w:hint="eastAsia" w:ascii="宋体" w:hAnsi="宋体" w:cs="宋体"/>
          <w:color w:val="525252"/>
          <w:kern w:val="0"/>
          <w:sz w:val="32"/>
          <w:szCs w:val="32"/>
        </w:rPr>
        <w:t>  </w:t>
      </w:r>
      <w:r>
        <w:rPr>
          <w:rFonts w:hint="eastAsia" w:ascii="仿宋_GB2312" w:hAnsi="宋体" w:eastAsia="仿宋_GB2312" w:cs="宋体"/>
          <w:color w:val="525252"/>
          <w:kern w:val="0"/>
          <w:sz w:val="32"/>
          <w:szCs w:val="32"/>
        </w:rPr>
        <w:t>国有不可移动文物由使用人负责修缮、保养；非国有不可移动文物由所有人负责修缮、保养。非国有不可移动文物有损毁危险，所有人不具备修缮能力的，所在地人民政府应当给予帮助；所有人具备修缮能力而拒不依法履行修缮义务的，所在地人民政府可以给予抢救修缮，所需费用由所有人承担。</w:t>
      </w:r>
    </w:p>
    <w:p>
      <w:pPr>
        <w:widowControl/>
        <w:spacing w:line="600" w:lineRule="atLeast"/>
        <w:ind w:firstLine="640"/>
        <w:jc w:val="left"/>
        <w:rPr>
          <w:rFonts w:ascii="宋体" w:hAnsi="宋体" w:cs="宋体"/>
          <w:color w:val="525252"/>
          <w:kern w:val="0"/>
          <w:sz w:val="32"/>
          <w:szCs w:val="32"/>
        </w:rPr>
      </w:pPr>
      <w:r>
        <w:rPr>
          <w:rFonts w:hint="eastAsia" w:ascii="黑体" w:hAnsi="黑体" w:eastAsia="黑体" w:cs="宋体"/>
          <w:color w:val="525252"/>
          <w:kern w:val="0"/>
          <w:sz w:val="32"/>
          <w:szCs w:val="32"/>
        </w:rPr>
        <w:t>第十三条</w:t>
      </w:r>
      <w:r>
        <w:rPr>
          <w:rFonts w:hint="eastAsia" w:ascii="仿宋_GB2312" w:hAnsi="宋体" w:eastAsia="仿宋_GB2312" w:cs="宋体"/>
          <w:color w:val="525252"/>
          <w:kern w:val="0"/>
          <w:sz w:val="32"/>
          <w:szCs w:val="32"/>
        </w:rPr>
        <w:t>  对文物保护单位进行修缮，应当根据文物保护单位的级别报相应的文物行政主管部门批准；对未核定为文物保护单位的不可移动文物进行修缮，应当报登记的区（县）文物行政主管部门批准。</w:t>
      </w:r>
    </w:p>
    <w:p>
      <w:pPr>
        <w:widowControl/>
        <w:spacing w:line="600" w:lineRule="atLeast"/>
        <w:ind w:firstLine="640"/>
        <w:jc w:val="left"/>
        <w:rPr>
          <w:rFonts w:ascii="宋体" w:hAnsi="宋体" w:cs="宋体"/>
          <w:color w:val="525252"/>
          <w:kern w:val="0"/>
          <w:sz w:val="32"/>
          <w:szCs w:val="32"/>
        </w:rPr>
      </w:pPr>
      <w:r>
        <w:rPr>
          <w:rFonts w:hint="eastAsia" w:ascii="仿宋_GB2312" w:hAnsi="宋体" w:eastAsia="仿宋_GB2312" w:cs="宋体"/>
          <w:color w:val="525252"/>
          <w:kern w:val="0"/>
          <w:sz w:val="32"/>
          <w:szCs w:val="32"/>
        </w:rPr>
        <w:t>文物保护单位的修缮、迁移、重建，由取得文物保护工程资质证书的单位承担。</w:t>
      </w:r>
    </w:p>
    <w:p>
      <w:pPr>
        <w:widowControl/>
        <w:spacing w:line="600" w:lineRule="atLeast"/>
        <w:ind w:firstLine="640"/>
        <w:jc w:val="left"/>
        <w:rPr>
          <w:rFonts w:ascii="宋体" w:hAnsi="宋体" w:cs="宋体"/>
          <w:color w:val="525252"/>
          <w:kern w:val="0"/>
          <w:sz w:val="32"/>
          <w:szCs w:val="32"/>
        </w:rPr>
      </w:pPr>
      <w:r>
        <w:rPr>
          <w:rFonts w:hint="eastAsia" w:ascii="黑体" w:hAnsi="黑体" w:eastAsia="黑体" w:cs="宋体"/>
          <w:color w:val="525252"/>
          <w:kern w:val="0"/>
          <w:sz w:val="32"/>
          <w:szCs w:val="32"/>
        </w:rPr>
        <w:t>第十四条</w:t>
      </w:r>
      <w:r>
        <w:rPr>
          <w:rFonts w:hint="eastAsia" w:ascii="仿宋_GB2312" w:hAnsi="宋体" w:eastAsia="仿宋_GB2312" w:cs="宋体"/>
          <w:color w:val="525252"/>
          <w:kern w:val="0"/>
          <w:sz w:val="32"/>
          <w:szCs w:val="32"/>
        </w:rPr>
        <w:t>  对不可移动文物进行修缮、保养、迁移，必须遵守不改变文物原状的原则。</w:t>
      </w:r>
    </w:p>
    <w:p>
      <w:pPr>
        <w:widowControl/>
        <w:spacing w:line="600" w:lineRule="atLeast"/>
        <w:ind w:firstLine="640"/>
        <w:jc w:val="left"/>
        <w:rPr>
          <w:rFonts w:ascii="宋体" w:hAnsi="宋体" w:cs="宋体"/>
          <w:color w:val="525252"/>
          <w:kern w:val="0"/>
          <w:sz w:val="32"/>
          <w:szCs w:val="32"/>
        </w:rPr>
      </w:pPr>
      <w:r>
        <w:rPr>
          <w:rFonts w:hint="eastAsia" w:ascii="黑体" w:hAnsi="黑体" w:eastAsia="黑体" w:cs="宋体"/>
          <w:color w:val="525252"/>
          <w:kern w:val="0"/>
          <w:sz w:val="32"/>
          <w:szCs w:val="32"/>
        </w:rPr>
        <w:t>第十五条</w:t>
      </w:r>
      <w:r>
        <w:rPr>
          <w:rFonts w:hint="eastAsia" w:ascii="仿宋_GB2312" w:hAnsi="宋体" w:eastAsia="仿宋_GB2312" w:cs="宋体"/>
          <w:color w:val="525252"/>
          <w:kern w:val="0"/>
          <w:sz w:val="32"/>
          <w:szCs w:val="32"/>
        </w:rPr>
        <w:t>  国有不可移动文物不得转让、抵押。建立博物馆、保管所或者辟为参观游览场所的国有文物保护单位，不得作为或者变相作为企业资产经营。</w:t>
      </w:r>
    </w:p>
    <w:p>
      <w:pPr>
        <w:widowControl/>
        <w:spacing w:line="600" w:lineRule="atLeast"/>
        <w:ind w:firstLine="640"/>
        <w:jc w:val="left"/>
        <w:rPr>
          <w:rFonts w:ascii="宋体" w:hAnsi="宋体" w:cs="宋体"/>
          <w:color w:val="525252"/>
          <w:kern w:val="0"/>
          <w:sz w:val="32"/>
          <w:szCs w:val="32"/>
        </w:rPr>
      </w:pPr>
      <w:r>
        <w:rPr>
          <w:rFonts w:hint="eastAsia" w:ascii="仿宋_GB2312" w:hAnsi="宋体" w:eastAsia="仿宋_GB2312" w:cs="宋体"/>
          <w:color w:val="525252"/>
          <w:kern w:val="0"/>
          <w:sz w:val="32"/>
          <w:szCs w:val="32"/>
        </w:rPr>
        <w:t>非国有不可移动文物不得转让、抵押给外国人。非国有不可移动文物转让、抵押或者改变用途的，应当根据其级别报相应的文物行政主管部门备案；由所在地人民政府出资帮助修缮的，应当报相应的文物行政主管部门批准。</w:t>
      </w:r>
    </w:p>
    <w:p>
      <w:pPr>
        <w:widowControl/>
        <w:spacing w:line="600" w:lineRule="atLeast"/>
        <w:ind w:firstLine="570"/>
        <w:jc w:val="left"/>
        <w:rPr>
          <w:rFonts w:ascii="宋体" w:hAnsi="宋体" w:cs="宋体"/>
          <w:color w:val="525252"/>
          <w:kern w:val="0"/>
          <w:sz w:val="32"/>
          <w:szCs w:val="32"/>
        </w:rPr>
      </w:pPr>
      <w:r>
        <w:rPr>
          <w:rFonts w:hint="eastAsia" w:ascii="黑体" w:hAnsi="黑体" w:eastAsia="黑体" w:cs="宋体"/>
          <w:color w:val="525252"/>
          <w:kern w:val="0"/>
          <w:sz w:val="32"/>
          <w:szCs w:val="32"/>
        </w:rPr>
        <w:t>第十六条</w:t>
      </w:r>
      <w:r>
        <w:rPr>
          <w:rFonts w:hint="eastAsia" w:ascii="仿宋_GB2312" w:hAnsi="宋体" w:eastAsia="仿宋_GB2312" w:cs="宋体"/>
          <w:color w:val="525252"/>
          <w:kern w:val="0"/>
          <w:sz w:val="32"/>
          <w:szCs w:val="32"/>
        </w:rPr>
        <w:t>  市、区（县）文物行政主管部门应当分别与市级和区（县）级文物保护单位使用人或者所有人签订文物保护责任书，依法明确其应享有的权利和应承担的义务。</w:t>
      </w:r>
    </w:p>
    <w:p>
      <w:pPr>
        <w:widowControl/>
        <w:spacing w:line="600" w:lineRule="atLeast"/>
        <w:ind w:firstLine="570"/>
        <w:jc w:val="left"/>
        <w:rPr>
          <w:rFonts w:ascii="宋体" w:hAnsi="宋体" w:cs="宋体"/>
          <w:color w:val="525252"/>
          <w:kern w:val="0"/>
          <w:sz w:val="32"/>
          <w:szCs w:val="32"/>
        </w:rPr>
      </w:pPr>
      <w:r>
        <w:rPr>
          <w:rFonts w:hint="eastAsia" w:ascii="黑体" w:hAnsi="黑体" w:eastAsia="黑体" w:cs="宋体"/>
          <w:color w:val="525252"/>
          <w:kern w:val="0"/>
          <w:sz w:val="32"/>
          <w:szCs w:val="32"/>
        </w:rPr>
        <w:t>第十七条</w:t>
      </w:r>
      <w:r>
        <w:rPr>
          <w:rFonts w:hint="eastAsia" w:ascii="宋体" w:hAnsi="宋体" w:cs="宋体"/>
          <w:color w:val="525252"/>
          <w:kern w:val="0"/>
          <w:sz w:val="32"/>
          <w:szCs w:val="32"/>
        </w:rPr>
        <w:t>  </w:t>
      </w:r>
      <w:r>
        <w:rPr>
          <w:rFonts w:hint="eastAsia" w:ascii="仿宋_GB2312" w:hAnsi="宋体" w:eastAsia="仿宋_GB2312" w:cs="宋体"/>
          <w:color w:val="525252"/>
          <w:kern w:val="0"/>
          <w:sz w:val="32"/>
          <w:szCs w:val="32"/>
        </w:rPr>
        <w:t>不可移动文物因使用人、所有人的使用严重影响文物保护的，根据文物保护需要，经与使用人、所有人协商一致，所在地人民政府可以置换或者购买该不可移动文物。</w:t>
      </w:r>
    </w:p>
    <w:p>
      <w:pPr>
        <w:widowControl/>
        <w:spacing w:line="600" w:lineRule="atLeast"/>
        <w:ind w:firstLine="570"/>
        <w:jc w:val="left"/>
        <w:rPr>
          <w:rFonts w:ascii="宋体" w:hAnsi="宋体" w:cs="宋体"/>
          <w:color w:val="525252"/>
          <w:kern w:val="0"/>
          <w:sz w:val="32"/>
          <w:szCs w:val="32"/>
        </w:rPr>
      </w:pPr>
      <w:r>
        <w:rPr>
          <w:rFonts w:hint="eastAsia" w:ascii="黑体" w:hAnsi="黑体" w:eastAsia="黑体" w:cs="宋体"/>
          <w:color w:val="525252"/>
          <w:kern w:val="0"/>
          <w:sz w:val="32"/>
          <w:szCs w:val="32"/>
        </w:rPr>
        <w:t>第十八条</w:t>
      </w:r>
      <w:r>
        <w:rPr>
          <w:rFonts w:hint="eastAsia" w:ascii="仿宋_GB2312" w:hAnsi="宋体" w:eastAsia="仿宋_GB2312" w:cs="宋体"/>
          <w:color w:val="525252"/>
          <w:kern w:val="0"/>
          <w:sz w:val="32"/>
          <w:szCs w:val="32"/>
        </w:rPr>
        <w:t>  在工程建设或者农牧业生产中，任何单位或者个人发现文物或者疑似文物的，应当停止作业，保护现场，立即向文物行政主管部门报告，文物行政主管部门接到报告后，应当在24小时内赶赴现场，并在7日内提出处理意见。</w:t>
      </w:r>
    </w:p>
    <w:p>
      <w:pPr>
        <w:widowControl/>
        <w:spacing w:line="600" w:lineRule="atLeast"/>
        <w:ind w:firstLine="570"/>
        <w:jc w:val="left"/>
        <w:rPr>
          <w:rFonts w:ascii="宋体" w:hAnsi="宋体" w:cs="宋体"/>
          <w:color w:val="525252"/>
          <w:kern w:val="0"/>
          <w:sz w:val="32"/>
          <w:szCs w:val="32"/>
        </w:rPr>
      </w:pPr>
      <w:r>
        <w:rPr>
          <w:rFonts w:hint="eastAsia" w:ascii="仿宋_GB2312" w:hAnsi="宋体" w:eastAsia="仿宋_GB2312" w:cs="宋体"/>
          <w:color w:val="525252"/>
          <w:kern w:val="0"/>
          <w:sz w:val="32"/>
          <w:szCs w:val="32"/>
        </w:rPr>
        <w:t>任何单位或者个人不得哄抢、私分、藏匿或者故意损毁文物。</w:t>
      </w:r>
    </w:p>
    <w:p>
      <w:pPr>
        <w:widowControl/>
        <w:spacing w:line="600" w:lineRule="atLeast"/>
        <w:ind w:firstLine="570"/>
        <w:jc w:val="left"/>
        <w:rPr>
          <w:rFonts w:ascii="宋体" w:hAnsi="宋体" w:cs="宋体"/>
          <w:color w:val="525252"/>
          <w:kern w:val="0"/>
          <w:sz w:val="32"/>
          <w:szCs w:val="32"/>
        </w:rPr>
      </w:pPr>
      <w:r>
        <w:rPr>
          <w:rFonts w:hint="eastAsia" w:ascii="黑体" w:hAnsi="黑体" w:eastAsia="黑体" w:cs="宋体"/>
          <w:color w:val="525252"/>
          <w:kern w:val="0"/>
          <w:sz w:val="32"/>
          <w:szCs w:val="32"/>
        </w:rPr>
        <w:t>第十九条</w:t>
      </w:r>
      <w:r>
        <w:rPr>
          <w:rFonts w:hint="eastAsia" w:ascii="宋体" w:hAnsi="宋体" w:cs="宋体"/>
          <w:color w:val="525252"/>
          <w:kern w:val="0"/>
          <w:sz w:val="32"/>
          <w:szCs w:val="32"/>
        </w:rPr>
        <w:t>  </w:t>
      </w:r>
      <w:r>
        <w:rPr>
          <w:rFonts w:hint="eastAsia" w:ascii="仿宋_GB2312" w:hAnsi="宋体" w:eastAsia="仿宋_GB2312" w:cs="宋体"/>
          <w:color w:val="525252"/>
          <w:kern w:val="0"/>
          <w:sz w:val="32"/>
          <w:szCs w:val="32"/>
        </w:rPr>
        <w:t>博物馆及其他文物收藏单位应当建立健全藏品收藏、保护、研究以及展示制度，并建立藏品总账、分类账及藏品档案。</w:t>
      </w:r>
    </w:p>
    <w:p>
      <w:pPr>
        <w:widowControl/>
        <w:spacing w:line="600" w:lineRule="atLeast"/>
        <w:ind w:firstLine="570"/>
        <w:jc w:val="left"/>
        <w:rPr>
          <w:rFonts w:ascii="宋体" w:hAnsi="宋体" w:cs="宋体"/>
          <w:color w:val="525252"/>
          <w:kern w:val="0"/>
          <w:sz w:val="32"/>
          <w:szCs w:val="32"/>
        </w:rPr>
      </w:pPr>
      <w:r>
        <w:rPr>
          <w:rFonts w:hint="eastAsia" w:ascii="黑体" w:hAnsi="黑体" w:eastAsia="黑体" w:cs="宋体"/>
          <w:color w:val="525252"/>
          <w:kern w:val="0"/>
          <w:sz w:val="32"/>
          <w:szCs w:val="32"/>
        </w:rPr>
        <w:t>第二十条</w:t>
      </w:r>
      <w:r>
        <w:rPr>
          <w:rFonts w:hint="eastAsia" w:ascii="仿宋_GB2312" w:hAnsi="宋体" w:eastAsia="仿宋_GB2312" w:cs="宋体"/>
          <w:color w:val="525252"/>
          <w:kern w:val="0"/>
          <w:sz w:val="32"/>
          <w:szCs w:val="32"/>
        </w:rPr>
        <w:t>  博物馆及其他文物收藏单位应当建立健全安全保卫制度，配备防火、防盗、防自然损坏的设备、设施。馆藏一级文物和其他易损易坏的珍贵文物，应当设立专库或者专柜，并由专人负责保管。</w:t>
      </w:r>
    </w:p>
    <w:p>
      <w:pPr>
        <w:widowControl/>
        <w:spacing w:line="600" w:lineRule="atLeast"/>
        <w:ind w:firstLine="570"/>
        <w:jc w:val="left"/>
        <w:rPr>
          <w:rFonts w:ascii="宋体" w:hAnsi="宋体" w:cs="宋体"/>
          <w:color w:val="525252"/>
          <w:kern w:val="0"/>
          <w:sz w:val="32"/>
          <w:szCs w:val="32"/>
        </w:rPr>
      </w:pPr>
      <w:r>
        <w:rPr>
          <w:rFonts w:hint="eastAsia" w:ascii="黑体" w:hAnsi="黑体" w:eastAsia="黑体" w:cs="宋体"/>
          <w:color w:val="525252"/>
          <w:kern w:val="0"/>
          <w:sz w:val="32"/>
          <w:szCs w:val="32"/>
        </w:rPr>
        <w:t>第二十一条</w:t>
      </w:r>
      <w:r>
        <w:rPr>
          <w:rFonts w:hint="eastAsia" w:ascii="仿宋_GB2312" w:hAnsi="宋体" w:eastAsia="仿宋_GB2312" w:cs="宋体"/>
          <w:color w:val="525252"/>
          <w:kern w:val="0"/>
          <w:sz w:val="32"/>
          <w:szCs w:val="32"/>
        </w:rPr>
        <w:t>  博物馆及其他文物收藏单位应当充分发挥馆藏文物的作用，通过举办展览、科学研究等活动，加强对中华民族优秀的历史文化和革命传统的宣传教育。</w:t>
      </w:r>
    </w:p>
    <w:p>
      <w:pPr>
        <w:widowControl/>
        <w:spacing w:line="600" w:lineRule="atLeast"/>
        <w:ind w:firstLine="570"/>
        <w:jc w:val="left"/>
        <w:rPr>
          <w:rFonts w:ascii="宋体" w:hAnsi="宋体" w:cs="宋体"/>
          <w:color w:val="525252"/>
          <w:kern w:val="0"/>
          <w:sz w:val="32"/>
          <w:szCs w:val="32"/>
        </w:rPr>
      </w:pPr>
      <w:r>
        <w:rPr>
          <w:rFonts w:hint="eastAsia" w:ascii="黑体" w:hAnsi="黑体" w:eastAsia="黑体" w:cs="宋体"/>
          <w:color w:val="525252"/>
          <w:kern w:val="0"/>
          <w:sz w:val="32"/>
          <w:szCs w:val="32"/>
        </w:rPr>
        <w:t>第二十二条</w:t>
      </w:r>
      <w:r>
        <w:rPr>
          <w:rFonts w:hint="eastAsia" w:ascii="仿宋_GB2312" w:hAnsi="宋体" w:eastAsia="仿宋_GB2312" w:cs="宋体"/>
          <w:color w:val="525252"/>
          <w:kern w:val="0"/>
          <w:sz w:val="32"/>
          <w:szCs w:val="32"/>
        </w:rPr>
        <w:t>  向公众开放的文物保护单位，其管理机构应当根据文物的性状，实行旅游者、利用者容量控制制度，科学核定游客数量，避免过度利用，确保文物本体及其环境安全；存在安全隐患的，应当限制或者禁止参观。</w:t>
      </w:r>
    </w:p>
    <w:p>
      <w:pPr>
        <w:widowControl/>
        <w:spacing w:line="600" w:lineRule="atLeast"/>
        <w:ind w:firstLine="570"/>
        <w:jc w:val="left"/>
        <w:rPr>
          <w:rFonts w:ascii="宋体" w:hAnsi="宋体" w:cs="宋体"/>
          <w:color w:val="525252"/>
          <w:kern w:val="0"/>
          <w:sz w:val="32"/>
          <w:szCs w:val="32"/>
        </w:rPr>
      </w:pPr>
      <w:r>
        <w:rPr>
          <w:rFonts w:hint="eastAsia" w:ascii="黑体" w:hAnsi="黑体" w:eastAsia="黑体" w:cs="宋体"/>
          <w:color w:val="525252"/>
          <w:kern w:val="0"/>
          <w:sz w:val="32"/>
          <w:szCs w:val="32"/>
        </w:rPr>
        <w:t>第二十三条</w:t>
      </w:r>
      <w:r>
        <w:rPr>
          <w:rFonts w:hint="eastAsia" w:ascii="仿宋_GB2312" w:hAnsi="宋体" w:eastAsia="仿宋_GB2312" w:cs="宋体"/>
          <w:color w:val="525252"/>
          <w:kern w:val="0"/>
          <w:sz w:val="32"/>
          <w:szCs w:val="32"/>
        </w:rPr>
        <w:t>  属于不可移动文物的宗教活动场所应当遵守文物保护法律法规和规章的规定，确保文物安全，所在地文物行政主管部门应当加强对文物保护和文物利用的监督管理。</w:t>
      </w:r>
    </w:p>
    <w:p>
      <w:pPr>
        <w:widowControl/>
        <w:spacing w:line="600" w:lineRule="atLeast"/>
        <w:ind w:firstLine="570"/>
        <w:jc w:val="left"/>
        <w:rPr>
          <w:rFonts w:ascii="宋体" w:hAnsi="宋体" w:cs="宋体"/>
          <w:color w:val="525252"/>
          <w:kern w:val="0"/>
          <w:sz w:val="32"/>
          <w:szCs w:val="32"/>
        </w:rPr>
      </w:pPr>
      <w:r>
        <w:rPr>
          <w:rFonts w:hint="eastAsia" w:ascii="黑体" w:hAnsi="黑体" w:eastAsia="黑体" w:cs="宋体"/>
          <w:color w:val="525252"/>
          <w:kern w:val="0"/>
          <w:sz w:val="32"/>
          <w:szCs w:val="32"/>
        </w:rPr>
        <w:t>第二十四条</w:t>
      </w:r>
      <w:r>
        <w:rPr>
          <w:rFonts w:hint="eastAsia" w:ascii="仿宋_GB2312" w:hAnsi="宋体" w:eastAsia="仿宋_GB2312" w:cs="宋体"/>
          <w:color w:val="525252"/>
          <w:kern w:val="0"/>
          <w:sz w:val="32"/>
          <w:szCs w:val="32"/>
        </w:rPr>
        <w:t>  制作出版物、影视片、音像制品或者兴办大型活动等需要拍摄国有文物的，应当依法办理审批手续，并按国家有关规定交纳文物补偿费用。</w:t>
      </w:r>
    </w:p>
    <w:p>
      <w:pPr>
        <w:widowControl/>
        <w:spacing w:line="600" w:lineRule="atLeast"/>
        <w:ind w:firstLine="570"/>
        <w:jc w:val="left"/>
        <w:rPr>
          <w:rFonts w:ascii="宋体" w:hAnsi="宋体" w:cs="宋体"/>
          <w:color w:val="525252"/>
          <w:kern w:val="0"/>
          <w:sz w:val="32"/>
          <w:szCs w:val="32"/>
        </w:rPr>
      </w:pPr>
      <w:r>
        <w:rPr>
          <w:rFonts w:hint="eastAsia" w:ascii="黑体" w:hAnsi="黑体" w:eastAsia="黑体" w:cs="宋体"/>
          <w:color w:val="525252"/>
          <w:kern w:val="0"/>
          <w:sz w:val="32"/>
          <w:szCs w:val="32"/>
        </w:rPr>
        <w:t>第二十五条</w:t>
      </w:r>
      <w:r>
        <w:rPr>
          <w:rFonts w:hint="eastAsia" w:ascii="仿宋_GB2312" w:hAnsi="宋体" w:eastAsia="仿宋_GB2312" w:cs="宋体"/>
          <w:color w:val="525252"/>
          <w:kern w:val="0"/>
          <w:sz w:val="32"/>
          <w:szCs w:val="32"/>
        </w:rPr>
        <w:t>  有下列行为之一，尚不构成犯罪的，由市文物行政主管部门责令改正，造成严重后果的，处五万元以上五十万元以下的罚款；情节严重的，由原发证机关吊销资质证书：</w:t>
      </w:r>
    </w:p>
    <w:p>
      <w:pPr>
        <w:widowControl/>
        <w:spacing w:line="600" w:lineRule="atLeast"/>
        <w:ind w:firstLine="570"/>
        <w:jc w:val="left"/>
        <w:rPr>
          <w:rFonts w:ascii="宋体" w:hAnsi="宋体" w:cs="宋体"/>
          <w:color w:val="525252"/>
          <w:kern w:val="0"/>
          <w:sz w:val="32"/>
          <w:szCs w:val="32"/>
        </w:rPr>
      </w:pPr>
      <w:r>
        <w:rPr>
          <w:rFonts w:hint="eastAsia" w:ascii="仿宋_GB2312" w:hAnsi="宋体" w:eastAsia="仿宋_GB2312" w:cs="宋体"/>
          <w:color w:val="525252"/>
          <w:kern w:val="0"/>
          <w:sz w:val="32"/>
          <w:szCs w:val="32"/>
        </w:rPr>
        <w:t>（一）擅自在文物保护单位的保护范围内进行建设工程或者爆破、钻探、挖掘等作业的；</w:t>
      </w:r>
    </w:p>
    <w:p>
      <w:pPr>
        <w:widowControl/>
        <w:spacing w:line="600" w:lineRule="atLeast"/>
        <w:ind w:firstLine="570"/>
        <w:jc w:val="left"/>
        <w:rPr>
          <w:rFonts w:ascii="宋体" w:hAnsi="宋体" w:cs="宋体"/>
          <w:color w:val="525252"/>
          <w:kern w:val="0"/>
          <w:sz w:val="32"/>
          <w:szCs w:val="32"/>
        </w:rPr>
      </w:pPr>
      <w:r>
        <w:rPr>
          <w:rFonts w:hint="eastAsia" w:ascii="仿宋_GB2312" w:hAnsi="宋体" w:eastAsia="仿宋_GB2312" w:cs="宋体"/>
          <w:color w:val="525252"/>
          <w:kern w:val="0"/>
          <w:sz w:val="32"/>
          <w:szCs w:val="32"/>
        </w:rPr>
        <w:t>（二）在文物保护单位的建设控制地带内进行建设工程，其工程设计方案未经文物行政主管部门同意、报城乡规划行政主管部门批准，对文物保护单位的历史风貌造成破坏的；</w:t>
      </w:r>
    </w:p>
    <w:p>
      <w:pPr>
        <w:widowControl/>
        <w:spacing w:line="600" w:lineRule="atLeast"/>
        <w:ind w:firstLine="570"/>
        <w:jc w:val="left"/>
        <w:rPr>
          <w:rFonts w:ascii="宋体" w:hAnsi="宋体" w:cs="宋体"/>
          <w:color w:val="525252"/>
          <w:kern w:val="0"/>
          <w:sz w:val="32"/>
          <w:szCs w:val="32"/>
        </w:rPr>
      </w:pPr>
      <w:r>
        <w:rPr>
          <w:rFonts w:hint="eastAsia" w:ascii="仿宋_GB2312" w:hAnsi="宋体" w:eastAsia="仿宋_GB2312" w:cs="宋体"/>
          <w:color w:val="525252"/>
          <w:kern w:val="0"/>
          <w:sz w:val="32"/>
          <w:szCs w:val="32"/>
        </w:rPr>
        <w:t>（三）擅自迁移、拆除不可移动文物的；</w:t>
      </w:r>
    </w:p>
    <w:p>
      <w:pPr>
        <w:widowControl/>
        <w:spacing w:line="600" w:lineRule="atLeast"/>
        <w:ind w:firstLine="570"/>
        <w:jc w:val="left"/>
        <w:rPr>
          <w:rFonts w:ascii="宋体" w:hAnsi="宋体" w:cs="宋体"/>
          <w:color w:val="525252"/>
          <w:kern w:val="0"/>
          <w:sz w:val="32"/>
          <w:szCs w:val="32"/>
        </w:rPr>
      </w:pPr>
      <w:r>
        <w:rPr>
          <w:rFonts w:hint="eastAsia" w:ascii="仿宋_GB2312" w:hAnsi="宋体" w:eastAsia="仿宋_GB2312" w:cs="宋体"/>
          <w:color w:val="525252"/>
          <w:kern w:val="0"/>
          <w:sz w:val="32"/>
          <w:szCs w:val="32"/>
        </w:rPr>
        <w:t>（四）擅自修缮不可移动文物，明显改变文物原状的；</w:t>
      </w:r>
    </w:p>
    <w:p>
      <w:pPr>
        <w:widowControl/>
        <w:spacing w:line="600" w:lineRule="atLeast"/>
        <w:ind w:firstLine="570"/>
        <w:jc w:val="left"/>
        <w:rPr>
          <w:rFonts w:ascii="宋体" w:hAnsi="宋体" w:cs="宋体"/>
          <w:color w:val="525252"/>
          <w:kern w:val="0"/>
          <w:sz w:val="32"/>
          <w:szCs w:val="32"/>
        </w:rPr>
      </w:pPr>
      <w:r>
        <w:rPr>
          <w:rFonts w:hint="eastAsia" w:ascii="仿宋_GB2312" w:hAnsi="宋体" w:eastAsia="仿宋_GB2312" w:cs="宋体"/>
          <w:color w:val="525252"/>
          <w:kern w:val="0"/>
          <w:sz w:val="32"/>
          <w:szCs w:val="32"/>
        </w:rPr>
        <w:t>（五）擅自在原址重建已全部毁坏的不可移动文物，造成文物破坏的；</w:t>
      </w:r>
    </w:p>
    <w:p>
      <w:pPr>
        <w:widowControl/>
        <w:spacing w:line="600" w:lineRule="atLeast"/>
        <w:ind w:firstLine="570"/>
        <w:jc w:val="left"/>
        <w:rPr>
          <w:rFonts w:ascii="宋体" w:hAnsi="宋体" w:cs="宋体"/>
          <w:color w:val="525252"/>
          <w:kern w:val="0"/>
          <w:sz w:val="32"/>
          <w:szCs w:val="32"/>
        </w:rPr>
      </w:pPr>
      <w:r>
        <w:rPr>
          <w:rFonts w:hint="eastAsia" w:ascii="仿宋_GB2312" w:hAnsi="宋体" w:eastAsia="仿宋_GB2312" w:cs="宋体"/>
          <w:color w:val="525252"/>
          <w:kern w:val="0"/>
          <w:sz w:val="32"/>
          <w:szCs w:val="32"/>
        </w:rPr>
        <w:t>（六）施工单位未取得文物保护工程资质证书，擅自从事文物修缮、迁移、重建的。</w:t>
      </w:r>
    </w:p>
    <w:p>
      <w:pPr>
        <w:widowControl/>
        <w:spacing w:line="600" w:lineRule="atLeast"/>
        <w:ind w:firstLine="570"/>
        <w:jc w:val="left"/>
        <w:rPr>
          <w:rFonts w:ascii="宋体" w:hAnsi="宋体" w:cs="宋体"/>
          <w:color w:val="525252"/>
          <w:kern w:val="0"/>
          <w:sz w:val="32"/>
          <w:szCs w:val="32"/>
        </w:rPr>
      </w:pPr>
      <w:r>
        <w:rPr>
          <w:rFonts w:hint="eastAsia" w:ascii="黑体" w:hAnsi="黑体" w:eastAsia="黑体" w:cs="宋体"/>
          <w:color w:val="525252"/>
          <w:kern w:val="0"/>
          <w:sz w:val="32"/>
          <w:szCs w:val="32"/>
        </w:rPr>
        <w:t>第二十六条</w:t>
      </w:r>
      <w:r>
        <w:rPr>
          <w:rFonts w:hint="eastAsia" w:ascii="仿宋_GB2312" w:hAnsi="宋体" w:eastAsia="仿宋_GB2312" w:cs="宋体"/>
          <w:color w:val="525252"/>
          <w:kern w:val="0"/>
          <w:sz w:val="32"/>
          <w:szCs w:val="32"/>
        </w:rPr>
        <w:t>  发现文物隐匿不报或者拒不上交，尚不构成犯罪的，由市文物行政主管部门会同公安机关追缴文物；情节严重的，处五千元以上五万元以下的罚款。</w:t>
      </w:r>
    </w:p>
    <w:p>
      <w:pPr>
        <w:widowControl/>
        <w:spacing w:line="600" w:lineRule="atLeast"/>
        <w:ind w:firstLine="570"/>
        <w:jc w:val="left"/>
        <w:rPr>
          <w:rFonts w:ascii="宋体" w:hAnsi="宋体" w:cs="宋体"/>
          <w:color w:val="525252"/>
          <w:kern w:val="0"/>
          <w:sz w:val="32"/>
          <w:szCs w:val="32"/>
        </w:rPr>
      </w:pPr>
      <w:r>
        <w:rPr>
          <w:rFonts w:hint="eastAsia" w:ascii="黑体" w:hAnsi="黑体" w:eastAsia="黑体" w:cs="宋体"/>
          <w:color w:val="525252"/>
          <w:kern w:val="0"/>
          <w:sz w:val="32"/>
          <w:szCs w:val="32"/>
        </w:rPr>
        <w:t>第二十七条</w:t>
      </w:r>
      <w:r>
        <w:rPr>
          <w:rFonts w:hint="eastAsia" w:ascii="仿宋_GB2312" w:hAnsi="宋体" w:eastAsia="仿宋_GB2312" w:cs="宋体"/>
          <w:color w:val="525252"/>
          <w:kern w:val="0"/>
          <w:sz w:val="32"/>
          <w:szCs w:val="32"/>
        </w:rPr>
        <w:t>  文物行政主管部门等有关部门及其工作人员，违反本办法规定，滥用审批权限、徇私舞弊、玩忽职守，造成珍贵文物损毁或者流失的，对负有责任的主管人员和其他直接责任人员依法给予处分；构成犯罪的，依法追究刑事责任。</w:t>
      </w:r>
    </w:p>
    <w:p>
      <w:pPr>
        <w:widowControl/>
        <w:spacing w:line="600" w:lineRule="atLeast"/>
        <w:ind w:firstLine="570"/>
        <w:jc w:val="left"/>
        <w:rPr>
          <w:rFonts w:ascii="宋体" w:hAnsi="宋体" w:cs="宋体"/>
          <w:color w:val="525252"/>
          <w:kern w:val="0"/>
          <w:sz w:val="32"/>
          <w:szCs w:val="32"/>
        </w:rPr>
      </w:pPr>
      <w:r>
        <w:rPr>
          <w:rFonts w:hint="eastAsia" w:ascii="黑体" w:hAnsi="黑体" w:eastAsia="黑体" w:cs="宋体"/>
          <w:color w:val="525252"/>
          <w:kern w:val="0"/>
          <w:sz w:val="32"/>
          <w:szCs w:val="32"/>
        </w:rPr>
        <w:t>第二十八条</w:t>
      </w:r>
      <w:r>
        <w:rPr>
          <w:rFonts w:hint="eastAsia" w:ascii="仿宋_GB2312" w:hAnsi="宋体" w:eastAsia="仿宋_GB2312" w:cs="宋体"/>
          <w:color w:val="525252"/>
          <w:kern w:val="0"/>
          <w:sz w:val="32"/>
          <w:szCs w:val="32"/>
        </w:rPr>
        <w:t>  本办法自2012年2月15日起施行。</w:t>
      </w:r>
    </w:p>
    <w:p>
      <w:pPr>
        <w:rPr>
          <w:sz w:val="32"/>
          <w:szCs w:val="32"/>
        </w:rPr>
      </w:pP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乌鲁木齐市人民政府发布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乌鲁木齐市人民政府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3241985"/>
    <w:rsid w:val="132D6749"/>
    <w:rsid w:val="152D2DCA"/>
    <w:rsid w:val="1CF34060"/>
    <w:rsid w:val="1DEC284C"/>
    <w:rsid w:val="1E6523AC"/>
    <w:rsid w:val="1F1C4630"/>
    <w:rsid w:val="22440422"/>
    <w:rsid w:val="31A15F24"/>
    <w:rsid w:val="395347B5"/>
    <w:rsid w:val="39A232A0"/>
    <w:rsid w:val="39E745AA"/>
    <w:rsid w:val="3A615395"/>
    <w:rsid w:val="3AEE3F6A"/>
    <w:rsid w:val="3B5A6BBB"/>
    <w:rsid w:val="3DB03FF6"/>
    <w:rsid w:val="3DD50B01"/>
    <w:rsid w:val="3EDA13A6"/>
    <w:rsid w:val="42F058B7"/>
    <w:rsid w:val="436109F6"/>
    <w:rsid w:val="441A38D4"/>
    <w:rsid w:val="4BC77339"/>
    <w:rsid w:val="4C9236C5"/>
    <w:rsid w:val="4EA8276A"/>
    <w:rsid w:val="505C172E"/>
    <w:rsid w:val="52F46F0B"/>
    <w:rsid w:val="53D8014D"/>
    <w:rsid w:val="55E064E0"/>
    <w:rsid w:val="572C6D10"/>
    <w:rsid w:val="580509F8"/>
    <w:rsid w:val="5DC34279"/>
    <w:rsid w:val="5DED6757"/>
    <w:rsid w:val="608816D1"/>
    <w:rsid w:val="60EF4E7F"/>
    <w:rsid w:val="665233C1"/>
    <w:rsid w:val="676C06FE"/>
    <w:rsid w:val="6AD9688B"/>
    <w:rsid w:val="6D0E3F22"/>
    <w:rsid w:val="6F9F5928"/>
    <w:rsid w:val="7451786A"/>
    <w:rsid w:val="7B15007A"/>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lenovo</cp:lastModifiedBy>
  <cp:lastPrinted>2021-10-26T03:30:00Z</cp:lastPrinted>
  <dcterms:modified xsi:type="dcterms:W3CDTF">2021-11-30T09:18:21Z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48C61CB29D3F4D9384F5922CF0F7FFB4</vt:lpwstr>
  </property>
</Properties>
</file>