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jc w:val="center"/>
        <w:textAlignment w:val="auto"/>
        <w:rPr>
          <w:rFonts w:hint="default" w:ascii="Times New Roman" w:hAnsi="Times New Roman" w:eastAsia="方正仿宋_GBK" w:cs="Times New Roman"/>
          <w:sz w:val="32"/>
          <w:lang w:val="en-US" w:eastAsia="zh-CN"/>
        </w:rPr>
      </w:pPr>
      <w:r>
        <w:rPr>
          <w:rFonts w:hint="default" w:ascii="Times New Roman" w:hAnsi="Times New Roman" w:eastAsia="方正小标宋_GBK" w:cs="Times New Roman"/>
          <w:sz w:val="44"/>
          <w:szCs w:val="44"/>
          <w:lang w:eastAsia="zh-CN"/>
        </w:rPr>
        <w:t>关于</w:t>
      </w:r>
      <w:r>
        <w:rPr>
          <w:rFonts w:hint="eastAsia" w:eastAsia="方正小标宋_GBK" w:cs="Times New Roman"/>
          <w:sz w:val="44"/>
          <w:szCs w:val="44"/>
          <w:lang w:eastAsia="zh-CN"/>
        </w:rPr>
        <w:t>印发《</w:t>
      </w:r>
      <w:r>
        <w:rPr>
          <w:rFonts w:hint="eastAsia" w:ascii="方正小标宋_GBK" w:hAnsi="方正小标宋_GBK" w:eastAsia="方正小标宋_GBK" w:cs="方正小标宋_GBK"/>
          <w:sz w:val="44"/>
          <w:szCs w:val="44"/>
        </w:rPr>
        <w:t>乌鲁木齐市关于鼓励社会资本参与社区公园和游园建设的七条措施</w:t>
      </w:r>
      <w:r>
        <w:rPr>
          <w:rFonts w:hint="eastAsia" w:eastAsia="方正小标宋_GBK" w:cs="Times New Roman"/>
          <w:sz w:val="44"/>
          <w:szCs w:val="44"/>
          <w:lang w:eastAsia="zh-CN"/>
        </w:rPr>
        <w:t>》的</w:t>
      </w:r>
      <w:r>
        <w:rPr>
          <w:rFonts w:hint="eastAsia" w:eastAsia="方正小标宋_GBK" w:cs="Times New Roman"/>
          <w:sz w:val="44"/>
          <w:szCs w:val="44"/>
          <w:lang w:val="en-US" w:eastAsia="zh-CN"/>
        </w:rPr>
        <w:t>通知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各区人民政府、乌鲁木齐经济技术开发区、高新技术产业开发区、甘泉堡经济技术开发区管委会</w:t>
      </w:r>
      <w:r>
        <w:rPr>
          <w:rFonts w:hint="eastAsia" w:eastAsia="方正仿宋_GBK" w:cs="Times New Roman"/>
          <w:sz w:val="32"/>
          <w:lang w:val="en-US" w:eastAsia="zh-CN"/>
        </w:rPr>
        <w:t>、</w:t>
      </w:r>
      <w:r>
        <w:rPr>
          <w:rFonts w:hint="default" w:ascii="Times New Roman" w:hAnsi="Times New Roman" w:eastAsia="方正仿宋_GBK" w:cs="Times New Roman"/>
          <w:sz w:val="32"/>
          <w:lang w:val="en-US" w:eastAsia="zh-CN"/>
        </w:rPr>
        <w:t>市发改委、市生态环境局、市水务局、市国资委、市市场监督管理局：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color w:val="auto"/>
          <w:sz w:val="32"/>
          <w:lang w:val="en-US" w:eastAsia="zh-CN"/>
        </w:rPr>
        <w:t>《乌鲁木齐市关于鼓励社会资本参与社区公园和游园建设的七条措施》</w:t>
      </w:r>
      <w:r>
        <w:rPr>
          <w:rFonts w:hint="eastAsia" w:eastAsia="方正仿宋_GBK" w:cs="Times New Roman"/>
          <w:color w:val="auto"/>
          <w:sz w:val="32"/>
          <w:lang w:val="en-US" w:eastAsia="zh-CN"/>
        </w:rPr>
        <w:t>已经</w:t>
      </w:r>
      <w:r>
        <w:rPr>
          <w:rFonts w:hint="eastAsia" w:ascii="Times New Roman" w:hAnsi="Times New Roman" w:eastAsia="方正仿宋_GBK" w:cs="Times New Roman"/>
          <w:color w:val="auto"/>
          <w:sz w:val="32"/>
          <w:szCs w:val="32"/>
          <w:lang w:val="en-US" w:eastAsia="zh-CN"/>
        </w:rPr>
        <w:t>市第十七届人民政府第</w:t>
      </w:r>
      <w:r>
        <w:rPr>
          <w:rFonts w:hint="eastAsia" w:eastAsia="方正仿宋_GBK" w:cs="Times New Roman"/>
          <w:color w:val="auto"/>
          <w:sz w:val="32"/>
          <w:szCs w:val="32"/>
          <w:lang w:val="en-US" w:eastAsia="zh-CN"/>
        </w:rPr>
        <w:t>93</w:t>
      </w:r>
      <w:r>
        <w:rPr>
          <w:rFonts w:hint="eastAsia" w:ascii="Times New Roman" w:hAnsi="Times New Roman" w:eastAsia="方正仿宋_GBK" w:cs="Times New Roman"/>
          <w:color w:val="auto"/>
          <w:sz w:val="32"/>
          <w:szCs w:val="32"/>
          <w:lang w:val="en-US" w:eastAsia="zh-CN"/>
        </w:rPr>
        <w:t>次常务会议</w:t>
      </w:r>
      <w:r>
        <w:rPr>
          <w:rFonts w:hint="eastAsia" w:ascii="Times New Roman" w:hAnsi="Times New Roman" w:eastAsia="方正仿宋_GBK" w:cs="Times New Roman"/>
          <w:color w:val="auto"/>
          <w:sz w:val="32"/>
          <w:lang w:val="en-US" w:eastAsia="zh-CN"/>
        </w:rPr>
        <w:t>研究通过</w:t>
      </w:r>
      <w:r>
        <w:rPr>
          <w:rFonts w:hint="eastAsia" w:eastAsia="方正仿宋_GBK" w:cs="Times New Roman"/>
          <w:color w:val="auto"/>
          <w:sz w:val="32"/>
          <w:lang w:val="en-US" w:eastAsia="zh-CN"/>
        </w:rPr>
        <w:t>，现印发给你们，请认真抓好贯彻执行。</w:t>
      </w:r>
    </w:p>
    <w:p>
      <w:pPr>
        <w:pStyle w:val="3"/>
        <w:pageBreakBefore w:val="0"/>
        <w:kinsoku/>
        <w:wordWrap/>
        <w:overflowPunct/>
        <w:topLinePunct w:val="0"/>
        <w:autoSpaceDE/>
        <w:autoSpaceDN/>
        <w:bidi w:val="0"/>
        <w:spacing w:line="560" w:lineRule="exact"/>
        <w:textAlignment w:val="auto"/>
      </w:pPr>
    </w:p>
    <w:p>
      <w:pPr>
        <w:pStyle w:val="3"/>
        <w:pageBreakBefore w:val="0"/>
        <w:kinsoku/>
        <w:wordWrap/>
        <w:overflowPunct/>
        <w:topLinePunct w:val="0"/>
        <w:autoSpaceDE/>
        <w:autoSpaceDN/>
        <w:bidi w:val="0"/>
        <w:spacing w:line="560" w:lineRule="exact"/>
        <w:textAlignment w:val="auto"/>
      </w:pPr>
    </w:p>
    <w:p>
      <w:pPr>
        <w:pageBreakBefore w:val="0"/>
        <w:kinsoku/>
        <w:wordWrap/>
        <w:overflowPunct/>
        <w:topLinePunct w:val="0"/>
        <w:autoSpaceDE/>
        <w:autoSpaceDN/>
        <w:bidi w:val="0"/>
        <w:spacing w:line="560" w:lineRule="exact"/>
        <w:ind w:firstLine="640" w:firstLineChars="200"/>
        <w:textAlignment w:val="auto"/>
        <w:rPr>
          <w:rFonts w:hint="eastAsia" w:eastAsia="宋体"/>
          <w:lang w:eastAsia="zh-CN"/>
        </w:rPr>
      </w:pPr>
      <w:r>
        <w:rPr>
          <w:rFonts w:hint="eastAsia" w:ascii="Times New Roman" w:hAnsi="Times New Roman" w:eastAsia="方正仿宋_GBK" w:cs="Times New Roman"/>
          <w:color w:val="auto"/>
          <w:sz w:val="32"/>
          <w:lang w:val="en-US" w:eastAsia="zh-CN"/>
        </w:rPr>
        <w:t>附件：乌鲁木齐市关于鼓励社会资本参与社区公园和游园建设的七条措施</w:t>
      </w:r>
    </w:p>
    <w:p>
      <w:pPr>
        <w:pStyle w:val="3"/>
        <w:pageBreakBefore w:val="0"/>
        <w:kinsoku/>
        <w:wordWrap/>
        <w:overflowPunct/>
        <w:topLinePunct w:val="0"/>
        <w:autoSpaceDE/>
        <w:autoSpaceDN/>
        <w:bidi w:val="0"/>
        <w:spacing w:line="560" w:lineRule="exact"/>
        <w:textAlignment w:val="auto"/>
      </w:pPr>
    </w:p>
    <w:p>
      <w:pPr>
        <w:pageBreakBefore w:val="0"/>
        <w:kinsoku/>
        <w:wordWrap/>
        <w:overflowPunct/>
        <w:topLinePunct w:val="0"/>
        <w:autoSpaceDE/>
        <w:autoSpaceDN/>
        <w:bidi w:val="0"/>
        <w:spacing w:line="560" w:lineRule="exact"/>
        <w:textAlignment w:val="auto"/>
      </w:pPr>
    </w:p>
    <w:p>
      <w:pPr>
        <w:pStyle w:val="2"/>
        <w:pageBreakBefore w:val="0"/>
        <w:kinsoku/>
        <w:wordWrap/>
        <w:overflowPunct/>
        <w:topLinePunct w:val="0"/>
        <w:autoSpaceDE/>
        <w:autoSpaceDN/>
        <w:bidi w:val="0"/>
        <w:spacing w:line="560" w:lineRule="exact"/>
        <w:textAlignment w:val="auto"/>
      </w:pPr>
    </w:p>
    <w:p>
      <w:pPr>
        <w:pageBreakBefore w:val="0"/>
        <w:kinsoku/>
        <w:wordWrap/>
        <w:overflowPunct/>
        <w:topLinePunct w:val="0"/>
        <w:autoSpaceDE/>
        <w:autoSpaceDN/>
        <w:bidi w:val="0"/>
        <w:spacing w:line="560" w:lineRule="exact"/>
        <w:textAlignment w:val="auto"/>
      </w:pPr>
    </w:p>
    <w:p>
      <w:pPr>
        <w:pageBreakBefore w:val="0"/>
        <w:kinsoku/>
        <w:wordWrap/>
        <w:overflowPunct/>
        <w:topLinePunct w:val="0"/>
        <w:autoSpaceDE/>
        <w:autoSpaceDN/>
        <w:bidi w:val="0"/>
        <w:adjustRightInd/>
        <w:snapToGrid/>
        <w:spacing w:line="440" w:lineRule="exac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乌鲁木齐市自然资源局     乌鲁木齐市</w:t>
      </w:r>
      <w:r>
        <w:rPr>
          <w:rFonts w:hint="eastAsia" w:eastAsia="方正仿宋_GBK" w:cs="Times New Roman"/>
          <w:kern w:val="2"/>
          <w:sz w:val="32"/>
          <w:szCs w:val="32"/>
          <w:lang w:val="en-US" w:eastAsia="zh-CN" w:bidi="ar-SA"/>
        </w:rPr>
        <w:t>林业和草原管理</w:t>
      </w:r>
      <w:r>
        <w:rPr>
          <w:rFonts w:hint="eastAsia" w:ascii="Times New Roman" w:hAnsi="Times New Roman" w:eastAsia="方正仿宋_GBK" w:cs="Times New Roman"/>
          <w:kern w:val="2"/>
          <w:sz w:val="32"/>
          <w:szCs w:val="32"/>
          <w:lang w:val="en-US" w:eastAsia="zh-CN" w:bidi="ar-SA"/>
        </w:rPr>
        <w:t>局</w:t>
      </w:r>
    </w:p>
    <w:p>
      <w:pPr>
        <w:pStyle w:val="2"/>
        <w:pageBreakBefore w:val="0"/>
        <w:kinsoku/>
        <w:wordWrap/>
        <w:overflowPunct/>
        <w:topLinePunct w:val="0"/>
        <w:autoSpaceDE/>
        <w:autoSpaceDN/>
        <w:bidi w:val="0"/>
        <w:adjustRightInd/>
        <w:snapToGrid/>
        <w:spacing w:line="440" w:lineRule="exac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w:t>
      </w:r>
      <w:r>
        <w:rPr>
          <w:rFonts w:hint="eastAsia" w:ascii="Times New Roman" w:hAnsi="Times New Roman" w:eastAsia="方正仿宋_GBK" w:cs="Times New Roman"/>
          <w:b w:val="0"/>
          <w:bCs/>
          <w:kern w:val="2"/>
          <w:sz w:val="32"/>
          <w:szCs w:val="32"/>
          <w:lang w:val="en-US" w:eastAsia="zh-CN" w:bidi="ar-SA"/>
        </w:rPr>
        <w:t xml:space="preserve"> （乌鲁木齐市园林管理局）</w:t>
      </w:r>
    </w:p>
    <w:p>
      <w:pPr>
        <w:pStyle w:val="3"/>
        <w:pageBreakBefore w:val="0"/>
        <w:kinsoku/>
        <w:wordWrap/>
        <w:overflowPunct/>
        <w:topLinePunct w:val="0"/>
        <w:autoSpaceDE/>
        <w:autoSpaceDN/>
        <w:bidi w:val="0"/>
        <w:spacing w:line="560" w:lineRule="exact"/>
        <w:ind w:firstLine="5120" w:firstLineChars="1600"/>
        <w:textAlignment w:val="auto"/>
        <w:rPr>
          <w:rFonts w:hint="eastAsia" w:ascii="Times New Roman" w:hAnsi="Times New Roman" w:eastAsia="方正仿宋_GBK" w:cs="Times New Roman"/>
          <w:kern w:val="2"/>
          <w:sz w:val="32"/>
          <w:szCs w:val="32"/>
          <w:lang w:val="en-US" w:eastAsia="zh-CN" w:bidi="ar-SA"/>
        </w:rPr>
      </w:pPr>
    </w:p>
    <w:p>
      <w:pPr>
        <w:pStyle w:val="3"/>
        <w:pageBreakBefore w:val="0"/>
        <w:kinsoku/>
        <w:wordWrap/>
        <w:overflowPunct/>
        <w:topLinePunct w:val="0"/>
        <w:autoSpaceDE/>
        <w:autoSpaceDN/>
        <w:bidi w:val="0"/>
        <w:spacing w:line="560" w:lineRule="exact"/>
        <w:ind w:firstLine="5120" w:firstLineChars="1600"/>
        <w:textAlignment w:val="auto"/>
        <w:rPr>
          <w:rFonts w:hint="eastAsia" w:ascii="Times New Roman" w:hAnsi="Times New Roman" w:eastAsia="方正仿宋_GBK" w:cs="Times New Roman"/>
          <w:kern w:val="2"/>
          <w:sz w:val="32"/>
          <w:szCs w:val="32"/>
          <w:lang w:val="en-US" w:eastAsia="zh-CN" w:bidi="ar-SA"/>
        </w:rPr>
      </w:pPr>
    </w:p>
    <w:p>
      <w:pPr>
        <w:pStyle w:val="3"/>
        <w:pageBreakBefore w:val="0"/>
        <w:kinsoku/>
        <w:wordWrap/>
        <w:overflowPunct/>
        <w:topLinePunct w:val="0"/>
        <w:autoSpaceDE/>
        <w:autoSpaceDN/>
        <w:bidi w:val="0"/>
        <w:spacing w:line="560" w:lineRule="exact"/>
        <w:ind w:firstLine="5120" w:firstLineChars="16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w:t>
      </w:r>
      <w:r>
        <w:rPr>
          <w:rFonts w:hint="eastAsia" w:eastAsia="方正仿宋_GBK" w:cs="Times New Roman"/>
          <w:kern w:val="2"/>
          <w:sz w:val="32"/>
          <w:szCs w:val="32"/>
          <w:lang w:val="en-US" w:eastAsia="zh-CN" w:bidi="ar-SA"/>
        </w:rPr>
        <w:t>5</w:t>
      </w:r>
      <w:r>
        <w:rPr>
          <w:rFonts w:hint="eastAsia" w:ascii="Times New Roman" w:hAnsi="Times New Roman" w:eastAsia="方正仿宋_GBK" w:cs="Times New Roman"/>
          <w:kern w:val="2"/>
          <w:sz w:val="32"/>
          <w:szCs w:val="32"/>
          <w:lang w:val="en-US" w:eastAsia="zh-CN" w:bidi="ar-SA"/>
        </w:rPr>
        <w:t>年</w:t>
      </w:r>
      <w:r>
        <w:rPr>
          <w:rFonts w:hint="eastAsia" w:eastAsia="方正仿宋_GBK" w:cs="Times New Roman"/>
          <w:kern w:val="2"/>
          <w:sz w:val="32"/>
          <w:szCs w:val="32"/>
          <w:lang w:val="en-US" w:eastAsia="zh-CN" w:bidi="ar-SA"/>
        </w:rPr>
        <w:t>5</w:t>
      </w:r>
      <w:r>
        <w:rPr>
          <w:rFonts w:hint="eastAsia" w:ascii="Times New Roman" w:hAnsi="Times New Roman" w:eastAsia="方正仿宋_GBK" w:cs="Times New Roman"/>
          <w:kern w:val="2"/>
          <w:sz w:val="32"/>
          <w:szCs w:val="32"/>
          <w:lang w:val="en-US" w:eastAsia="zh-CN" w:bidi="ar-SA"/>
        </w:rPr>
        <w:t>月8日</w:t>
      </w:r>
    </w:p>
    <w:p>
      <w:pPr>
        <w:rPr>
          <w:rFonts w:hint="eastAsia"/>
          <w:lang w:val="en-US" w:eastAsia="zh-CN"/>
        </w:rPr>
      </w:pPr>
    </w:p>
    <w:p>
      <w:pPr>
        <w:rPr>
          <w:rFonts w:hint="eastAsia" w:ascii="方正小标宋_GBK" w:hAnsi="方正小标宋_GBK" w:eastAsia="方正小标宋_GBK" w:cs="方正小标宋_GBK"/>
          <w:sz w:val="44"/>
          <w:szCs w:val="44"/>
        </w:rPr>
      </w:pPr>
      <w:r>
        <w:rPr>
          <w:rFonts w:hint="eastAsia" w:ascii="黑体" w:hAnsi="黑体" w:eastAsia="黑体" w:cs="黑体"/>
          <w:sz w:val="32"/>
          <w:szCs w:val="32"/>
          <w:lang w:eastAsia="zh-CN"/>
        </w:rPr>
        <w:t>附件</w:t>
      </w:r>
    </w:p>
    <w:p>
      <w:pPr>
        <w:widowControl/>
        <w:tabs>
          <w:tab w:val="left" w:pos="8222"/>
        </w:tabs>
        <w:adjustRightInd w:val="0"/>
        <w:snapToGrid w:val="0"/>
        <w:spacing w:line="576" w:lineRule="exact"/>
        <w:jc w:val="center"/>
        <w:rPr>
          <w:rFonts w:hint="eastAsia" w:eastAsia="方正小标宋_GBK"/>
          <w:color w:val="auto"/>
          <w:sz w:val="44"/>
          <w:szCs w:val="44"/>
        </w:rPr>
      </w:pPr>
      <w:r>
        <w:rPr>
          <w:rFonts w:eastAsia="方正小标宋_GBK"/>
          <w:color w:val="auto"/>
          <w:sz w:val="44"/>
          <w:szCs w:val="44"/>
        </w:rPr>
        <w:t>乌鲁木齐市关于</w:t>
      </w:r>
      <w:r>
        <w:rPr>
          <w:rFonts w:hint="eastAsia" w:eastAsia="方正小标宋_GBK"/>
          <w:color w:val="auto"/>
          <w:sz w:val="44"/>
          <w:szCs w:val="44"/>
        </w:rPr>
        <w:t>鼓励</w:t>
      </w:r>
      <w:r>
        <w:rPr>
          <w:rFonts w:eastAsia="方正小标宋_GBK"/>
          <w:color w:val="auto"/>
          <w:sz w:val="44"/>
          <w:szCs w:val="44"/>
        </w:rPr>
        <w:t>社会资本参与</w:t>
      </w:r>
    </w:p>
    <w:p>
      <w:pPr>
        <w:widowControl/>
        <w:adjustRightInd w:val="0"/>
        <w:snapToGrid w:val="0"/>
        <w:spacing w:line="576" w:lineRule="exact"/>
        <w:jc w:val="center"/>
        <w:rPr>
          <w:rFonts w:hint="eastAsia" w:eastAsia="方正小标宋_GBK"/>
          <w:color w:val="auto"/>
          <w:sz w:val="44"/>
          <w:szCs w:val="44"/>
        </w:rPr>
      </w:pPr>
      <w:r>
        <w:rPr>
          <w:rFonts w:eastAsia="方正小标宋_GBK"/>
          <w:color w:val="auto"/>
          <w:sz w:val="44"/>
          <w:szCs w:val="44"/>
        </w:rPr>
        <w:t>社区公园和游园</w:t>
      </w:r>
      <w:r>
        <w:rPr>
          <w:rFonts w:hint="eastAsia" w:eastAsia="方正小标宋_GBK"/>
          <w:color w:val="auto"/>
          <w:sz w:val="44"/>
          <w:szCs w:val="44"/>
        </w:rPr>
        <w:t>建设</w:t>
      </w:r>
      <w:r>
        <w:rPr>
          <w:rFonts w:eastAsia="方正小标宋_GBK"/>
          <w:color w:val="auto"/>
          <w:sz w:val="44"/>
          <w:szCs w:val="44"/>
        </w:rPr>
        <w:t>的七条措施</w:t>
      </w:r>
    </w:p>
    <w:p>
      <w:pPr>
        <w:spacing w:line="560" w:lineRule="exact"/>
        <w:ind w:firstLine="640" w:firstLineChars="200"/>
        <w:jc w:val="left"/>
        <w:rPr>
          <w:rFonts w:hint="eastAsia"/>
          <w:color w:val="auto"/>
          <w:highlight w:val="none"/>
        </w:rPr>
      </w:pPr>
      <w:r>
        <w:rPr>
          <w:rFonts w:hint="eastAsia" w:ascii="方正仿宋_GBK" w:hAnsi="方正仿宋_GBK" w:eastAsia="方正仿宋_GBK"/>
          <w:color w:val="auto"/>
          <w:sz w:val="32"/>
          <w:szCs w:val="32"/>
          <w:shd w:val="clear" w:color="auto" w:fill="FFFFFF"/>
        </w:rPr>
        <w:t>为提升城市环境品质，增强公园服务功能，更好地服务于人民群众，在</w:t>
      </w:r>
      <w:r>
        <w:rPr>
          <w:rFonts w:hint="eastAsia" w:ascii="方正仿宋_GBK" w:hAnsi="方正仿宋_GBK" w:eastAsia="方正仿宋_GBK"/>
          <w:color w:val="auto"/>
          <w:sz w:val="32"/>
          <w:szCs w:val="32"/>
          <w:shd w:val="clear" w:color="auto" w:fill="FFFFFF"/>
          <w:lang w:eastAsia="zh-CN"/>
        </w:rPr>
        <w:t>保障</w:t>
      </w:r>
      <w:r>
        <w:rPr>
          <w:rFonts w:hint="eastAsia" w:ascii="方正仿宋_GBK" w:hAnsi="方正仿宋_GBK" w:eastAsia="方正仿宋_GBK"/>
          <w:color w:val="auto"/>
          <w:sz w:val="32"/>
          <w:szCs w:val="32"/>
          <w:shd w:val="clear" w:color="auto" w:fill="FFFFFF"/>
        </w:rPr>
        <w:t>公园公益属性的前提下，鼓励社会资本参与全市社区公园和游园（含口袋公园）建设，根据《城市绿化条例》、《城市公园管理办法》、《园林绿化工程项目规范》</w:t>
      </w:r>
      <w:r>
        <w:rPr>
          <w:rFonts w:hint="eastAsia" w:eastAsia="方正仿宋_GBK"/>
          <w:color w:val="auto"/>
          <w:sz w:val="32"/>
          <w:szCs w:val="32"/>
          <w:shd w:val="clear" w:color="auto" w:fill="FFFFFF"/>
        </w:rPr>
        <w:t>GB 55014</w:t>
      </w:r>
      <w:r>
        <w:rPr>
          <w:rFonts w:hint="eastAsia" w:ascii="方正仿宋_GBK" w:hAnsi="方正仿宋_GBK" w:eastAsia="方正仿宋_GBK"/>
          <w:color w:val="auto"/>
          <w:sz w:val="32"/>
          <w:szCs w:val="32"/>
          <w:shd w:val="clear" w:color="auto" w:fill="FFFFFF"/>
        </w:rPr>
        <w:t>、《公园设计规范》</w:t>
      </w:r>
      <w:r>
        <w:rPr>
          <w:rFonts w:hint="eastAsia" w:eastAsia="方正仿宋_GBK"/>
          <w:color w:val="auto"/>
          <w:sz w:val="32"/>
          <w:szCs w:val="32"/>
          <w:shd w:val="clear" w:color="auto" w:fill="FFFFFF"/>
        </w:rPr>
        <w:t>GB 51192</w:t>
      </w:r>
      <w:r>
        <w:rPr>
          <w:rFonts w:hint="eastAsia" w:ascii="方正仿宋_GBK" w:hAnsi="方正仿宋_GBK" w:eastAsia="方正仿宋_GBK"/>
          <w:color w:val="auto"/>
          <w:sz w:val="32"/>
          <w:szCs w:val="32"/>
          <w:shd w:val="clear" w:color="auto" w:fill="FFFFFF"/>
        </w:rPr>
        <w:t>、《口袋公园建设指南（</w:t>
      </w:r>
      <w:r>
        <w:rPr>
          <w:rFonts w:hint="eastAsia" w:ascii="方正仿宋_GBK" w:hAnsi="方正仿宋_GBK" w:eastAsia="方正仿宋_GBK"/>
          <w:color w:val="auto"/>
          <w:sz w:val="32"/>
          <w:szCs w:val="32"/>
          <w:highlight w:val="none"/>
          <w:shd w:val="clear" w:color="auto" w:fill="FFFFFF"/>
        </w:rPr>
        <w:t>试行）》等法规、规范要求，结合我市实际，制定以下措施。</w:t>
      </w:r>
    </w:p>
    <w:p>
      <w:pPr>
        <w:pStyle w:val="3"/>
        <w:spacing w:line="560" w:lineRule="exact"/>
        <w:ind w:firstLine="640" w:firstLineChars="200"/>
        <w:rPr>
          <w:rFonts w:hint="eastAsia" w:ascii="方正黑体_GBK" w:hAnsi="方正黑体_GBK" w:eastAsia="方正黑体_GBK"/>
          <w:b w:val="0"/>
          <w:color w:val="auto"/>
          <w:szCs w:val="32"/>
          <w:shd w:val="clear" w:color="auto" w:fill="FFFFFF"/>
        </w:rPr>
      </w:pPr>
      <w:r>
        <w:rPr>
          <w:rFonts w:hint="eastAsia" w:ascii="方正黑体_GBK" w:hAnsi="方正黑体_GBK" w:eastAsia="方正黑体_GBK"/>
          <w:b w:val="0"/>
          <w:color w:val="auto"/>
          <w:sz w:val="32"/>
          <w:szCs w:val="32"/>
          <w:shd w:val="clear" w:color="auto" w:fill="FFFFFF"/>
        </w:rPr>
        <w:t>一、优化用地布局，促进公园生态价值转化</w:t>
      </w:r>
    </w:p>
    <w:p>
      <w:pPr>
        <w:spacing w:line="560" w:lineRule="exact"/>
        <w:ind w:firstLine="640" w:firstLineChars="200"/>
        <w:rPr>
          <w:rFonts w:hint="eastAsia" w:eastAsia="方正仿宋_GBK"/>
          <w:color w:val="auto"/>
          <w:sz w:val="32"/>
          <w:szCs w:val="32"/>
          <w:shd w:val="clear" w:color="auto" w:fill="FFFFFF"/>
        </w:rPr>
      </w:pPr>
      <w:r>
        <w:rPr>
          <w:rFonts w:hint="eastAsia" w:ascii="方正楷体_GBK" w:hAnsi="方正楷体_GBK" w:eastAsia="方正楷体_GBK"/>
          <w:color w:val="auto"/>
          <w:sz w:val="32"/>
          <w:szCs w:val="32"/>
          <w:shd w:val="clear" w:color="auto" w:fill="FFFFFF"/>
        </w:rPr>
        <w:t>（一）突出规划引领。</w:t>
      </w:r>
      <w:r>
        <w:rPr>
          <w:rFonts w:hint="eastAsia" w:eastAsia="方正仿宋_GBK"/>
          <w:color w:val="auto"/>
          <w:sz w:val="32"/>
          <w:szCs w:val="32"/>
          <w:shd w:val="clear" w:color="auto" w:fill="FFFFFF"/>
        </w:rPr>
        <w:t>在符合国土空间总体规划强制性内容的前提下，为更好实现公园生态价值转化，在详细规划中深化细化用地布局，</w:t>
      </w:r>
      <w:r>
        <w:rPr>
          <w:rFonts w:hint="eastAsia" w:eastAsia="方正仿宋_GBK"/>
          <w:color w:val="auto"/>
          <w:sz w:val="32"/>
          <w:szCs w:val="32"/>
          <w:shd w:val="clear" w:color="auto" w:fill="FFFFFF"/>
          <w:lang w:eastAsia="zh-CN"/>
        </w:rPr>
        <w:t>明确</w:t>
      </w:r>
      <w:r>
        <w:rPr>
          <w:rFonts w:hint="eastAsia" w:eastAsia="方正仿宋_GBK"/>
          <w:color w:val="auto"/>
          <w:sz w:val="32"/>
          <w:szCs w:val="32"/>
          <w:shd w:val="clear" w:color="auto" w:fill="FFFFFF"/>
        </w:rPr>
        <w:t>各类性质用地界线及控制指标</w:t>
      </w:r>
      <w:r>
        <w:rPr>
          <w:rFonts w:hint="eastAsia" w:eastAsia="方正仿宋_GBK"/>
          <w:color w:val="auto"/>
          <w:sz w:val="32"/>
          <w:szCs w:val="32"/>
          <w:shd w:val="clear" w:color="auto" w:fill="FFFFFF"/>
          <w:lang w:eastAsia="zh-CN"/>
        </w:rPr>
        <w:t>，</w:t>
      </w:r>
      <w:r>
        <w:rPr>
          <w:rFonts w:hint="eastAsia" w:eastAsia="方正仿宋_GBK"/>
          <w:color w:val="auto"/>
          <w:sz w:val="32"/>
          <w:szCs w:val="32"/>
          <w:shd w:val="clear" w:color="auto" w:fill="FFFFFF"/>
        </w:rPr>
        <w:t>鼓励在规划社区公园和游园（含口袋公园）周边，结合区域位置、地块大小等条件因地制宜布局一定规模的文化、体育、商业等用地进行联动开发，用地与相邻公园绿地比例应符合表1的规定。公园绿地内各项建设须符合《公园设计规范》GB 51192的规定。</w:t>
      </w:r>
    </w:p>
    <w:p>
      <w:pPr>
        <w:spacing w:line="540" w:lineRule="exact"/>
        <w:ind w:firstLine="602" w:firstLineChars="200"/>
        <w:jc w:val="center"/>
        <w:rPr>
          <w:rFonts w:hint="eastAsia" w:ascii="方正仿宋_GBK" w:hAnsi="方正仿宋_GBK" w:eastAsia="方正仿宋_GBK"/>
          <w:b/>
          <w:bCs/>
          <w:color w:val="auto"/>
          <w:sz w:val="30"/>
          <w:szCs w:val="30"/>
          <w:shd w:val="clear" w:color="auto" w:fill="FFFFFF"/>
        </w:rPr>
      </w:pPr>
      <w:r>
        <w:rPr>
          <w:rFonts w:hint="eastAsia" w:ascii="方正仿宋_GBK" w:hAnsi="方正仿宋_GBK" w:eastAsia="方正仿宋_GBK"/>
          <w:b/>
          <w:bCs/>
          <w:color w:val="auto"/>
          <w:sz w:val="30"/>
          <w:szCs w:val="30"/>
          <w:shd w:val="clear" w:color="auto" w:fill="FFFFFF"/>
        </w:rPr>
        <w:t>表</w:t>
      </w:r>
      <w:r>
        <w:rPr>
          <w:rFonts w:eastAsia="方正仿宋_GBK"/>
          <w:b/>
          <w:bCs/>
          <w:color w:val="auto"/>
          <w:sz w:val="30"/>
          <w:szCs w:val="30"/>
          <w:shd w:val="clear" w:color="auto" w:fill="FFFFFF"/>
        </w:rPr>
        <w:t>1</w:t>
      </w:r>
      <w:r>
        <w:rPr>
          <w:rFonts w:hint="eastAsia" w:ascii="方正仿宋_GBK" w:hAnsi="方正仿宋_GBK" w:eastAsia="方正仿宋_GBK"/>
          <w:b/>
          <w:bCs/>
          <w:color w:val="auto"/>
          <w:sz w:val="30"/>
          <w:szCs w:val="30"/>
          <w:shd w:val="clear" w:color="auto" w:fill="FFFFFF"/>
        </w:rPr>
        <w:t xml:space="preserve"> 不同土地级别内联动开发用地比例</w:t>
      </w:r>
    </w:p>
    <w:tbl>
      <w:tblPr>
        <w:tblStyle w:val="6"/>
        <w:tblW w:w="839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67"/>
        <w:gridCol w:w="55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867" w:type="dxa"/>
            <w:noWrap w:val="0"/>
            <w:vAlign w:val="center"/>
          </w:tcPr>
          <w:p>
            <w:pPr>
              <w:adjustRightInd w:val="0"/>
              <w:snapToGrid w:val="0"/>
              <w:jc w:val="center"/>
              <w:rPr>
                <w:rFonts w:hint="eastAsia" w:ascii="方正仿宋_GBK" w:hAnsi="方正仿宋_GBK" w:eastAsia="方正仿宋_GBK"/>
                <w:b/>
                <w:color w:val="auto"/>
                <w:sz w:val="24"/>
                <w:szCs w:val="24"/>
                <w:shd w:val="clear" w:color="auto" w:fill="FFFFFF"/>
              </w:rPr>
            </w:pPr>
            <w:r>
              <w:rPr>
                <w:rFonts w:hint="eastAsia" w:ascii="方正仿宋_GBK" w:hAnsi="方正仿宋_GBK" w:eastAsia="方正仿宋_GBK"/>
                <w:b/>
                <w:color w:val="auto"/>
                <w:sz w:val="24"/>
                <w:szCs w:val="24"/>
                <w:shd w:val="clear" w:color="auto" w:fill="FFFFFF"/>
              </w:rPr>
              <w:t>土地级别</w:t>
            </w:r>
          </w:p>
        </w:tc>
        <w:tc>
          <w:tcPr>
            <w:tcW w:w="5525" w:type="dxa"/>
            <w:noWrap w:val="0"/>
            <w:vAlign w:val="center"/>
          </w:tcPr>
          <w:p>
            <w:pPr>
              <w:adjustRightInd w:val="0"/>
              <w:snapToGrid w:val="0"/>
              <w:jc w:val="center"/>
              <w:rPr>
                <w:rFonts w:hint="eastAsia" w:ascii="方正仿宋_GBK" w:hAnsi="方正仿宋_GBK" w:eastAsia="方正仿宋_GBK"/>
                <w:b/>
                <w:color w:val="auto"/>
                <w:sz w:val="24"/>
                <w:szCs w:val="24"/>
                <w:shd w:val="clear" w:color="auto" w:fill="FFFFFF"/>
              </w:rPr>
            </w:pPr>
            <w:r>
              <w:rPr>
                <w:rFonts w:hint="eastAsia" w:ascii="方正仿宋_GBK" w:hAnsi="方正仿宋_GBK" w:eastAsia="方正仿宋_GBK"/>
                <w:b/>
                <w:color w:val="auto"/>
                <w:sz w:val="24"/>
                <w:szCs w:val="24"/>
                <w:shd w:val="clear" w:color="auto" w:fill="FFFFFF"/>
              </w:rPr>
              <w:t>联动开发用地与相邻公园绿地面积的比例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7" w:hRule="atLeast"/>
        </w:trPr>
        <w:tc>
          <w:tcPr>
            <w:tcW w:w="2867" w:type="dxa"/>
            <w:noWrap w:val="0"/>
            <w:vAlign w:val="center"/>
          </w:tcPr>
          <w:p>
            <w:pPr>
              <w:adjustRightInd w:val="0"/>
              <w:snapToGrid w:val="0"/>
              <w:jc w:val="center"/>
              <w:rPr>
                <w:rFonts w:hint="eastAsia" w:eastAsia="方正仿宋_GBK"/>
                <w:color w:val="auto"/>
                <w:sz w:val="24"/>
                <w:szCs w:val="24"/>
                <w:shd w:val="clear" w:color="auto" w:fill="FFFFFF"/>
                <w:lang w:eastAsia="zh-CN"/>
              </w:rPr>
            </w:pPr>
            <w:r>
              <w:rPr>
                <w:rFonts w:hint="eastAsia" w:eastAsia="方正仿宋_GBK"/>
                <w:color w:val="auto"/>
                <w:sz w:val="24"/>
                <w:szCs w:val="24"/>
                <w:shd w:val="clear" w:color="auto" w:fill="FFFFFF"/>
              </w:rPr>
              <w:t>一级</w:t>
            </w:r>
            <w:r>
              <w:rPr>
                <w:rFonts w:hint="eastAsia" w:eastAsia="方正仿宋_GBK"/>
                <w:color w:val="auto"/>
                <w:sz w:val="24"/>
                <w:szCs w:val="24"/>
                <w:shd w:val="clear" w:color="auto" w:fill="FFFFFF"/>
                <w:lang w:eastAsia="zh-CN"/>
              </w:rPr>
              <w:t>、二级</w:t>
            </w:r>
          </w:p>
        </w:tc>
        <w:tc>
          <w:tcPr>
            <w:tcW w:w="5525" w:type="dxa"/>
            <w:noWrap w:val="0"/>
            <w:vAlign w:val="center"/>
          </w:tcPr>
          <w:p>
            <w:pPr>
              <w:adjustRightInd w:val="0"/>
              <w:snapToGrid w:val="0"/>
              <w:jc w:val="center"/>
              <w:rPr>
                <w:rFonts w:hint="default" w:ascii="方正仿宋_GBK" w:hAnsi="方正仿宋_GBK" w:eastAsia="方正仿宋_GBK"/>
                <w:color w:val="auto"/>
                <w:sz w:val="24"/>
                <w:szCs w:val="24"/>
                <w:shd w:val="clear" w:color="auto" w:fill="FFFFFF"/>
                <w:lang w:val="en-US" w:eastAsia="zh-CN"/>
              </w:rPr>
            </w:pPr>
            <w:r>
              <w:rPr>
                <w:rFonts w:hint="eastAsia" w:eastAsia="方正仿宋_GBK"/>
                <w:color w:val="auto"/>
                <w:sz w:val="24"/>
                <w:szCs w:val="24"/>
                <w:shd w:val="clear" w:color="auto" w:fill="FFFFFF"/>
              </w:rPr>
              <w:t>1:</w:t>
            </w:r>
            <w:r>
              <w:rPr>
                <w:rFonts w:hint="eastAsia" w:eastAsia="方正仿宋_GBK"/>
                <w:color w:val="auto"/>
                <w:sz w:val="24"/>
                <w:szCs w:val="24"/>
                <w:shd w:val="clear" w:color="auto" w:fill="FFFFFF"/>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867" w:type="dxa"/>
            <w:noWrap w:val="0"/>
            <w:vAlign w:val="center"/>
          </w:tcPr>
          <w:p>
            <w:pPr>
              <w:adjustRightInd w:val="0"/>
              <w:snapToGrid w:val="0"/>
              <w:jc w:val="center"/>
              <w:rPr>
                <w:rFonts w:hint="eastAsia" w:ascii="方正仿宋_GBK" w:hAnsi="方正仿宋_GBK" w:eastAsia="方正仿宋_GBK"/>
                <w:color w:val="auto"/>
                <w:sz w:val="24"/>
                <w:szCs w:val="24"/>
                <w:shd w:val="clear" w:color="auto" w:fill="FFFFFF"/>
                <w:lang w:eastAsia="zh-CN"/>
              </w:rPr>
            </w:pPr>
            <w:r>
              <w:rPr>
                <w:rFonts w:hint="eastAsia" w:eastAsia="方正仿宋_GBK"/>
                <w:color w:val="auto"/>
                <w:sz w:val="24"/>
                <w:szCs w:val="24"/>
                <w:shd w:val="clear" w:color="auto" w:fill="FFFFFF"/>
              </w:rPr>
              <w:t>三级</w:t>
            </w:r>
            <w:r>
              <w:rPr>
                <w:rFonts w:hint="eastAsia" w:eastAsia="方正仿宋_GBK"/>
                <w:color w:val="auto"/>
                <w:sz w:val="24"/>
                <w:szCs w:val="24"/>
                <w:shd w:val="clear" w:color="auto" w:fill="FFFFFF"/>
                <w:lang w:eastAsia="zh-CN"/>
              </w:rPr>
              <w:t>、</w:t>
            </w:r>
            <w:r>
              <w:rPr>
                <w:rFonts w:hint="eastAsia" w:eastAsia="方正仿宋_GBK"/>
                <w:color w:val="auto"/>
                <w:sz w:val="24"/>
                <w:szCs w:val="24"/>
                <w:shd w:val="clear" w:color="auto" w:fill="FFFFFF"/>
              </w:rPr>
              <w:t>四级</w:t>
            </w:r>
            <w:r>
              <w:rPr>
                <w:rFonts w:hint="eastAsia" w:eastAsia="方正仿宋_GBK"/>
                <w:color w:val="auto"/>
                <w:sz w:val="24"/>
                <w:szCs w:val="24"/>
                <w:shd w:val="clear" w:color="auto" w:fill="FFFFFF"/>
                <w:lang w:eastAsia="zh-CN"/>
              </w:rPr>
              <w:t>、五级</w:t>
            </w:r>
          </w:p>
        </w:tc>
        <w:tc>
          <w:tcPr>
            <w:tcW w:w="5525" w:type="dxa"/>
            <w:noWrap w:val="0"/>
            <w:vAlign w:val="center"/>
          </w:tcPr>
          <w:p>
            <w:pPr>
              <w:adjustRightInd w:val="0"/>
              <w:snapToGrid w:val="0"/>
              <w:jc w:val="center"/>
              <w:rPr>
                <w:rFonts w:hint="eastAsia" w:eastAsia="方正仿宋_GBK"/>
                <w:color w:val="auto"/>
                <w:sz w:val="24"/>
                <w:szCs w:val="24"/>
                <w:shd w:val="clear" w:color="auto" w:fill="FFFFFF"/>
                <w:lang w:eastAsia="zh-CN"/>
              </w:rPr>
            </w:pPr>
            <w:r>
              <w:rPr>
                <w:rFonts w:hint="eastAsia" w:eastAsia="方正仿宋_GBK"/>
                <w:color w:val="auto"/>
                <w:sz w:val="24"/>
                <w:szCs w:val="24"/>
                <w:shd w:val="clear" w:color="auto" w:fill="FFFFFF"/>
              </w:rPr>
              <w:t>1:</w:t>
            </w:r>
            <w:r>
              <w:rPr>
                <w:rFonts w:hint="eastAsia" w:eastAsia="方正仿宋_GBK"/>
                <w:color w:val="auto"/>
                <w:sz w:val="24"/>
                <w:szCs w:val="24"/>
                <w:shd w:val="clear" w:color="auto" w:fill="FFFFFF"/>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867" w:type="dxa"/>
            <w:noWrap w:val="0"/>
            <w:vAlign w:val="center"/>
          </w:tcPr>
          <w:p>
            <w:pPr>
              <w:adjustRightInd w:val="0"/>
              <w:snapToGrid w:val="0"/>
              <w:jc w:val="center"/>
              <w:rPr>
                <w:rFonts w:hint="eastAsia" w:eastAsia="方正仿宋_GBK"/>
                <w:color w:val="auto"/>
                <w:sz w:val="24"/>
                <w:szCs w:val="24"/>
                <w:shd w:val="clear" w:color="auto" w:fill="FFFFFF"/>
              </w:rPr>
            </w:pPr>
            <w:r>
              <w:rPr>
                <w:rFonts w:hint="eastAsia" w:eastAsia="方正仿宋_GBK"/>
                <w:color w:val="auto"/>
                <w:sz w:val="24"/>
                <w:szCs w:val="24"/>
                <w:shd w:val="clear" w:color="auto" w:fill="FFFFFF"/>
              </w:rPr>
              <w:t>六级、七级</w:t>
            </w:r>
          </w:p>
        </w:tc>
        <w:tc>
          <w:tcPr>
            <w:tcW w:w="5525" w:type="dxa"/>
            <w:noWrap w:val="0"/>
            <w:vAlign w:val="center"/>
          </w:tcPr>
          <w:p>
            <w:pPr>
              <w:adjustRightInd w:val="0"/>
              <w:snapToGrid w:val="0"/>
              <w:jc w:val="center"/>
              <w:rPr>
                <w:rFonts w:hint="default" w:eastAsia="方正仿宋_GBK"/>
                <w:color w:val="auto"/>
                <w:sz w:val="24"/>
                <w:szCs w:val="24"/>
                <w:shd w:val="clear" w:color="auto" w:fill="FFFFFF"/>
                <w:lang w:val="en-US" w:eastAsia="zh-CN"/>
              </w:rPr>
            </w:pPr>
            <w:r>
              <w:rPr>
                <w:rFonts w:hint="eastAsia" w:eastAsia="方正仿宋_GBK"/>
                <w:color w:val="auto"/>
                <w:sz w:val="24"/>
                <w:szCs w:val="24"/>
                <w:shd w:val="clear" w:color="auto" w:fill="FFFFFF"/>
                <w:lang w:val="en-US" w:eastAsia="zh-CN"/>
              </w:rPr>
              <w:t>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8392" w:type="dxa"/>
            <w:gridSpan w:val="2"/>
            <w:noWrap w:val="0"/>
            <w:vAlign w:val="center"/>
          </w:tcPr>
          <w:p>
            <w:pPr>
              <w:adjustRightInd w:val="0"/>
              <w:snapToGrid w:val="0"/>
              <w:jc w:val="left"/>
              <w:rPr>
                <w:rFonts w:hint="eastAsia" w:ascii="方正仿宋_GBK" w:hAnsi="方正仿宋_GBK" w:eastAsia="方正仿宋_GBK"/>
                <w:color w:val="auto"/>
                <w:sz w:val="24"/>
                <w:szCs w:val="24"/>
                <w:shd w:val="clear" w:color="auto" w:fill="FFFFFF"/>
              </w:rPr>
            </w:pPr>
            <w:r>
              <w:rPr>
                <w:rFonts w:hint="eastAsia" w:ascii="方正仿宋_GBK" w:hAnsi="方正仿宋_GBK" w:eastAsia="方正仿宋_GBK"/>
                <w:color w:val="auto"/>
                <w:sz w:val="24"/>
                <w:szCs w:val="24"/>
                <w:shd w:val="clear" w:color="auto" w:fill="FFFFFF"/>
              </w:rPr>
              <w:t>注：</w:t>
            </w:r>
            <w:r>
              <w:rPr>
                <w:rFonts w:hint="eastAsia" w:eastAsia="方正仿宋_GBK"/>
                <w:color w:val="auto"/>
                <w:sz w:val="24"/>
                <w:szCs w:val="24"/>
                <w:shd w:val="clear" w:color="auto" w:fill="FFFFFF"/>
              </w:rPr>
              <w:t>1.</w:t>
            </w:r>
            <w:r>
              <w:rPr>
                <w:rFonts w:hint="eastAsia" w:ascii="方正仿宋_GBK" w:hAnsi="方正仿宋_GBK" w:eastAsia="方正仿宋_GBK"/>
                <w:color w:val="auto"/>
                <w:sz w:val="24"/>
                <w:szCs w:val="24"/>
                <w:shd w:val="clear" w:color="auto" w:fill="FFFFFF"/>
              </w:rPr>
              <w:t>面积在</w:t>
            </w:r>
            <w:r>
              <w:rPr>
                <w:rFonts w:hint="eastAsia" w:eastAsia="方正仿宋_GBK"/>
                <w:color w:val="auto"/>
                <w:sz w:val="24"/>
                <w:szCs w:val="24"/>
                <w:shd w:val="clear" w:color="auto" w:fill="FFFFFF"/>
              </w:rPr>
              <w:t>0.04</w:t>
            </w:r>
            <w:r>
              <w:rPr>
                <w:rFonts w:hint="eastAsia" w:ascii="方正仿宋_GBK" w:hAnsi="方正仿宋_GBK" w:eastAsia="方正仿宋_GBK"/>
                <w:color w:val="auto"/>
                <w:sz w:val="24"/>
                <w:szCs w:val="24"/>
                <w:shd w:val="clear" w:color="auto" w:fill="FFFFFF"/>
              </w:rPr>
              <w:t>公顷至</w:t>
            </w:r>
            <w:r>
              <w:rPr>
                <w:rFonts w:hint="eastAsia" w:eastAsia="方正仿宋_GBK"/>
                <w:color w:val="auto"/>
                <w:sz w:val="24"/>
                <w:szCs w:val="24"/>
                <w:shd w:val="clear" w:color="auto" w:fill="FFFFFF"/>
              </w:rPr>
              <w:t>1</w:t>
            </w:r>
            <w:r>
              <w:rPr>
                <w:rFonts w:hint="eastAsia" w:ascii="方正仿宋_GBK" w:hAnsi="方正仿宋_GBK" w:eastAsia="方正仿宋_GBK"/>
                <w:color w:val="auto"/>
                <w:sz w:val="24"/>
                <w:szCs w:val="24"/>
                <w:shd w:val="clear" w:color="auto" w:fill="FFFFFF"/>
              </w:rPr>
              <w:t>公顷之间的游园为口袋公园。</w:t>
            </w:r>
          </w:p>
          <w:p>
            <w:pPr>
              <w:adjustRightInd w:val="0"/>
              <w:snapToGrid w:val="0"/>
              <w:ind w:firstLine="480" w:firstLineChars="200"/>
              <w:jc w:val="left"/>
              <w:rPr>
                <w:rFonts w:hint="eastAsia" w:ascii="方正仿宋_GBK" w:hAnsi="方正仿宋_GBK" w:eastAsia="方正仿宋_GBK"/>
                <w:color w:val="auto"/>
                <w:sz w:val="24"/>
                <w:szCs w:val="24"/>
                <w:shd w:val="clear" w:color="auto" w:fill="FFFFFF"/>
              </w:rPr>
            </w:pPr>
            <w:r>
              <w:rPr>
                <w:rFonts w:hint="eastAsia" w:eastAsia="方正仿宋_GBK"/>
                <w:color w:val="auto"/>
                <w:sz w:val="24"/>
                <w:szCs w:val="24"/>
                <w:shd w:val="clear" w:color="auto" w:fill="FFFFFF"/>
              </w:rPr>
              <w:t>2.</w:t>
            </w:r>
            <w:r>
              <w:rPr>
                <w:rFonts w:hint="eastAsia" w:ascii="方正仿宋_GBK" w:hAnsi="方正仿宋_GBK" w:eastAsia="方正仿宋_GBK"/>
                <w:color w:val="auto"/>
                <w:sz w:val="24"/>
                <w:szCs w:val="24"/>
                <w:shd w:val="clear" w:color="auto" w:fill="FFFFFF"/>
              </w:rPr>
              <w:t>土地级别指乌鲁木齐市城区土地用途所在土地级别。</w:t>
            </w:r>
          </w:p>
          <w:p>
            <w:pPr>
              <w:adjustRightInd w:val="0"/>
              <w:snapToGrid w:val="0"/>
              <w:ind w:firstLine="480" w:firstLineChars="200"/>
              <w:jc w:val="left"/>
              <w:rPr>
                <w:rFonts w:ascii="方正仿宋_GBK" w:hAnsi="方正仿宋_GBK" w:eastAsia="方正仿宋_GBK"/>
                <w:color w:val="auto"/>
                <w:sz w:val="24"/>
                <w:szCs w:val="24"/>
                <w:shd w:val="clear" w:color="auto" w:fill="FFFFFF"/>
              </w:rPr>
            </w:pPr>
            <w:r>
              <w:rPr>
                <w:rFonts w:hint="eastAsia" w:eastAsia="方正仿宋_GBK"/>
                <w:color w:val="auto"/>
                <w:sz w:val="24"/>
                <w:szCs w:val="24"/>
                <w:shd w:val="clear" w:color="auto" w:fill="FFFFFF"/>
              </w:rPr>
              <w:t>3.相邻公园绿地的比例不得低于表中规定。</w:t>
            </w:r>
          </w:p>
        </w:tc>
      </w:tr>
    </w:tbl>
    <w:p>
      <w:pPr>
        <w:numPr>
          <w:ilvl w:val="0"/>
          <w:numId w:val="1"/>
        </w:numPr>
        <w:spacing w:line="560" w:lineRule="exact"/>
        <w:ind w:firstLine="640" w:firstLineChars="200"/>
        <w:rPr>
          <w:rFonts w:hint="eastAsia" w:eastAsia="方正仿宋_GBK"/>
          <w:color w:val="auto"/>
          <w:sz w:val="32"/>
          <w:szCs w:val="32"/>
          <w:shd w:val="clear" w:color="auto" w:fill="FFFFFF"/>
        </w:rPr>
      </w:pPr>
      <w:r>
        <w:rPr>
          <w:rFonts w:hint="eastAsia" w:ascii="方正楷体_GBK" w:hAnsi="方正楷体_GBK" w:eastAsia="方正楷体_GBK"/>
          <w:color w:val="auto"/>
          <w:sz w:val="32"/>
          <w:szCs w:val="32"/>
          <w:shd w:val="clear" w:color="auto" w:fill="FFFFFF"/>
        </w:rPr>
        <w:t>采取地价支持政策。</w:t>
      </w:r>
      <w:r>
        <w:rPr>
          <w:rFonts w:hint="eastAsia" w:eastAsia="方正仿宋_GBK"/>
          <w:color w:val="auto"/>
          <w:sz w:val="32"/>
          <w:szCs w:val="32"/>
          <w:shd w:val="clear" w:color="auto" w:fill="FFFFFF"/>
        </w:rPr>
        <w:t>针对与社区公园、游园（含口袋公园）联动开发项目，采取“一事一议”，依法享受土地价格优惠。</w:t>
      </w:r>
    </w:p>
    <w:p>
      <w:pPr>
        <w:spacing w:line="560" w:lineRule="exact"/>
        <w:ind w:firstLine="640" w:firstLineChars="200"/>
        <w:rPr>
          <w:rFonts w:eastAsia="方正仿宋_GBK"/>
          <w:color w:val="auto"/>
          <w:sz w:val="32"/>
          <w:szCs w:val="32"/>
          <w:shd w:val="clear" w:color="auto" w:fill="FFFFFF"/>
        </w:rPr>
      </w:pPr>
      <w:r>
        <w:rPr>
          <w:rFonts w:hint="eastAsia" w:eastAsia="方正仿宋_GBK"/>
          <w:color w:val="auto"/>
          <w:sz w:val="32"/>
          <w:szCs w:val="32"/>
          <w:shd w:val="clear" w:color="auto" w:fill="FFFFFF"/>
        </w:rPr>
        <w:t>土地出让时，应在土地供应条件中明确，取得土地使用权的主体须与园林主管部门签订周边公园绿地代建代管协议，协议期限与拟摘牌土地使用权期限一致，且土地使用权与公园代建代管责任不得分割。公园绿地用地权属为园林主管部门，取得联动开发用地权属的主体享有公园特许经营及公园地下空间开发利用优先权。</w:t>
      </w:r>
    </w:p>
    <w:p>
      <w:pPr>
        <w:spacing w:line="560" w:lineRule="exact"/>
        <w:ind w:firstLine="640" w:firstLineChars="200"/>
        <w:rPr>
          <w:rFonts w:ascii="方正仿宋_GBK" w:hAnsi="方正楷体_GBK" w:eastAsia="方正仿宋_GBK"/>
          <w:color w:val="auto"/>
          <w:sz w:val="32"/>
          <w:szCs w:val="32"/>
          <w:shd w:val="clear" w:color="auto" w:fill="FFFFFF"/>
        </w:rPr>
      </w:pPr>
      <w:r>
        <w:rPr>
          <w:rFonts w:hint="eastAsia" w:ascii="方正楷体_GBK" w:hAnsi="方正楷体_GBK" w:eastAsia="方正楷体_GBK"/>
          <w:color w:val="auto"/>
          <w:sz w:val="32"/>
          <w:szCs w:val="32"/>
          <w:shd w:val="clear" w:color="auto" w:fill="FFFFFF"/>
        </w:rPr>
        <w:t>（三）优化提升现状公园。</w:t>
      </w:r>
      <w:r>
        <w:rPr>
          <w:rFonts w:hint="eastAsia" w:ascii="方正仿宋_GBK" w:hAnsi="方正楷体_GBK" w:eastAsia="方正仿宋_GBK"/>
          <w:color w:val="auto"/>
          <w:sz w:val="32"/>
          <w:szCs w:val="32"/>
          <w:shd w:val="clear" w:color="auto" w:fill="FFFFFF"/>
        </w:rPr>
        <w:t>在保障公园公益属性不变的前提下，支持引入社会资本市场化运维，拓展现状社区公园、游园（含口袋公园）设施功能，提升公园服务水平。</w:t>
      </w:r>
    </w:p>
    <w:p>
      <w:pPr>
        <w:pStyle w:val="3"/>
        <w:ind w:firstLine="640" w:firstLineChars="200"/>
        <w:rPr>
          <w:b w:val="0"/>
          <w:color w:val="auto"/>
          <w:sz w:val="32"/>
          <w:szCs w:val="32"/>
        </w:rPr>
      </w:pPr>
      <w:r>
        <w:rPr>
          <w:rFonts w:hint="eastAsia" w:ascii="方正黑体_GBK" w:hAnsi="方正黑体_GBK" w:eastAsia="方正黑体_GBK"/>
          <w:b w:val="0"/>
          <w:color w:val="auto"/>
          <w:sz w:val="32"/>
          <w:szCs w:val="32"/>
          <w:shd w:val="clear" w:color="auto" w:fill="FFFFFF"/>
        </w:rPr>
        <w:t>二、挖潜地下空间，提升土地利用效能</w:t>
      </w:r>
    </w:p>
    <w:p>
      <w:pPr>
        <w:spacing w:line="540" w:lineRule="exact"/>
        <w:ind w:firstLine="640" w:firstLineChars="200"/>
        <w:rPr>
          <w:rFonts w:hint="eastAsia"/>
          <w:color w:val="auto"/>
        </w:rPr>
      </w:pPr>
      <w:r>
        <w:rPr>
          <w:rFonts w:hint="eastAsia" w:ascii="方正楷体_GBK" w:hAnsi="方正楷体_GBK" w:eastAsia="方正楷体_GBK"/>
          <w:color w:val="auto"/>
          <w:sz w:val="32"/>
          <w:szCs w:val="32"/>
          <w:shd w:val="clear" w:color="auto" w:fill="FFFFFF"/>
        </w:rPr>
        <w:t>（四）合理开发利用公园地下空间。</w:t>
      </w:r>
      <w:r>
        <w:rPr>
          <w:rFonts w:hint="eastAsia" w:ascii="方正仿宋_GBK" w:hAnsi="方正楷体_GBK" w:eastAsia="方正仿宋_GBK"/>
          <w:color w:val="auto"/>
          <w:sz w:val="32"/>
          <w:szCs w:val="32"/>
          <w:shd w:val="clear" w:color="auto" w:fill="FFFFFF"/>
        </w:rPr>
        <w:t>新建社区公园、游园（含口袋公园）地下空间可适度布局停车、文化、体育、商业设施等用途，</w:t>
      </w:r>
      <w:r>
        <w:rPr>
          <w:rFonts w:hint="eastAsia" w:eastAsia="方正仿宋_GBK"/>
          <w:color w:val="auto"/>
          <w:sz w:val="32"/>
          <w:szCs w:val="32"/>
          <w:shd w:val="clear" w:color="auto" w:fill="FFFFFF"/>
        </w:rPr>
        <w:t>地下空间顶板上种植土层厚度不得小于</w:t>
      </w:r>
      <w:r>
        <w:rPr>
          <w:rFonts w:eastAsia="方正仿宋_GBK"/>
          <w:color w:val="auto"/>
          <w:sz w:val="32"/>
          <w:szCs w:val="32"/>
          <w:shd w:val="clear" w:color="auto" w:fill="FFFFFF"/>
        </w:rPr>
        <w:t>2</w:t>
      </w:r>
      <w:r>
        <w:rPr>
          <w:rFonts w:hint="eastAsia" w:eastAsia="方正仿宋_GBK"/>
          <w:color w:val="auto"/>
          <w:sz w:val="32"/>
          <w:szCs w:val="32"/>
          <w:shd w:val="clear" w:color="auto" w:fill="FFFFFF"/>
        </w:rPr>
        <w:t>.</w:t>
      </w:r>
      <w:r>
        <w:rPr>
          <w:rFonts w:eastAsia="方正仿宋_GBK"/>
          <w:color w:val="auto"/>
          <w:sz w:val="32"/>
          <w:szCs w:val="32"/>
          <w:shd w:val="clear" w:color="auto" w:fill="FFFFFF"/>
        </w:rPr>
        <w:t>0</w:t>
      </w:r>
      <w:r>
        <w:rPr>
          <w:rFonts w:hint="eastAsia" w:eastAsia="方正仿宋_GBK"/>
          <w:color w:val="auto"/>
          <w:sz w:val="32"/>
          <w:szCs w:val="32"/>
          <w:shd w:val="clear" w:color="auto" w:fill="FFFFFF"/>
        </w:rPr>
        <w:t>米，</w:t>
      </w:r>
      <w:r>
        <w:rPr>
          <w:rFonts w:hint="eastAsia" w:ascii="方正仿宋_GBK" w:hAnsi="方正楷体_GBK" w:eastAsia="方正仿宋_GBK"/>
          <w:color w:val="auto"/>
          <w:sz w:val="32"/>
          <w:szCs w:val="32"/>
          <w:shd w:val="clear" w:color="auto" w:fill="FFFFFF"/>
        </w:rPr>
        <w:t>确保城市公园生态、景观、游憩等功能正常发挥</w:t>
      </w:r>
      <w:r>
        <w:rPr>
          <w:rFonts w:hint="eastAsia" w:eastAsia="方正仿宋_GBK"/>
          <w:color w:val="auto"/>
          <w:sz w:val="32"/>
          <w:szCs w:val="32"/>
          <w:shd w:val="clear" w:color="auto" w:fill="FFFFFF"/>
        </w:rPr>
        <w:t>。开发利用比例应符合表2的规定。</w:t>
      </w:r>
    </w:p>
    <w:p>
      <w:pPr>
        <w:spacing w:line="540" w:lineRule="exact"/>
        <w:jc w:val="center"/>
        <w:rPr>
          <w:rFonts w:hint="eastAsia" w:eastAsia="方正仿宋_GBK"/>
          <w:b/>
          <w:bCs/>
          <w:color w:val="auto"/>
          <w:sz w:val="28"/>
          <w:szCs w:val="28"/>
          <w:shd w:val="clear" w:color="auto" w:fill="FFFFFF"/>
        </w:rPr>
      </w:pPr>
      <w:r>
        <w:rPr>
          <w:rFonts w:hint="eastAsia" w:eastAsia="方正仿宋_GBK"/>
          <w:b/>
          <w:bCs/>
          <w:color w:val="auto"/>
          <w:sz w:val="28"/>
          <w:szCs w:val="28"/>
          <w:shd w:val="clear" w:color="auto" w:fill="FFFFFF"/>
        </w:rPr>
        <w:t>表2新建社区公园、游园（含口袋公园）地下空间允许开发利用比例</w:t>
      </w:r>
    </w:p>
    <w:tbl>
      <w:tblPr>
        <w:tblStyle w:val="6"/>
        <w:tblW w:w="907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500"/>
        <w:gridCol w:w="45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65" w:hRule="atLeast"/>
        </w:trPr>
        <w:tc>
          <w:tcPr>
            <w:tcW w:w="4500" w:type="dxa"/>
            <w:noWrap w:val="0"/>
            <w:vAlign w:val="center"/>
          </w:tcPr>
          <w:p>
            <w:pPr>
              <w:adjustRightInd w:val="0"/>
              <w:snapToGrid w:val="0"/>
              <w:jc w:val="center"/>
              <w:rPr>
                <w:rFonts w:hint="eastAsia" w:ascii="方正仿宋_GBK" w:hAnsi="方正仿宋_GBK" w:eastAsia="方正仿宋_GBK"/>
                <w:b/>
                <w:color w:val="auto"/>
                <w:kern w:val="0"/>
                <w:sz w:val="24"/>
                <w:szCs w:val="24"/>
                <w:lang w:bidi="ar"/>
              </w:rPr>
            </w:pPr>
            <w:r>
              <w:rPr>
                <w:rFonts w:hint="eastAsia" w:ascii="方正仿宋_GBK" w:hAnsi="方正仿宋_GBK" w:eastAsia="方正仿宋_GBK"/>
                <w:b/>
                <w:color w:val="auto"/>
                <w:kern w:val="0"/>
                <w:sz w:val="24"/>
                <w:szCs w:val="24"/>
                <w:lang w:bidi="ar"/>
              </w:rPr>
              <w:t>公园绿地规模</w:t>
            </w:r>
          </w:p>
        </w:tc>
        <w:tc>
          <w:tcPr>
            <w:tcW w:w="4575" w:type="dxa"/>
            <w:noWrap w:val="0"/>
            <w:vAlign w:val="center"/>
          </w:tcPr>
          <w:p>
            <w:pPr>
              <w:adjustRightInd w:val="0"/>
              <w:snapToGrid w:val="0"/>
              <w:jc w:val="center"/>
              <w:rPr>
                <w:rFonts w:hint="eastAsia" w:ascii="方正仿宋_GBK" w:hAnsi="方正仿宋_GBK" w:eastAsia="方正仿宋_GBK"/>
                <w:b/>
                <w:color w:val="auto"/>
                <w:kern w:val="0"/>
                <w:sz w:val="24"/>
                <w:szCs w:val="24"/>
                <w:lang w:bidi="ar"/>
              </w:rPr>
            </w:pPr>
            <w:r>
              <w:rPr>
                <w:rFonts w:hint="eastAsia" w:ascii="方正仿宋_GBK" w:hAnsi="方正仿宋_GBK" w:eastAsia="方正仿宋_GBK"/>
                <w:b/>
                <w:color w:val="auto"/>
                <w:kern w:val="0"/>
                <w:sz w:val="24"/>
                <w:szCs w:val="24"/>
                <w:lang w:bidi="ar"/>
              </w:rPr>
              <w:t>地下空间允许开发利用比例（%）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9" w:hRule="atLeast"/>
        </w:trPr>
        <w:tc>
          <w:tcPr>
            <w:tcW w:w="4500" w:type="dxa"/>
            <w:noWrap w:val="0"/>
            <w:vAlign w:val="center"/>
          </w:tcPr>
          <w:p>
            <w:pPr>
              <w:adjustRightInd w:val="0"/>
              <w:snapToGrid w:val="0"/>
              <w:jc w:val="center"/>
              <w:rPr>
                <w:rFonts w:ascii="方正仿宋_GBK" w:hAnsi="方正仿宋_GBK" w:eastAsia="方正仿宋_GBK"/>
                <w:color w:val="auto"/>
                <w:kern w:val="0"/>
                <w:sz w:val="24"/>
                <w:szCs w:val="24"/>
                <w:lang w:bidi="ar"/>
              </w:rPr>
            </w:pPr>
            <w:r>
              <w:rPr>
                <w:rFonts w:hint="eastAsia" w:ascii="方正仿宋_GBK" w:hAnsi="方正仿宋_GBK" w:eastAsia="方正仿宋_GBK"/>
                <w:color w:val="auto"/>
                <w:kern w:val="0"/>
                <w:sz w:val="24"/>
                <w:szCs w:val="24"/>
                <w:lang w:bidi="ar"/>
              </w:rPr>
              <w:t>小于</w:t>
            </w:r>
            <w:r>
              <w:rPr>
                <w:rFonts w:eastAsia="方正仿宋_GBK"/>
                <w:color w:val="auto"/>
                <w:kern w:val="0"/>
                <w:sz w:val="24"/>
                <w:szCs w:val="24"/>
                <w:lang w:bidi="ar"/>
              </w:rPr>
              <w:t>0</w:t>
            </w:r>
            <w:r>
              <w:rPr>
                <w:rFonts w:hint="eastAsia" w:eastAsia="方正仿宋_GBK"/>
                <w:color w:val="auto"/>
                <w:kern w:val="0"/>
                <w:sz w:val="24"/>
                <w:szCs w:val="24"/>
                <w:lang w:bidi="ar"/>
              </w:rPr>
              <w:t>.</w:t>
            </w:r>
            <w:r>
              <w:rPr>
                <w:rFonts w:eastAsia="方正仿宋_GBK"/>
                <w:color w:val="auto"/>
                <w:kern w:val="0"/>
                <w:sz w:val="24"/>
                <w:szCs w:val="24"/>
                <w:lang w:bidi="ar"/>
              </w:rPr>
              <w:t>3</w:t>
            </w:r>
            <w:r>
              <w:rPr>
                <w:rFonts w:hint="eastAsia" w:ascii="方正仿宋_GBK" w:hAnsi="方正仿宋_GBK" w:eastAsia="方正仿宋_GBK"/>
                <w:color w:val="auto"/>
                <w:kern w:val="0"/>
                <w:sz w:val="24"/>
                <w:szCs w:val="24"/>
                <w:lang w:bidi="ar"/>
              </w:rPr>
              <w:t>公顷（含</w:t>
            </w:r>
            <w:r>
              <w:rPr>
                <w:rFonts w:eastAsia="方正仿宋_GBK"/>
                <w:color w:val="auto"/>
                <w:kern w:val="0"/>
                <w:sz w:val="24"/>
                <w:szCs w:val="24"/>
                <w:lang w:bidi="ar"/>
              </w:rPr>
              <w:t>0</w:t>
            </w:r>
            <w:r>
              <w:rPr>
                <w:rFonts w:hint="eastAsia" w:eastAsia="方正仿宋_GBK"/>
                <w:color w:val="auto"/>
                <w:kern w:val="0"/>
                <w:sz w:val="24"/>
                <w:szCs w:val="24"/>
                <w:lang w:bidi="ar"/>
              </w:rPr>
              <w:t>.</w:t>
            </w:r>
            <w:r>
              <w:rPr>
                <w:rFonts w:eastAsia="方正仿宋_GBK"/>
                <w:color w:val="auto"/>
                <w:kern w:val="0"/>
                <w:sz w:val="24"/>
                <w:szCs w:val="24"/>
                <w:lang w:bidi="ar"/>
              </w:rPr>
              <w:t>3</w:t>
            </w:r>
            <w:r>
              <w:rPr>
                <w:rFonts w:hint="eastAsia" w:ascii="方正仿宋_GBK" w:hAnsi="方正仿宋_GBK" w:eastAsia="方正仿宋_GBK"/>
                <w:color w:val="auto"/>
                <w:kern w:val="0"/>
                <w:sz w:val="24"/>
                <w:szCs w:val="24"/>
                <w:lang w:bidi="ar"/>
              </w:rPr>
              <w:t>公顷）</w:t>
            </w:r>
          </w:p>
        </w:tc>
        <w:tc>
          <w:tcPr>
            <w:tcW w:w="4575" w:type="dxa"/>
            <w:noWrap w:val="0"/>
            <w:vAlign w:val="center"/>
          </w:tcPr>
          <w:p>
            <w:pPr>
              <w:adjustRightInd w:val="0"/>
              <w:snapToGrid w:val="0"/>
              <w:jc w:val="center"/>
              <w:rPr>
                <w:rFonts w:hint="eastAsia" w:ascii="方正仿宋_GBK" w:hAnsi="方正仿宋_GBK" w:eastAsia="方正仿宋_GBK"/>
                <w:color w:val="auto"/>
                <w:kern w:val="0"/>
                <w:sz w:val="24"/>
                <w:szCs w:val="24"/>
                <w:lang w:bidi="ar"/>
              </w:rPr>
            </w:pPr>
            <w:r>
              <w:rPr>
                <w:rFonts w:hint="eastAsia" w:ascii="方正仿宋_GBK" w:hAnsi="方正仿宋_GBK" w:eastAsia="方正仿宋_GBK"/>
                <w:color w:val="auto"/>
                <w:kern w:val="0"/>
                <w:sz w:val="24"/>
                <w:szCs w:val="24"/>
                <w:lang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9" w:hRule="atLeast"/>
        </w:trPr>
        <w:tc>
          <w:tcPr>
            <w:tcW w:w="4500" w:type="dxa"/>
            <w:noWrap w:val="0"/>
            <w:vAlign w:val="center"/>
          </w:tcPr>
          <w:p>
            <w:pPr>
              <w:adjustRightInd w:val="0"/>
              <w:snapToGrid w:val="0"/>
              <w:jc w:val="center"/>
              <w:rPr>
                <w:rFonts w:hint="eastAsia" w:ascii="方正仿宋_GBK" w:hAnsi="方正仿宋_GBK" w:eastAsia="方正仿宋_GBK"/>
                <w:color w:val="auto"/>
                <w:kern w:val="0"/>
                <w:sz w:val="24"/>
                <w:szCs w:val="24"/>
                <w:lang w:bidi="ar"/>
              </w:rPr>
            </w:pPr>
            <w:r>
              <w:rPr>
                <w:rFonts w:hint="eastAsia" w:ascii="方正仿宋_GBK" w:hAnsi="方正仿宋_GBK" w:eastAsia="方正仿宋_GBK"/>
                <w:color w:val="auto"/>
                <w:kern w:val="0"/>
                <w:sz w:val="24"/>
                <w:szCs w:val="24"/>
                <w:lang w:bidi="ar"/>
              </w:rPr>
              <w:t>大于</w:t>
            </w:r>
            <w:r>
              <w:rPr>
                <w:rFonts w:eastAsia="方正仿宋_GBK"/>
                <w:color w:val="auto"/>
                <w:kern w:val="0"/>
                <w:sz w:val="24"/>
                <w:szCs w:val="24"/>
                <w:lang w:bidi="ar"/>
              </w:rPr>
              <w:t>0</w:t>
            </w:r>
            <w:r>
              <w:rPr>
                <w:rFonts w:hint="eastAsia" w:eastAsia="方正仿宋_GBK"/>
                <w:color w:val="auto"/>
                <w:kern w:val="0"/>
                <w:sz w:val="24"/>
                <w:szCs w:val="24"/>
                <w:lang w:bidi="ar"/>
              </w:rPr>
              <w:t>.</w:t>
            </w:r>
            <w:r>
              <w:rPr>
                <w:rFonts w:eastAsia="方正仿宋_GBK"/>
                <w:color w:val="auto"/>
                <w:kern w:val="0"/>
                <w:sz w:val="24"/>
                <w:szCs w:val="24"/>
                <w:lang w:bidi="ar"/>
              </w:rPr>
              <w:t>3</w:t>
            </w:r>
            <w:r>
              <w:rPr>
                <w:rFonts w:hint="eastAsia" w:ascii="方正仿宋_GBK" w:hAnsi="方正仿宋_GBK" w:eastAsia="方正仿宋_GBK"/>
                <w:color w:val="auto"/>
                <w:kern w:val="0"/>
                <w:sz w:val="24"/>
                <w:szCs w:val="24"/>
                <w:lang w:bidi="ar"/>
              </w:rPr>
              <w:t>公顷小于</w:t>
            </w:r>
            <w:r>
              <w:rPr>
                <w:rFonts w:eastAsia="方正仿宋_GBK"/>
                <w:color w:val="auto"/>
                <w:kern w:val="0"/>
                <w:sz w:val="24"/>
                <w:szCs w:val="24"/>
                <w:lang w:bidi="ar"/>
              </w:rPr>
              <w:t>2</w:t>
            </w:r>
            <w:r>
              <w:rPr>
                <w:rFonts w:hint="eastAsia" w:ascii="方正仿宋_GBK" w:hAnsi="方正仿宋_GBK" w:eastAsia="方正仿宋_GBK"/>
                <w:color w:val="auto"/>
                <w:kern w:val="0"/>
                <w:sz w:val="24"/>
                <w:szCs w:val="24"/>
                <w:lang w:bidi="ar"/>
              </w:rPr>
              <w:t>公顷（含</w:t>
            </w:r>
            <w:r>
              <w:rPr>
                <w:rFonts w:eastAsia="方正仿宋_GBK"/>
                <w:color w:val="auto"/>
                <w:kern w:val="0"/>
                <w:sz w:val="24"/>
                <w:szCs w:val="24"/>
                <w:lang w:bidi="ar"/>
              </w:rPr>
              <w:t>2</w:t>
            </w:r>
            <w:r>
              <w:rPr>
                <w:rFonts w:hint="eastAsia" w:ascii="方正仿宋_GBK" w:hAnsi="方正仿宋_GBK" w:eastAsia="方正仿宋_GBK"/>
                <w:color w:val="auto"/>
                <w:kern w:val="0"/>
                <w:sz w:val="24"/>
                <w:szCs w:val="24"/>
                <w:lang w:bidi="ar"/>
              </w:rPr>
              <w:t>公顷）</w:t>
            </w:r>
          </w:p>
        </w:tc>
        <w:tc>
          <w:tcPr>
            <w:tcW w:w="4575" w:type="dxa"/>
            <w:noWrap w:val="0"/>
            <w:vAlign w:val="center"/>
          </w:tcPr>
          <w:p>
            <w:pPr>
              <w:adjustRightInd w:val="0"/>
              <w:snapToGrid w:val="0"/>
              <w:jc w:val="center"/>
              <w:rPr>
                <w:rFonts w:eastAsia="方正仿宋_GBK"/>
                <w:color w:val="auto"/>
                <w:kern w:val="0"/>
                <w:sz w:val="24"/>
                <w:szCs w:val="24"/>
                <w:lang w:bidi="ar"/>
              </w:rPr>
            </w:pPr>
            <w:r>
              <w:rPr>
                <w:rFonts w:hint="eastAsia" w:eastAsia="方正仿宋_GBK"/>
                <w:color w:val="auto"/>
                <w:sz w:val="24"/>
                <w:szCs w:val="24"/>
                <w:shd w:val="clear" w:color="auto" w:fill="FFFFFF"/>
              </w:rPr>
              <w:t>≤</w:t>
            </w:r>
            <w:r>
              <w:rPr>
                <w:rFonts w:eastAsia="方正仿宋_GBK"/>
                <w:color w:val="auto"/>
                <w:kern w:val="0"/>
                <w:sz w:val="24"/>
                <w:szCs w:val="24"/>
                <w:lang w:bidi="ar"/>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9" w:hRule="atLeast"/>
        </w:trPr>
        <w:tc>
          <w:tcPr>
            <w:tcW w:w="4500" w:type="dxa"/>
            <w:noWrap w:val="0"/>
            <w:vAlign w:val="center"/>
          </w:tcPr>
          <w:p>
            <w:pPr>
              <w:adjustRightInd w:val="0"/>
              <w:snapToGrid w:val="0"/>
              <w:jc w:val="center"/>
              <w:rPr>
                <w:rFonts w:hint="eastAsia" w:ascii="方正仿宋_GBK" w:hAnsi="方正仿宋_GBK" w:eastAsia="方正仿宋_GBK"/>
                <w:color w:val="auto"/>
                <w:kern w:val="0"/>
                <w:sz w:val="24"/>
                <w:szCs w:val="24"/>
                <w:lang w:bidi="ar"/>
              </w:rPr>
            </w:pPr>
            <w:r>
              <w:rPr>
                <w:rFonts w:hint="eastAsia" w:ascii="方正仿宋_GBK" w:hAnsi="方正仿宋_GBK" w:eastAsia="方正仿宋_GBK"/>
                <w:color w:val="auto"/>
                <w:kern w:val="0"/>
                <w:sz w:val="24"/>
                <w:szCs w:val="24"/>
                <w:lang w:bidi="ar"/>
              </w:rPr>
              <w:t>大于</w:t>
            </w:r>
            <w:r>
              <w:rPr>
                <w:rFonts w:eastAsia="方正仿宋_GBK"/>
                <w:color w:val="auto"/>
                <w:kern w:val="0"/>
                <w:sz w:val="24"/>
                <w:szCs w:val="24"/>
                <w:lang w:bidi="ar"/>
              </w:rPr>
              <w:t>2</w:t>
            </w:r>
            <w:r>
              <w:rPr>
                <w:rFonts w:hint="eastAsia" w:ascii="方正仿宋_GBK" w:hAnsi="方正仿宋_GBK" w:eastAsia="方正仿宋_GBK"/>
                <w:color w:val="auto"/>
                <w:kern w:val="0"/>
                <w:sz w:val="24"/>
                <w:szCs w:val="24"/>
                <w:lang w:bidi="ar"/>
              </w:rPr>
              <w:t>公顷小于</w:t>
            </w:r>
            <w:r>
              <w:rPr>
                <w:rFonts w:eastAsia="方正仿宋_GBK"/>
                <w:color w:val="auto"/>
                <w:kern w:val="0"/>
                <w:sz w:val="24"/>
                <w:szCs w:val="24"/>
                <w:lang w:bidi="ar"/>
              </w:rPr>
              <w:t>5</w:t>
            </w:r>
            <w:r>
              <w:rPr>
                <w:rFonts w:hint="eastAsia" w:ascii="方正仿宋_GBK" w:hAnsi="方正仿宋_GBK" w:eastAsia="方正仿宋_GBK"/>
                <w:color w:val="auto"/>
                <w:kern w:val="0"/>
                <w:sz w:val="24"/>
                <w:szCs w:val="24"/>
                <w:lang w:bidi="ar"/>
              </w:rPr>
              <w:t>公顷（含</w:t>
            </w:r>
            <w:r>
              <w:rPr>
                <w:rFonts w:eastAsia="方正仿宋_GBK"/>
                <w:color w:val="auto"/>
                <w:kern w:val="0"/>
                <w:sz w:val="24"/>
                <w:szCs w:val="24"/>
                <w:lang w:bidi="ar"/>
              </w:rPr>
              <w:t>5</w:t>
            </w:r>
            <w:r>
              <w:rPr>
                <w:rFonts w:hint="eastAsia" w:ascii="方正仿宋_GBK" w:hAnsi="方正仿宋_GBK" w:eastAsia="方正仿宋_GBK"/>
                <w:color w:val="auto"/>
                <w:kern w:val="0"/>
                <w:sz w:val="24"/>
                <w:szCs w:val="24"/>
                <w:lang w:bidi="ar"/>
              </w:rPr>
              <w:t>公顷）</w:t>
            </w:r>
          </w:p>
        </w:tc>
        <w:tc>
          <w:tcPr>
            <w:tcW w:w="4575" w:type="dxa"/>
            <w:noWrap w:val="0"/>
            <w:vAlign w:val="center"/>
          </w:tcPr>
          <w:p>
            <w:pPr>
              <w:adjustRightInd w:val="0"/>
              <w:snapToGrid w:val="0"/>
              <w:jc w:val="center"/>
              <w:rPr>
                <w:rFonts w:eastAsia="方正仿宋_GBK"/>
                <w:color w:val="auto"/>
                <w:kern w:val="0"/>
                <w:sz w:val="24"/>
                <w:szCs w:val="24"/>
                <w:lang w:bidi="ar"/>
              </w:rPr>
            </w:pPr>
            <w:r>
              <w:rPr>
                <w:rFonts w:hint="eastAsia" w:eastAsia="方正仿宋_GBK"/>
                <w:color w:val="auto"/>
                <w:sz w:val="24"/>
                <w:szCs w:val="24"/>
                <w:shd w:val="clear" w:color="auto" w:fill="FFFFFF"/>
              </w:rPr>
              <w:t>≤</w:t>
            </w:r>
            <w:r>
              <w:rPr>
                <w:rFonts w:eastAsia="方正仿宋_GBK"/>
                <w:color w:val="auto"/>
                <w:kern w:val="0"/>
                <w:sz w:val="24"/>
                <w:szCs w:val="24"/>
                <w:lang w:bidi="ar"/>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9" w:hRule="atLeast"/>
        </w:trPr>
        <w:tc>
          <w:tcPr>
            <w:tcW w:w="4500" w:type="dxa"/>
            <w:noWrap w:val="0"/>
            <w:vAlign w:val="center"/>
          </w:tcPr>
          <w:p>
            <w:pPr>
              <w:adjustRightInd w:val="0"/>
              <w:snapToGrid w:val="0"/>
              <w:jc w:val="center"/>
              <w:rPr>
                <w:rFonts w:hint="eastAsia" w:ascii="方正仿宋_GBK" w:hAnsi="方正仿宋_GBK" w:eastAsia="方正仿宋_GBK"/>
                <w:color w:val="auto"/>
                <w:kern w:val="0"/>
                <w:sz w:val="24"/>
                <w:szCs w:val="24"/>
                <w:lang w:bidi="ar"/>
              </w:rPr>
            </w:pPr>
            <w:r>
              <w:rPr>
                <w:rFonts w:hint="eastAsia" w:ascii="方正仿宋_GBK" w:hAnsi="方正仿宋_GBK" w:eastAsia="方正仿宋_GBK"/>
                <w:color w:val="auto"/>
                <w:kern w:val="0"/>
                <w:sz w:val="24"/>
                <w:szCs w:val="24"/>
                <w:lang w:bidi="ar"/>
              </w:rPr>
              <w:t>大于</w:t>
            </w:r>
            <w:r>
              <w:rPr>
                <w:rFonts w:eastAsia="方正仿宋_GBK"/>
                <w:color w:val="auto"/>
                <w:kern w:val="0"/>
                <w:sz w:val="24"/>
                <w:szCs w:val="24"/>
                <w:lang w:bidi="ar"/>
              </w:rPr>
              <w:t>5</w:t>
            </w:r>
            <w:r>
              <w:rPr>
                <w:rFonts w:hint="eastAsia" w:ascii="方正仿宋_GBK" w:hAnsi="方正仿宋_GBK" w:eastAsia="方正仿宋_GBK"/>
                <w:color w:val="auto"/>
                <w:kern w:val="0"/>
                <w:sz w:val="24"/>
                <w:szCs w:val="24"/>
                <w:lang w:bidi="ar"/>
              </w:rPr>
              <w:t>公顷</w:t>
            </w:r>
          </w:p>
        </w:tc>
        <w:tc>
          <w:tcPr>
            <w:tcW w:w="4575" w:type="dxa"/>
            <w:noWrap w:val="0"/>
            <w:vAlign w:val="center"/>
          </w:tcPr>
          <w:p>
            <w:pPr>
              <w:adjustRightInd w:val="0"/>
              <w:snapToGrid w:val="0"/>
              <w:jc w:val="center"/>
              <w:rPr>
                <w:rFonts w:eastAsia="方正仿宋_GBK"/>
                <w:color w:val="auto"/>
                <w:kern w:val="0"/>
                <w:sz w:val="24"/>
                <w:szCs w:val="24"/>
                <w:lang w:bidi="ar"/>
              </w:rPr>
            </w:pPr>
            <w:r>
              <w:rPr>
                <w:rFonts w:hint="eastAsia" w:eastAsia="方正仿宋_GBK"/>
                <w:color w:val="auto"/>
                <w:sz w:val="24"/>
                <w:szCs w:val="24"/>
                <w:shd w:val="clear" w:color="auto" w:fill="FFFFFF"/>
              </w:rPr>
              <w:t>≤</w:t>
            </w:r>
            <w:r>
              <w:rPr>
                <w:rFonts w:eastAsia="方正仿宋_GBK"/>
                <w:color w:val="auto"/>
                <w:kern w:val="0"/>
                <w:sz w:val="24"/>
                <w:szCs w:val="24"/>
                <w:lang w:bidi="ar"/>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0" w:hRule="atLeast"/>
        </w:trPr>
        <w:tc>
          <w:tcPr>
            <w:tcW w:w="9075" w:type="dxa"/>
            <w:gridSpan w:val="2"/>
            <w:noWrap w:val="0"/>
            <w:vAlign w:val="center"/>
          </w:tcPr>
          <w:p>
            <w:pPr>
              <w:adjustRightInd w:val="0"/>
              <w:snapToGrid w:val="0"/>
              <w:jc w:val="left"/>
              <w:rPr>
                <w:rFonts w:hint="eastAsia" w:ascii="方正仿宋_GBK" w:hAnsi="方正仿宋_GBK" w:eastAsia="方正仿宋_GBK"/>
                <w:color w:val="auto"/>
                <w:kern w:val="0"/>
                <w:sz w:val="24"/>
                <w:szCs w:val="24"/>
                <w:lang w:bidi="ar"/>
              </w:rPr>
            </w:pPr>
            <w:r>
              <w:rPr>
                <w:rFonts w:hint="eastAsia" w:ascii="方正仿宋_GBK" w:hAnsi="方正仿宋_GBK" w:eastAsia="方正仿宋_GBK"/>
                <w:color w:val="auto"/>
                <w:kern w:val="0"/>
                <w:sz w:val="24"/>
                <w:szCs w:val="24"/>
                <w:lang w:bidi="ar"/>
              </w:rPr>
              <w:t>注：新建社区公园、游园（含口袋公园）面积依据已批准的详细规划确定。</w:t>
            </w:r>
          </w:p>
        </w:tc>
      </w:tr>
    </w:tbl>
    <w:p>
      <w:pPr>
        <w:spacing w:line="560" w:lineRule="exact"/>
        <w:ind w:firstLine="640" w:firstLineChars="200"/>
        <w:rPr>
          <w:rFonts w:hint="eastAsia" w:eastAsia="方正仿宋_GBK"/>
          <w:color w:val="auto"/>
          <w:sz w:val="32"/>
          <w:szCs w:val="32"/>
        </w:rPr>
      </w:pPr>
      <w:r>
        <w:rPr>
          <w:rFonts w:hint="eastAsia" w:ascii="方正楷体_GBK" w:hAnsi="方正楷体_GBK" w:eastAsia="方正楷体_GBK"/>
          <w:color w:val="auto"/>
          <w:sz w:val="32"/>
          <w:szCs w:val="32"/>
          <w:shd w:val="clear" w:color="auto" w:fill="FFFFFF"/>
        </w:rPr>
        <w:t>（五）支持地下空间分层出让。</w:t>
      </w:r>
      <w:r>
        <w:rPr>
          <w:rFonts w:hint="eastAsia" w:ascii="方正仿宋_GBK" w:hAnsi="方正楷体_GBK" w:eastAsia="方正仿宋_GBK"/>
          <w:color w:val="auto"/>
          <w:sz w:val="32"/>
          <w:szCs w:val="32"/>
          <w:shd w:val="clear" w:color="auto" w:fill="FFFFFF"/>
        </w:rPr>
        <w:t>新建社区公园、游园（含口袋公园）地下空间土地使用权出让时，土地供应条件</w:t>
      </w:r>
      <w:r>
        <w:rPr>
          <w:rFonts w:hint="eastAsia" w:ascii="方正仿宋_GBK" w:hAnsi="方正楷体_GBK" w:eastAsia="方正仿宋_GBK"/>
          <w:color w:val="auto"/>
          <w:sz w:val="32"/>
          <w:szCs w:val="32"/>
          <w:shd w:val="clear" w:color="auto" w:fill="FFFFFF"/>
          <w:lang w:eastAsia="zh-CN"/>
        </w:rPr>
        <w:t>设置参照本措施第（二）条相关规定执行</w:t>
      </w:r>
      <w:r>
        <w:rPr>
          <w:rFonts w:hint="eastAsia" w:eastAsia="方正仿宋_GBK"/>
          <w:color w:val="auto"/>
          <w:sz w:val="32"/>
          <w:szCs w:val="32"/>
          <w:shd w:val="clear" w:color="auto" w:fill="FFFFFF"/>
        </w:rPr>
        <w:t>。</w:t>
      </w:r>
      <w:r>
        <w:rPr>
          <w:rFonts w:hint="eastAsia" w:ascii="方正仿宋_GBK" w:hAnsi="方正楷体_GBK" w:eastAsia="方正仿宋_GBK"/>
          <w:color w:val="auto"/>
          <w:sz w:val="32"/>
          <w:szCs w:val="32"/>
          <w:shd w:val="clear" w:color="auto" w:fill="FFFFFF"/>
        </w:rPr>
        <w:t>公园绿地地表建设用地使用权为园林主管部门。</w:t>
      </w:r>
    </w:p>
    <w:p>
      <w:pPr>
        <w:spacing w:line="560" w:lineRule="exact"/>
        <w:ind w:firstLine="640" w:firstLineChars="200"/>
        <w:jc w:val="left"/>
        <w:rPr>
          <w:rFonts w:hint="eastAsia" w:ascii="方正仿宋_GBK" w:hAnsi="方正仿宋_GBK" w:eastAsia="方正仿宋_GBK"/>
          <w:color w:val="auto"/>
          <w:sz w:val="32"/>
          <w:szCs w:val="32"/>
          <w:shd w:val="clear" w:color="auto" w:fill="FFFFFF"/>
        </w:rPr>
      </w:pPr>
      <w:r>
        <w:rPr>
          <w:rFonts w:hint="eastAsia" w:ascii="方正仿宋_GBK" w:hAnsi="方正仿宋_GBK" w:eastAsia="方正仿宋_GBK"/>
          <w:color w:val="auto"/>
          <w:sz w:val="32"/>
          <w:szCs w:val="32"/>
          <w:shd w:val="clear" w:color="auto" w:fill="FFFFFF"/>
        </w:rPr>
        <w:t>公园绿地地下空间土地价款（租金）参照《乌鲁木齐市城市地下空间开发利用管理办法》执行。</w:t>
      </w:r>
    </w:p>
    <w:p>
      <w:pPr>
        <w:pStyle w:val="3"/>
        <w:ind w:firstLine="640" w:firstLineChars="200"/>
        <w:rPr>
          <w:rFonts w:hint="eastAsia" w:ascii="方正黑体_GBK" w:hAnsi="方正黑体_GBK" w:eastAsia="方正黑体_GBK"/>
          <w:b w:val="0"/>
          <w:color w:val="auto"/>
          <w:sz w:val="32"/>
          <w:szCs w:val="32"/>
          <w:shd w:val="clear" w:color="auto" w:fill="FFFFFF"/>
        </w:rPr>
      </w:pPr>
      <w:r>
        <w:rPr>
          <w:rFonts w:hint="eastAsia" w:ascii="方正黑体_GBK" w:hAnsi="方正黑体_GBK" w:eastAsia="方正黑体_GBK"/>
          <w:b w:val="0"/>
          <w:color w:val="auto"/>
          <w:sz w:val="32"/>
          <w:szCs w:val="32"/>
          <w:shd w:val="clear" w:color="auto" w:fill="FFFFFF"/>
        </w:rPr>
        <w:t>三、完善支持政策，保证运维服务质量</w:t>
      </w:r>
    </w:p>
    <w:p>
      <w:pPr>
        <w:spacing w:line="540" w:lineRule="exact"/>
        <w:ind w:firstLine="640" w:firstLineChars="200"/>
        <w:rPr>
          <w:rFonts w:hint="eastAsia" w:eastAsia="方正仿宋_GBK"/>
          <w:color w:val="auto"/>
          <w:sz w:val="30"/>
          <w:szCs w:val="30"/>
          <w:shd w:val="clear" w:color="auto" w:fill="FFFFFF"/>
        </w:rPr>
      </w:pPr>
      <w:r>
        <w:rPr>
          <w:rFonts w:hint="eastAsia" w:ascii="方正楷体_GBK" w:hAnsi="方正楷体_GBK" w:eastAsia="方正楷体_GBK"/>
          <w:color w:val="auto"/>
          <w:sz w:val="32"/>
          <w:szCs w:val="32"/>
          <w:shd w:val="clear" w:color="auto" w:fill="FFFFFF"/>
        </w:rPr>
        <w:t>（六）提升商业运营水平。</w:t>
      </w:r>
      <w:r>
        <w:rPr>
          <w:rFonts w:hint="eastAsia" w:eastAsia="方正仿宋_GBK"/>
          <w:color w:val="auto"/>
          <w:sz w:val="32"/>
          <w:szCs w:val="32"/>
          <w:shd w:val="clear" w:color="auto" w:fill="FFFFFF"/>
        </w:rPr>
        <w:t>支持和鼓励社会资本进入城市公园配套服务领域，提倡配套服务项目品牌化连锁经营、整体打包专业化运营模式。配套服务项目应以游客需求为导向，以大众服务为主，主要包括餐饮服务、零售服务、游览服务、游艺服务等，营造多元化公园场景，满足市民多样化需求。</w:t>
      </w:r>
    </w:p>
    <w:p>
      <w:pPr>
        <w:spacing w:line="540" w:lineRule="exact"/>
        <w:ind w:firstLine="640" w:firstLineChars="200"/>
        <w:rPr>
          <w:rFonts w:eastAsia="方正仿宋_GBK"/>
          <w:color w:val="auto"/>
          <w:sz w:val="32"/>
          <w:szCs w:val="32"/>
          <w:shd w:val="clear" w:color="auto" w:fill="FFFFFF"/>
        </w:rPr>
      </w:pPr>
      <w:r>
        <w:rPr>
          <w:rFonts w:hint="eastAsia" w:ascii="方正楷体_GBK" w:hAnsi="方正楷体_GBK" w:eastAsia="方正楷体_GBK"/>
          <w:color w:val="auto"/>
          <w:sz w:val="32"/>
          <w:szCs w:val="32"/>
          <w:shd w:val="clear" w:color="auto" w:fill="FFFFFF"/>
        </w:rPr>
        <w:t>（七）规范工作程序。</w:t>
      </w:r>
      <w:r>
        <w:rPr>
          <w:rFonts w:hint="eastAsia" w:ascii="Times New Roman" w:hAnsi="Times New Roman" w:eastAsia="方正仿宋_GBK" w:cs="Times New Roman"/>
          <w:color w:val="auto"/>
          <w:sz w:val="32"/>
          <w:szCs w:val="32"/>
          <w:shd w:val="clear" w:color="auto" w:fill="FFFFFF"/>
          <w:lang w:eastAsia="zh-CN"/>
        </w:rPr>
        <w:t>自然资源主管部门办理公园</w:t>
      </w:r>
      <w:r>
        <w:rPr>
          <w:rFonts w:hint="eastAsia" w:eastAsia="方正仿宋_GBK" w:cs="Times New Roman"/>
          <w:color w:val="auto"/>
          <w:sz w:val="32"/>
          <w:szCs w:val="32"/>
          <w:shd w:val="clear" w:color="auto" w:fill="FFFFFF"/>
          <w:lang w:eastAsia="zh-CN"/>
        </w:rPr>
        <w:t>绿地</w:t>
      </w:r>
      <w:r>
        <w:rPr>
          <w:rFonts w:hint="eastAsia" w:ascii="Times New Roman" w:hAnsi="Times New Roman" w:eastAsia="方正仿宋_GBK" w:cs="Times New Roman"/>
          <w:color w:val="auto"/>
          <w:sz w:val="32"/>
          <w:szCs w:val="32"/>
          <w:shd w:val="clear" w:color="auto" w:fill="FFFFFF"/>
          <w:lang w:eastAsia="zh-CN"/>
        </w:rPr>
        <w:t>联动</w:t>
      </w:r>
      <w:r>
        <w:rPr>
          <w:rFonts w:hint="eastAsia" w:eastAsia="方正仿宋_GBK" w:cs="Times New Roman"/>
          <w:color w:val="auto"/>
          <w:sz w:val="32"/>
          <w:szCs w:val="32"/>
          <w:shd w:val="clear" w:color="auto" w:fill="FFFFFF"/>
          <w:lang w:eastAsia="zh-CN"/>
        </w:rPr>
        <w:t>开发</w:t>
      </w:r>
      <w:r>
        <w:rPr>
          <w:rFonts w:hint="eastAsia" w:ascii="Times New Roman" w:hAnsi="Times New Roman" w:eastAsia="方正仿宋_GBK" w:cs="Times New Roman"/>
          <w:color w:val="auto"/>
          <w:sz w:val="32"/>
          <w:szCs w:val="32"/>
          <w:shd w:val="clear" w:color="auto" w:fill="FFFFFF"/>
          <w:lang w:eastAsia="zh-CN"/>
        </w:rPr>
        <w:t>项目用地规划条件时，同步向园林主管部门推送公园选址</w:t>
      </w:r>
      <w:r>
        <w:rPr>
          <w:rFonts w:hint="eastAsia" w:eastAsia="方正仿宋_GBK" w:cs="Times New Roman"/>
          <w:color w:val="auto"/>
          <w:sz w:val="32"/>
          <w:szCs w:val="32"/>
          <w:shd w:val="clear" w:color="auto" w:fill="FFFFFF"/>
          <w:lang w:eastAsia="zh-CN"/>
        </w:rPr>
        <w:t>手续</w:t>
      </w:r>
      <w:r>
        <w:rPr>
          <w:rFonts w:hint="eastAsia" w:ascii="Times New Roman" w:hAnsi="Times New Roman" w:eastAsia="方正仿宋_GBK" w:cs="Times New Roman"/>
          <w:color w:val="auto"/>
          <w:sz w:val="32"/>
          <w:szCs w:val="32"/>
          <w:shd w:val="clear" w:color="auto" w:fill="FFFFFF"/>
          <w:lang w:eastAsia="zh-CN"/>
        </w:rPr>
        <w:t>。建设单位在取得联动</w:t>
      </w:r>
      <w:r>
        <w:rPr>
          <w:rFonts w:hint="eastAsia" w:eastAsia="方正仿宋_GBK" w:cs="Times New Roman"/>
          <w:color w:val="auto"/>
          <w:sz w:val="32"/>
          <w:szCs w:val="32"/>
          <w:shd w:val="clear" w:color="auto" w:fill="FFFFFF"/>
          <w:lang w:eastAsia="zh-CN"/>
        </w:rPr>
        <w:t>开发</w:t>
      </w:r>
      <w:r>
        <w:rPr>
          <w:rFonts w:hint="eastAsia" w:ascii="Times New Roman" w:hAnsi="Times New Roman" w:eastAsia="方正仿宋_GBK" w:cs="Times New Roman"/>
          <w:color w:val="auto"/>
          <w:sz w:val="32"/>
          <w:szCs w:val="32"/>
          <w:shd w:val="clear" w:color="auto" w:fill="FFFFFF"/>
          <w:lang w:eastAsia="zh-CN"/>
        </w:rPr>
        <w:t>项目土地使用权时，应与园林主管部门签订</w:t>
      </w:r>
      <w:r>
        <w:rPr>
          <w:rFonts w:hint="eastAsia" w:eastAsia="方正仿宋_GBK" w:cs="Times New Roman"/>
          <w:color w:val="auto"/>
          <w:sz w:val="32"/>
          <w:szCs w:val="32"/>
          <w:shd w:val="clear" w:color="auto" w:fill="FFFFFF"/>
          <w:lang w:eastAsia="zh-CN"/>
        </w:rPr>
        <w:t>公</w:t>
      </w:r>
      <w:r>
        <w:rPr>
          <w:rFonts w:hint="eastAsia" w:eastAsia="方正仿宋_GBK" w:cs="Times New Roman"/>
          <w:color w:val="auto"/>
          <w:sz w:val="32"/>
          <w:szCs w:val="32"/>
          <w:highlight w:val="none"/>
          <w:shd w:val="clear" w:color="auto" w:fill="FFFFFF"/>
          <w:lang w:eastAsia="zh-CN"/>
        </w:rPr>
        <w:t>园绿地</w:t>
      </w:r>
      <w:r>
        <w:rPr>
          <w:rFonts w:hint="eastAsia" w:ascii="Times New Roman" w:hAnsi="Times New Roman" w:eastAsia="方正仿宋_GBK" w:cs="Times New Roman"/>
          <w:color w:val="auto"/>
          <w:sz w:val="32"/>
          <w:szCs w:val="32"/>
          <w:highlight w:val="none"/>
          <w:shd w:val="clear" w:color="auto" w:fill="FFFFFF"/>
          <w:lang w:eastAsia="zh-CN"/>
        </w:rPr>
        <w:t>代建代管协议</w:t>
      </w:r>
      <w:r>
        <w:rPr>
          <w:rFonts w:hint="eastAsia" w:eastAsia="方正仿宋_GBK" w:cs="Times New Roman"/>
          <w:color w:val="auto"/>
          <w:sz w:val="32"/>
          <w:szCs w:val="32"/>
          <w:highlight w:val="none"/>
          <w:shd w:val="clear" w:color="auto" w:fill="FFFFFF"/>
          <w:lang w:eastAsia="zh-CN"/>
        </w:rPr>
        <w:t>，协议中应</w:t>
      </w:r>
      <w:r>
        <w:rPr>
          <w:rFonts w:hint="eastAsia" w:eastAsia="方正仿宋_GBK"/>
          <w:color w:val="auto"/>
          <w:sz w:val="32"/>
          <w:szCs w:val="32"/>
          <w:highlight w:val="none"/>
          <w:shd w:val="clear" w:color="auto" w:fill="FFFFFF"/>
          <w:lang w:eastAsia="zh-CN"/>
        </w:rPr>
        <w:t>明确双方责任与义务</w:t>
      </w:r>
      <w:r>
        <w:rPr>
          <w:rFonts w:hint="eastAsia" w:ascii="Times New Roman" w:hAnsi="Times New Roman" w:eastAsia="方正仿宋_GBK" w:cs="Times New Roman"/>
          <w:color w:val="auto"/>
          <w:sz w:val="32"/>
          <w:szCs w:val="32"/>
          <w:highlight w:val="none"/>
          <w:shd w:val="clear" w:color="auto" w:fill="FFFFFF"/>
          <w:lang w:eastAsia="zh-CN"/>
        </w:rPr>
        <w:t>。</w:t>
      </w:r>
      <w:r>
        <w:rPr>
          <w:rFonts w:hint="eastAsia" w:eastAsia="方正仿宋_GBK" w:cs="Times New Roman"/>
          <w:color w:val="auto"/>
          <w:sz w:val="32"/>
          <w:szCs w:val="32"/>
          <w:highlight w:val="none"/>
          <w:shd w:val="clear" w:color="auto" w:fill="FFFFFF"/>
          <w:lang w:eastAsia="zh-CN"/>
        </w:rPr>
        <w:t>联动开发项目与公园绿地同步设计，</w:t>
      </w:r>
      <w:r>
        <w:rPr>
          <w:rFonts w:hint="eastAsia" w:ascii="Times New Roman" w:hAnsi="Times New Roman" w:eastAsia="方正仿宋_GBK" w:cs="Times New Roman"/>
          <w:color w:val="auto"/>
          <w:sz w:val="32"/>
          <w:szCs w:val="32"/>
          <w:highlight w:val="none"/>
          <w:shd w:val="clear" w:color="auto" w:fill="FFFFFF"/>
          <w:lang w:eastAsia="zh-CN"/>
        </w:rPr>
        <w:t>自然资源主管部门审核联动</w:t>
      </w:r>
      <w:r>
        <w:rPr>
          <w:rFonts w:hint="eastAsia" w:eastAsia="方正仿宋_GBK" w:cs="Times New Roman"/>
          <w:color w:val="auto"/>
          <w:sz w:val="32"/>
          <w:szCs w:val="32"/>
          <w:highlight w:val="none"/>
          <w:shd w:val="clear" w:color="auto" w:fill="FFFFFF"/>
          <w:lang w:eastAsia="zh-CN"/>
        </w:rPr>
        <w:t>开发</w:t>
      </w:r>
      <w:r>
        <w:rPr>
          <w:rFonts w:hint="eastAsia" w:ascii="Times New Roman" w:hAnsi="Times New Roman" w:eastAsia="方正仿宋_GBK" w:cs="Times New Roman"/>
          <w:color w:val="auto"/>
          <w:sz w:val="32"/>
          <w:szCs w:val="32"/>
          <w:shd w:val="clear" w:color="auto" w:fill="FFFFFF"/>
          <w:lang w:eastAsia="zh-CN"/>
        </w:rPr>
        <w:t>项目设计方案，园林主管部门同步审核园林规划方案</w:t>
      </w:r>
      <w:r>
        <w:rPr>
          <w:rFonts w:hint="eastAsia" w:eastAsia="方正仿宋_GBK" w:cs="Times New Roman"/>
          <w:color w:val="auto"/>
          <w:sz w:val="32"/>
          <w:szCs w:val="32"/>
          <w:shd w:val="clear" w:color="auto" w:fill="FFFFFF"/>
          <w:lang w:eastAsia="zh-CN"/>
        </w:rPr>
        <w:t>，联动项目与公园应</w:t>
      </w:r>
      <w:r>
        <w:rPr>
          <w:rFonts w:hint="eastAsia" w:ascii="Times New Roman" w:hAnsi="Times New Roman" w:eastAsia="方正仿宋_GBK" w:cs="Times New Roman"/>
          <w:color w:val="auto"/>
          <w:sz w:val="32"/>
          <w:szCs w:val="32"/>
          <w:shd w:val="clear" w:color="auto" w:fill="FFFFFF"/>
          <w:lang w:eastAsia="zh-CN"/>
        </w:rPr>
        <w:t>同步施工、同步投入使用</w:t>
      </w:r>
      <w:r>
        <w:rPr>
          <w:rFonts w:hint="eastAsia" w:eastAsia="方正仿宋_GBK"/>
          <w:color w:val="auto"/>
          <w:sz w:val="32"/>
          <w:szCs w:val="32"/>
          <w:shd w:val="clear" w:color="auto" w:fill="FFFFFF"/>
          <w:lang w:eastAsia="zh-CN"/>
        </w:rPr>
        <w:t>。</w:t>
      </w:r>
    </w:p>
    <w:p>
      <w:pPr>
        <w:widowControl/>
        <w:spacing w:line="560" w:lineRule="exact"/>
        <w:ind w:firstLine="640" w:firstLineChars="200"/>
        <w:textAlignment w:val="baseline"/>
        <w:rPr>
          <w:rFonts w:hint="eastAsia" w:eastAsia="方正仿宋_GBK"/>
          <w:color w:val="auto"/>
          <w:sz w:val="32"/>
          <w:szCs w:val="32"/>
          <w:shd w:val="clear" w:color="auto" w:fill="FFFFFF"/>
        </w:rPr>
      </w:pPr>
      <w:r>
        <w:rPr>
          <w:rFonts w:hint="eastAsia" w:eastAsia="方正仿宋_GBK"/>
          <w:color w:val="auto"/>
          <w:sz w:val="32"/>
          <w:szCs w:val="32"/>
          <w:shd w:val="clear" w:color="auto" w:fill="FFFFFF"/>
        </w:rPr>
        <w:t>参与社区公园及游园（含口袋公园）建设的企业、社会团体，应按照园林主管部门</w:t>
      </w:r>
      <w:r>
        <w:rPr>
          <w:rFonts w:hint="eastAsia" w:ascii="方正仿宋_GBK" w:hAnsi="方正楷体_GBK" w:eastAsia="方正仿宋_GBK"/>
          <w:color w:val="auto"/>
          <w:sz w:val="32"/>
          <w:szCs w:val="32"/>
          <w:shd w:val="clear" w:color="auto" w:fill="FFFFFF"/>
        </w:rPr>
        <w:t>审定后的方案建设</w:t>
      </w:r>
      <w:r>
        <w:rPr>
          <w:rFonts w:hint="eastAsia" w:eastAsia="方正仿宋_GBK"/>
          <w:color w:val="auto"/>
          <w:sz w:val="32"/>
          <w:szCs w:val="32"/>
          <w:shd w:val="clear" w:color="auto" w:fill="FFFFFF"/>
          <w:lang w:eastAsia="zh-CN"/>
        </w:rPr>
        <w:t>。园林主管部门应做好公园建设、养护等工作的监督和指导，</w:t>
      </w:r>
      <w:r>
        <w:rPr>
          <w:rFonts w:hint="eastAsia" w:eastAsia="方正仿宋_GBK"/>
          <w:color w:val="auto"/>
          <w:sz w:val="32"/>
          <w:szCs w:val="32"/>
          <w:shd w:val="clear" w:color="auto" w:fill="FFFFFF"/>
        </w:rPr>
        <w:t>对违反代建代管协议的，严格按照代建代管协议执行。</w:t>
      </w:r>
    </w:p>
    <w:p>
      <w:pPr>
        <w:widowControl/>
        <w:spacing w:line="560" w:lineRule="exact"/>
        <w:ind w:firstLine="640" w:firstLineChars="200"/>
        <w:textAlignment w:val="baseline"/>
        <w:rPr>
          <w:rFonts w:hint="eastAsia" w:ascii="Times New Roman" w:hAnsi="Times New Roman" w:eastAsia="方正黑体_GBK" w:cs="Times New Roman"/>
          <w:b w:val="0"/>
          <w:bCs w:val="0"/>
          <w:color w:val="auto"/>
          <w:sz w:val="32"/>
          <w:szCs w:val="32"/>
          <w:highlight w:val="none"/>
          <w:lang w:val="en-US" w:eastAsia="zh-CN"/>
        </w:rPr>
      </w:pPr>
      <w:r>
        <w:rPr>
          <w:rFonts w:hint="eastAsia" w:eastAsia="方正仿宋_GBK"/>
          <w:color w:val="auto"/>
          <w:sz w:val="32"/>
          <w:szCs w:val="32"/>
        </w:rPr>
        <w:t>本措施自</w:t>
      </w:r>
      <w:r>
        <w:rPr>
          <w:rFonts w:hint="eastAsia" w:eastAsia="方正仿宋_GBK"/>
          <w:color w:val="auto"/>
          <w:sz w:val="32"/>
          <w:szCs w:val="32"/>
          <w:lang w:val="en-US" w:eastAsia="zh-CN"/>
        </w:rPr>
        <w:t>2025年6月12日起</w:t>
      </w:r>
      <w:r>
        <w:rPr>
          <w:rFonts w:hint="eastAsia" w:eastAsia="方正仿宋_GBK"/>
          <w:color w:val="auto"/>
          <w:sz w:val="32"/>
          <w:szCs w:val="32"/>
        </w:rPr>
        <w:t>施行</w:t>
      </w:r>
      <w:r>
        <w:rPr>
          <w:rFonts w:hint="eastAsia" w:eastAsia="方正仿宋_GBK"/>
          <w:color w:val="auto"/>
          <w:sz w:val="32"/>
          <w:szCs w:val="32"/>
          <w:lang w:eastAsia="zh-CN"/>
        </w:rPr>
        <w:t>，有效期5年。法律、行政法规另有规定的，从其规定</w:t>
      </w:r>
      <w:r>
        <w:rPr>
          <w:rFonts w:hint="eastAsia" w:eastAsia="方正仿宋_GBK"/>
          <w:color w:val="auto"/>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C2D368"/>
    <w:multiLevelType w:val="singleLevel"/>
    <w:tmpl w:val="BEC2D36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C2C65"/>
    <w:rsid w:val="03001C79"/>
    <w:rsid w:val="0F3C2C65"/>
    <w:rsid w:val="23353073"/>
    <w:rsid w:val="328556FF"/>
    <w:rsid w:val="657E679A"/>
    <w:rsid w:val="773A213A"/>
    <w:rsid w:val="77BC7D1A"/>
    <w:rsid w:val="7BF94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outlineLvl w:val="1"/>
    </w:pPr>
    <w:rPr>
      <w:rFonts w:hint="default" w:ascii="Cambria" w:hAnsi="Cambria" w:eastAsia="宋体" w:cs="Times New Roman"/>
      <w:b/>
      <w:sz w:val="32"/>
      <w:szCs w:val="20"/>
    </w:rPr>
  </w:style>
  <w:style w:type="paragraph" w:styleId="3">
    <w:name w:val="heading 3"/>
    <w:basedOn w:val="1"/>
    <w:next w:val="1"/>
    <w:unhideWhenUsed/>
    <w:qFormat/>
    <w:uiPriority w:val="0"/>
    <w:pPr>
      <w:keepNext w:val="0"/>
      <w:keepLines w:val="0"/>
      <w:adjustRightInd w:val="0"/>
      <w:snapToGrid w:val="0"/>
      <w:spacing w:beforeLines="0" w:beforeAutospacing="0" w:afterLines="0" w:afterAutospacing="0" w:line="560" w:lineRule="exact"/>
      <w:outlineLvl w:val="2"/>
    </w:pPr>
    <w:rPr>
      <w:szCs w:val="24"/>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2025-05-08T10:32:00Z</dcterms:created>
  <dc:creator>张扬</dc:creator>
  <cp:lastModifiedBy>政务外网</cp:lastModifiedBy>
  <cp:lastPrinted>2025-05-09T03:32:00Z</cp:lastPrinted>
  <dcterms:modified xsi:type="dcterms:W3CDTF">2025-11-24T10:57:44Z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C7F039F231DC4A12817DF74BDE7E2594_11</vt:lpwstr>
  </property>
</Properties>
</file>