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578" w:lineRule="exact"/>
        <w:jc w:val="center"/>
        <w:textAlignment w:val="auto"/>
        <w:rPr>
          <w:rFonts w:hint="eastAsia" w:ascii="Times New Roman" w:hAnsi="Times New Roman" w:eastAsia="方正小标宋_GBK" w:cs="Times New Roman"/>
          <w:color w:val="auto"/>
          <w:spacing w:val="-3"/>
          <w:sz w:val="44"/>
          <w:szCs w:val="44"/>
          <w:highlight w:val="none"/>
          <w:u w:val="none" w:color="auto"/>
          <w:lang w:val="en-US" w:eastAsia="zh-CN"/>
        </w:rPr>
      </w:pPr>
      <w:r>
        <w:rPr>
          <w:rFonts w:hint="eastAsia" w:ascii="Times New Roman" w:hAnsi="Times New Roman" w:eastAsia="方正小标宋_GBK" w:cs="Times New Roman"/>
          <w:color w:val="auto"/>
          <w:spacing w:val="-3"/>
          <w:sz w:val="44"/>
          <w:szCs w:val="44"/>
          <w:highlight w:val="none"/>
          <w:u w:val="none" w:color="auto"/>
          <w:lang w:val="en-US" w:eastAsia="zh-CN"/>
        </w:rPr>
        <w:t>关于贯彻落实《关于完善商品住房销售制度</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578" w:lineRule="exact"/>
        <w:jc w:val="center"/>
        <w:textAlignment w:val="auto"/>
        <w:rPr>
          <w:rFonts w:hint="default" w:ascii="Times New Roman" w:hAnsi="Times New Roman" w:eastAsia="方正小标宋_GBK" w:cs="Times New Roman"/>
          <w:color w:val="auto"/>
          <w:spacing w:val="-3"/>
          <w:sz w:val="44"/>
          <w:szCs w:val="44"/>
          <w:highlight w:val="none"/>
          <w:u w:val="none" w:color="auto"/>
          <w:lang w:val="en-US" w:eastAsia="zh-CN"/>
        </w:rPr>
      </w:pPr>
      <w:r>
        <w:rPr>
          <w:rFonts w:hint="eastAsia" w:ascii="Times New Roman" w:hAnsi="Times New Roman" w:eastAsia="方正小标宋_GBK" w:cs="Times New Roman"/>
          <w:color w:val="auto"/>
          <w:spacing w:val="-3"/>
          <w:sz w:val="44"/>
          <w:szCs w:val="44"/>
          <w:highlight w:val="none"/>
          <w:u w:val="none" w:color="auto"/>
          <w:lang w:val="en-US" w:eastAsia="zh-CN"/>
        </w:rPr>
        <w:t>的通知》的实施意见</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jc w:val="center"/>
        <w:textAlignment w:val="auto"/>
        <w:rPr>
          <w:rFonts w:hint="eastAsia" w:ascii="方正楷体_GBK" w:hAnsi="方正楷体_GBK" w:eastAsia="方正楷体_GBK" w:cs="方正楷体_GBK"/>
          <w:color w:val="auto"/>
          <w:spacing w:val="-3"/>
          <w:sz w:val="32"/>
          <w:szCs w:val="32"/>
          <w:highlight w:val="none"/>
          <w:lang w:eastAsia="zh-CN"/>
        </w:rPr>
      </w:pPr>
      <w:r>
        <w:rPr>
          <w:rFonts w:hint="eastAsia" w:ascii="方正楷体_GBK" w:hAnsi="方正楷体_GBK" w:eastAsia="方正楷体_GBK" w:cs="方正楷体_GBK"/>
          <w:color w:val="auto"/>
          <w:spacing w:val="-3"/>
          <w:sz w:val="32"/>
          <w:szCs w:val="32"/>
          <w:highlight w:val="none"/>
          <w:lang w:eastAsia="zh-CN"/>
        </w:rPr>
        <w:t>（征求意见稿）</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jc w:val="both"/>
        <w:textAlignment w:val="auto"/>
        <w:rPr>
          <w:rFonts w:hint="eastAsia" w:ascii="Times New Roman" w:hAnsi="Times New Roman" w:eastAsia="方正仿宋_GBK" w:cs="Times New Roman"/>
          <w:color w:val="auto"/>
          <w:spacing w:val="-3"/>
          <w:sz w:val="32"/>
          <w:szCs w:val="32"/>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jc w:val="both"/>
        <w:textAlignment w:val="auto"/>
        <w:rPr>
          <w:rFonts w:hint="default" w:ascii="Times New Roman" w:hAnsi="Times New Roman" w:eastAsia="方正仿宋_GBK" w:cs="Times New Roman"/>
          <w:color w:val="auto"/>
          <w:spacing w:val="-3"/>
          <w:sz w:val="32"/>
          <w:szCs w:val="32"/>
          <w:highlight w:val="none"/>
        </w:rPr>
      </w:pPr>
      <w:r>
        <w:rPr>
          <w:rFonts w:hint="eastAsia" w:ascii="Times New Roman" w:hAnsi="Times New Roman" w:eastAsia="方正仿宋_GBK" w:cs="Times New Roman"/>
          <w:color w:val="auto"/>
          <w:spacing w:val="-3"/>
          <w:sz w:val="32"/>
          <w:szCs w:val="32"/>
          <w:highlight w:val="none"/>
        </w:rPr>
        <w:t>各有关单位：</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仿宋_GBK" w:cs="Times New Roman"/>
          <w:color w:val="auto"/>
          <w:spacing w:val="-3"/>
          <w:sz w:val="32"/>
          <w:szCs w:val="32"/>
          <w:highlight w:val="none"/>
        </w:rPr>
      </w:pPr>
      <w:r>
        <w:rPr>
          <w:rFonts w:hint="eastAsia" w:ascii="Times New Roman" w:hAnsi="Times New Roman" w:eastAsia="方正仿宋_GBK" w:cs="Times New Roman"/>
          <w:color w:val="auto"/>
          <w:spacing w:val="-3"/>
          <w:sz w:val="32"/>
          <w:szCs w:val="32"/>
          <w:highlight w:val="none"/>
        </w:rPr>
        <w:t>为贯彻落实《住房城乡建设部 自然资源部 金融监管总局关于完善商品住房销售制度的通知》（建房规〔2026〕3号）有关要求，稳步推进商品住房销售制度改革，推动加快构建房地产发展新模式，促进房地产高质量发展，结合我市实际，提出如下实施意见。</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Times New Roman" w:hAnsi="Times New Roman" w:eastAsia="方正黑体_GBK" w:cs="Times New Roman"/>
          <w:color w:val="auto"/>
          <w:spacing w:val="-3"/>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一、</w:t>
      </w:r>
      <w:r>
        <w:rPr>
          <w:rFonts w:hint="eastAsia" w:ascii="Times New Roman" w:hAnsi="Times New Roman" w:eastAsia="方正黑体_GBK" w:cs="Times New Roman"/>
          <w:color w:val="auto"/>
          <w:spacing w:val="-3"/>
          <w:sz w:val="32"/>
          <w:szCs w:val="32"/>
          <w:highlight w:val="none"/>
          <w:lang w:val="en-US" w:eastAsia="zh-CN"/>
        </w:rPr>
        <w:t>全面加强商品住房预售管理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方正楷体_GBK" w:hAnsi="方正楷体_GBK" w:eastAsia="方正楷体_GBK" w:cs="方正楷体_GBK"/>
          <w:color w:val="auto"/>
          <w:spacing w:val="-3"/>
          <w:sz w:val="32"/>
          <w:szCs w:val="32"/>
          <w:highlight w:val="none"/>
          <w:lang w:val="en-US" w:eastAsia="zh-CN"/>
        </w:rPr>
      </w:pPr>
      <w:r>
        <w:rPr>
          <w:rFonts w:hint="eastAsia" w:ascii="方正楷体_GBK" w:hAnsi="方正楷体_GBK" w:eastAsia="方正楷体_GBK" w:cs="方正楷体_GBK"/>
          <w:color w:val="auto"/>
          <w:spacing w:val="-3"/>
          <w:sz w:val="32"/>
          <w:szCs w:val="32"/>
          <w:highlight w:val="none"/>
          <w:lang w:val="en-US" w:eastAsia="zh-CN"/>
        </w:rPr>
        <w:t>（一）提高预售标准</w:t>
      </w:r>
    </w:p>
    <w:p>
      <w:pPr>
        <w:keepNext w:val="0"/>
        <w:keepLines w:val="0"/>
        <w:pageBreakBefore w:val="0"/>
        <w:widowControl w:val="0"/>
        <w:kinsoku/>
        <w:wordWrap/>
        <w:overflowPunct/>
        <w:topLinePunct w:val="0"/>
        <w:autoSpaceDE/>
        <w:autoSpaceDN/>
        <w:bidi w:val="0"/>
        <w:adjustRightInd/>
        <w:snapToGrid/>
        <w:spacing w:line="578" w:lineRule="exact"/>
        <w:ind w:firstLine="628" w:firstLineChars="200"/>
        <w:jc w:val="both"/>
        <w:textAlignment w:val="auto"/>
        <w:rPr>
          <w:rFonts w:hint="eastAsia" w:ascii="Times New Roman" w:hAnsi="Times New Roman" w:eastAsia="方正仿宋_GBK" w:cs="Times New Roman"/>
          <w:color w:val="auto"/>
          <w:spacing w:val="-3"/>
          <w:sz w:val="32"/>
          <w:szCs w:val="32"/>
          <w:highlight w:val="none"/>
        </w:rPr>
      </w:pPr>
      <w:r>
        <w:rPr>
          <w:rFonts w:hint="eastAsia" w:ascii="Times New Roman" w:hAnsi="Times New Roman" w:eastAsia="方正仿宋_GBK" w:cs="Times New Roman"/>
          <w:color w:val="auto"/>
          <w:spacing w:val="-3"/>
          <w:sz w:val="32"/>
          <w:szCs w:val="32"/>
          <w:highlight w:val="none"/>
          <w:lang w:val="en-US" w:eastAsia="zh-CN"/>
        </w:rPr>
        <w:t>1.</w:t>
      </w:r>
      <w:r>
        <w:rPr>
          <w:rFonts w:hint="eastAsia" w:ascii="Times New Roman" w:hAnsi="Times New Roman" w:eastAsia="方正仿宋_GBK" w:cs="Times New Roman"/>
          <w:color w:val="auto"/>
          <w:spacing w:val="-3"/>
          <w:sz w:val="32"/>
          <w:szCs w:val="32"/>
          <w:highlight w:val="none"/>
        </w:rPr>
        <w:t>新取得土地项目。2026年8月28日后新发布国有建设用地使用权出让公告的商品住房项目，申请预售的，单体建筑应完成主体结构封顶</w:t>
      </w:r>
      <w:r>
        <w:rPr>
          <w:rFonts w:hint="default" w:ascii="Times New Roman" w:hAnsi="Times New Roman" w:eastAsia="方正仿宋_GBK" w:cs="Times New Roman"/>
          <w:sz w:val="32"/>
          <w:szCs w:val="32"/>
          <w:highlight w:val="none"/>
        </w:rPr>
        <w:t>（楼栋顶板及楼顶构筑物、配套设施完成混凝土浇筑），项目施工、设计、监理等单位应出具签字盖章的《主体结构分部工程</w:t>
      </w:r>
      <w:r>
        <w:rPr>
          <w:rFonts w:hint="eastAsia" w:ascii="Times New Roman" w:hAnsi="Times New Roman" w:eastAsia="方正仿宋_GBK" w:cs="Times New Roman"/>
          <w:sz w:val="32"/>
          <w:szCs w:val="32"/>
          <w:highlight w:val="none"/>
          <w:lang w:val="en-US" w:eastAsia="zh-CN"/>
        </w:rPr>
        <w:t>质量</w:t>
      </w:r>
      <w:r>
        <w:rPr>
          <w:rFonts w:hint="default" w:ascii="Times New Roman" w:hAnsi="Times New Roman" w:eastAsia="方正仿宋_GBK" w:cs="Times New Roman"/>
          <w:sz w:val="32"/>
          <w:szCs w:val="32"/>
          <w:highlight w:val="none"/>
        </w:rPr>
        <w:t>验收记录》</w:t>
      </w:r>
      <w:r>
        <w:rPr>
          <w:rFonts w:hint="eastAsia" w:ascii="Times New Roman" w:hAnsi="Times New Roman" w:eastAsia="方正仿宋_GBK" w:cs="Times New Roman"/>
          <w:color w:val="auto"/>
          <w:spacing w:val="-3"/>
          <w:sz w:val="32"/>
          <w:szCs w:val="32"/>
          <w:highlight w:val="none"/>
        </w:rPr>
        <w:t>。项目预售资金实行全额、全过程监管；项目综合竣工验收后，方可解除资金监管。具体预售资金监管办法另行制定。</w:t>
      </w:r>
    </w:p>
    <w:p>
      <w:pPr>
        <w:keepNext w:val="0"/>
        <w:keepLines w:val="0"/>
        <w:pageBreakBefore w:val="0"/>
        <w:widowControl w:val="0"/>
        <w:kinsoku/>
        <w:wordWrap/>
        <w:overflowPunct/>
        <w:topLinePunct w:val="0"/>
        <w:autoSpaceDE/>
        <w:autoSpaceDN/>
        <w:bidi w:val="0"/>
        <w:adjustRightInd/>
        <w:snapToGrid/>
        <w:spacing w:line="578" w:lineRule="exact"/>
        <w:ind w:firstLine="628"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pacing w:val="-3"/>
          <w:sz w:val="32"/>
          <w:szCs w:val="32"/>
          <w:highlight w:val="none"/>
          <w:lang w:val="en-US" w:eastAsia="zh-CN"/>
        </w:rPr>
        <w:t>2.</w:t>
      </w:r>
      <w:r>
        <w:rPr>
          <w:rFonts w:hint="eastAsia" w:ascii="Times New Roman" w:hAnsi="Times New Roman" w:eastAsia="方正仿宋_GBK" w:cs="Times New Roman"/>
          <w:color w:val="auto"/>
          <w:spacing w:val="-3"/>
          <w:sz w:val="32"/>
          <w:szCs w:val="32"/>
          <w:highlight w:val="none"/>
        </w:rPr>
        <w:t>在途项目。</w:t>
      </w:r>
      <w:r>
        <w:rPr>
          <w:rFonts w:hint="eastAsia" w:ascii="Times New Roman" w:hAnsi="Times New Roman" w:eastAsia="方正仿宋_GBK"/>
          <w:spacing w:val="-3"/>
          <w:sz w:val="32"/>
          <w:szCs w:val="32"/>
          <w:highlight w:val="none"/>
        </w:rPr>
        <w:t>2026年8月28日（含）前，已取得国有建设用地使用权但未取得建设工程规划许可证的商品住房项目</w:t>
      </w:r>
      <w:r>
        <w:rPr>
          <w:rFonts w:hint="eastAsia" w:ascii="Times New Roman" w:hAnsi="Times New Roman" w:eastAsia="方正仿宋_GBK"/>
          <w:spacing w:val="-3"/>
          <w:sz w:val="32"/>
          <w:szCs w:val="32"/>
          <w:highlight w:val="none"/>
          <w:lang w:eastAsia="zh-CN"/>
        </w:rPr>
        <w:t>，</w:t>
      </w:r>
      <w:r>
        <w:rPr>
          <w:rFonts w:hint="eastAsia" w:ascii="Times New Roman" w:hAnsi="Times New Roman" w:eastAsia="方正仿宋_GBK"/>
          <w:spacing w:val="-3"/>
          <w:sz w:val="32"/>
          <w:szCs w:val="32"/>
          <w:highlight w:val="none"/>
        </w:rPr>
        <w:t>原则上按新取得土地项目执行预售管理政策。</w:t>
      </w:r>
      <w:r>
        <w:rPr>
          <w:rFonts w:hint="default" w:ascii="Times New Roman" w:hAnsi="Times New Roman" w:eastAsia="方正仿宋_GBK" w:cs="Times New Roman"/>
          <w:color w:val="auto"/>
          <w:sz w:val="32"/>
          <w:szCs w:val="32"/>
          <w:highlight w:val="none"/>
        </w:rPr>
        <w:t>2026年8月28日（含）前，已取得（含部分取得）建设工程规划许可证但未办理预售许可的商品住房项目</w:t>
      </w:r>
      <w:r>
        <w:rPr>
          <w:rFonts w:hint="eastAsia" w:ascii="Times New Roman" w:hAnsi="Times New Roman" w:eastAsia="方正仿宋_GBK" w:cs="Times New Roman"/>
          <w:color w:val="auto"/>
          <w:sz w:val="32"/>
          <w:szCs w:val="32"/>
          <w:highlight w:val="none"/>
          <w:lang w:val="en-US" w:eastAsia="zh-CN"/>
        </w:rPr>
        <w:t>，以及已供未动工或未竣工交付的住宅项目，政府收回后进行规划调整，再次供应重新核发建设工程规划许可证的商品住房项目，</w:t>
      </w:r>
      <w:r>
        <w:rPr>
          <w:rFonts w:hint="default" w:ascii="Times New Roman" w:hAnsi="Times New Roman" w:eastAsia="方正仿宋_GBK" w:cs="Times New Roman"/>
          <w:color w:val="auto"/>
          <w:sz w:val="32"/>
          <w:szCs w:val="32"/>
          <w:highlight w:val="none"/>
        </w:rPr>
        <w:t>申请预售的，预售条件、预售资金监管等按原有政策规定</w:t>
      </w:r>
      <w:r>
        <w:rPr>
          <w:rFonts w:hint="eastAsia" w:ascii="Times New Roman" w:hAnsi="Times New Roman" w:eastAsia="方正仿宋_GBK"/>
          <w:spacing w:val="-3"/>
          <w:sz w:val="32"/>
          <w:szCs w:val="32"/>
          <w:highlight w:val="none"/>
        </w:rPr>
        <w:t>（其中申请预售许可</w:t>
      </w:r>
      <w:r>
        <w:rPr>
          <w:rFonts w:ascii="Times New Roman" w:hAnsi="Times New Roman" w:eastAsia="方正仿宋_GBK" w:cs="方正仿宋_GBK"/>
          <w:spacing w:val="-6"/>
          <w:sz w:val="32"/>
          <w:szCs w:val="32"/>
          <w:highlight w:val="none"/>
        </w:rPr>
        <w:t>单体建筑施工进度形象标准为主体正负零封顶</w:t>
      </w:r>
      <w:r>
        <w:rPr>
          <w:rFonts w:hint="eastAsia" w:ascii="Times New Roman" w:hAnsi="Times New Roman" w:eastAsia="方正仿宋_GBK" w:cs="方正仿宋_GBK"/>
          <w:spacing w:val="-6"/>
          <w:sz w:val="32"/>
          <w:szCs w:val="32"/>
          <w:highlight w:val="none"/>
          <w:lang w:eastAsia="zh-CN"/>
        </w:rPr>
        <w:t>，下同</w:t>
      </w:r>
      <w:r>
        <w:rPr>
          <w:rFonts w:hint="eastAsia" w:ascii="Times New Roman" w:hAnsi="Times New Roman" w:eastAsia="方正仿宋_GBK"/>
          <w:spacing w:val="-3"/>
          <w:sz w:val="32"/>
          <w:szCs w:val="32"/>
          <w:highlight w:val="none"/>
        </w:rPr>
        <w:t>）</w:t>
      </w:r>
      <w:r>
        <w:rPr>
          <w:rFonts w:hint="default" w:ascii="Times New Roman" w:hAnsi="Times New Roman" w:eastAsia="方正仿宋_GBK" w:cs="Times New Roman"/>
          <w:color w:val="auto"/>
          <w:sz w:val="32"/>
          <w:szCs w:val="32"/>
          <w:highlight w:val="none"/>
        </w:rPr>
        <w:t>执行。</w:t>
      </w: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2026年12月31日（含）前，按照自治区住建厅《关于做好装配式建筑评价工作的通知》（新建建函</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color w:val="auto"/>
          <w:sz w:val="32"/>
          <w:szCs w:val="32"/>
          <w:highlight w:val="none"/>
        </w:rPr>
        <w:t>2022</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color w:val="auto"/>
          <w:sz w:val="32"/>
          <w:szCs w:val="32"/>
          <w:highlight w:val="none"/>
        </w:rPr>
        <w:t>20号）认定为装配式建筑的商品住房项目，在2026年底前取得建设工程规划许可证和建筑工程施工许可证的，预售条件、预售资金监管等按原政策规定执行。</w:t>
      </w: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eastAsia" w:eastAsia="方正黑体_GBK" w:cs="Times New Roman"/>
          <w:i w:val="0"/>
          <w:iCs w:val="0"/>
          <w:caps w:val="0"/>
          <w:color w:val="auto"/>
          <w:spacing w:val="0"/>
          <w:kern w:val="0"/>
          <w:sz w:val="32"/>
          <w:szCs w:val="32"/>
          <w:highlight w:val="none"/>
          <w:shd w:val="clear" w:color="auto" w:fill="FFFFFF"/>
          <w:lang w:val="en-US" w:eastAsia="zh-CN" w:bidi="ar"/>
        </w:rPr>
      </w:pPr>
      <w:r>
        <w:rPr>
          <w:rFonts w:hint="default" w:ascii="Times New Roman" w:hAnsi="Times New Roman" w:eastAsia="方正仿宋_GBK" w:cs="Times New Roman"/>
          <w:color w:val="auto"/>
          <w:sz w:val="32"/>
          <w:szCs w:val="32"/>
          <w:highlight w:val="none"/>
        </w:rPr>
        <w:t>2026年8月28日（含）前，</w:t>
      </w:r>
      <w:r>
        <w:rPr>
          <w:rFonts w:hint="eastAsia" w:ascii="Times New Roman" w:hAnsi="Times New Roman" w:eastAsia="方正仿宋_GBK" w:cs="Times New Roman"/>
          <w:color w:val="auto"/>
          <w:sz w:val="32"/>
          <w:szCs w:val="32"/>
          <w:highlight w:val="none"/>
          <w:lang w:val="en-US" w:eastAsia="zh-CN"/>
        </w:rPr>
        <w:t>企业参与的存量建设用地等历史遗留问题项目，经各区（县）政府评估风险，并按规定程序决策后，</w:t>
      </w:r>
      <w:r>
        <w:rPr>
          <w:rFonts w:hint="default" w:ascii="Times New Roman" w:hAnsi="Times New Roman" w:eastAsia="方正仿宋_GBK" w:cs="Times New Roman"/>
          <w:color w:val="auto"/>
          <w:sz w:val="32"/>
          <w:szCs w:val="32"/>
          <w:highlight w:val="none"/>
        </w:rPr>
        <w:t>预售条件、预售资金监管等按原有政策规定执行</w:t>
      </w:r>
      <w:r>
        <w:rPr>
          <w:rFonts w:hint="eastAsia" w:ascii="Times New Roman" w:hAnsi="Times New Roman" w:eastAsia="方正仿宋_GBK" w:cs="Times New Roman"/>
          <w:color w:val="auto"/>
          <w:spacing w:val="-3"/>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default" w:ascii="Times New Roman" w:hAnsi="Times New Roman" w:eastAsia="方正仿宋_GBK" w:cs="Times New Roman"/>
          <w:color w:val="auto"/>
          <w:spacing w:val="-3"/>
          <w:sz w:val="32"/>
          <w:szCs w:val="32"/>
          <w:highlight w:val="none"/>
          <w:lang w:val="en-US" w:eastAsia="zh-CN"/>
        </w:rPr>
      </w:pPr>
      <w:r>
        <w:rPr>
          <w:rFonts w:hint="eastAsia" w:ascii="方正楷体_GBK" w:hAnsi="方正楷体_GBK" w:eastAsia="方正楷体_GBK" w:cs="方正楷体_GBK"/>
          <w:b w:val="0"/>
          <w:bCs w:val="0"/>
          <w:color w:val="auto"/>
          <w:spacing w:val="-3"/>
          <w:sz w:val="32"/>
          <w:szCs w:val="32"/>
          <w:highlight w:val="none"/>
          <w:lang w:eastAsia="zh-CN"/>
        </w:rPr>
        <w:t>（</w:t>
      </w:r>
      <w:r>
        <w:rPr>
          <w:rFonts w:hint="eastAsia" w:ascii="方正楷体_GBK" w:hAnsi="方正楷体_GBK" w:eastAsia="方正楷体_GBK" w:cs="方正楷体_GBK"/>
          <w:b w:val="0"/>
          <w:bCs w:val="0"/>
          <w:color w:val="auto"/>
          <w:spacing w:val="-3"/>
          <w:sz w:val="32"/>
          <w:szCs w:val="32"/>
          <w:highlight w:val="none"/>
          <w:lang w:val="en-US" w:eastAsia="zh-CN"/>
        </w:rPr>
        <w:t>二</w:t>
      </w:r>
      <w:r>
        <w:rPr>
          <w:rFonts w:hint="eastAsia" w:ascii="方正楷体_GBK" w:hAnsi="方正楷体_GBK" w:eastAsia="方正楷体_GBK" w:cs="方正楷体_GBK"/>
          <w:b w:val="0"/>
          <w:bCs w:val="0"/>
          <w:color w:val="auto"/>
          <w:spacing w:val="-3"/>
          <w:sz w:val="32"/>
          <w:szCs w:val="32"/>
          <w:highlight w:val="none"/>
          <w:lang w:eastAsia="zh-CN"/>
        </w:rPr>
        <w:t>）</w:t>
      </w:r>
      <w:r>
        <w:rPr>
          <w:rFonts w:hint="eastAsia" w:ascii="方正楷体_GBK" w:hAnsi="方正楷体_GBK" w:eastAsia="方正楷体_GBK" w:cs="方正楷体_GBK"/>
          <w:b w:val="0"/>
          <w:bCs w:val="0"/>
          <w:color w:val="auto"/>
          <w:spacing w:val="-3"/>
          <w:sz w:val="32"/>
          <w:szCs w:val="32"/>
          <w:highlight w:val="none"/>
          <w:lang w:val="en-US" w:eastAsia="zh-CN"/>
        </w:rPr>
        <w:t>持续优化预售制度</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Times New Roman" w:hAnsi="Times New Roman" w:eastAsia="方正仿宋_GBK" w:cs="Times New Roman"/>
          <w:color w:val="auto"/>
          <w:spacing w:val="-3"/>
          <w:sz w:val="32"/>
          <w:szCs w:val="32"/>
          <w:highlight w:val="none"/>
        </w:rPr>
      </w:pPr>
      <w:r>
        <w:rPr>
          <w:rFonts w:hint="default" w:ascii="Times New Roman" w:hAnsi="Times New Roman" w:eastAsia="方正仿宋_GBK" w:cs="Times New Roman"/>
          <w:i w:val="0"/>
          <w:caps w:val="0"/>
          <w:color w:val="000000"/>
          <w:spacing w:val="0"/>
          <w:sz w:val="32"/>
          <w:szCs w:val="32"/>
          <w:highlight w:val="none"/>
          <w:u w:val="none"/>
        </w:rPr>
        <w:t>为保持市场供需平稳，2027年</w:t>
      </w:r>
      <w:r>
        <w:rPr>
          <w:rFonts w:hint="eastAsia" w:ascii="Times New Roman" w:hAnsi="Times New Roman" w:eastAsia="方正仿宋_GBK" w:cs="Times New Roman"/>
          <w:i w:val="0"/>
          <w:caps w:val="0"/>
          <w:color w:val="000000"/>
          <w:spacing w:val="0"/>
          <w:sz w:val="32"/>
          <w:szCs w:val="32"/>
          <w:highlight w:val="none"/>
          <w:u w:val="none"/>
          <w:lang w:val="en-US" w:eastAsia="zh-CN"/>
        </w:rPr>
        <w:t>12月31日</w:t>
      </w:r>
      <w:r>
        <w:rPr>
          <w:rFonts w:hint="default" w:ascii="Times New Roman" w:hAnsi="Times New Roman" w:eastAsia="方正仿宋_GBK" w:cs="Times New Roman"/>
          <w:i w:val="0"/>
          <w:caps w:val="0"/>
          <w:color w:val="000000"/>
          <w:spacing w:val="0"/>
          <w:sz w:val="32"/>
          <w:szCs w:val="32"/>
          <w:highlight w:val="none"/>
          <w:u w:val="none"/>
        </w:rPr>
        <w:t>前</w:t>
      </w:r>
      <w:r>
        <w:rPr>
          <w:rFonts w:hint="default" w:ascii="Times New Roman" w:hAnsi="Times New Roman" w:eastAsia="方正仿宋_GBK" w:cs="Times New Roman"/>
          <w:color w:val="auto"/>
          <w:sz w:val="32"/>
          <w:szCs w:val="32"/>
          <w:highlight w:val="none"/>
        </w:rPr>
        <w:t>取得建设工程规划许可证和建筑工程施工许可证的</w:t>
      </w:r>
      <w:r>
        <w:rPr>
          <w:rFonts w:hint="eastAsia" w:ascii="Times New Roman" w:hAnsi="Times New Roman" w:eastAsia="方正仿宋_GBK" w:cs="Times New Roman"/>
          <w:color w:val="auto"/>
          <w:sz w:val="32"/>
          <w:szCs w:val="32"/>
          <w:highlight w:val="none"/>
          <w:lang w:eastAsia="zh-CN"/>
        </w:rPr>
        <w:t>商品住房项目，</w:t>
      </w:r>
      <w:r>
        <w:rPr>
          <w:rFonts w:hint="default" w:ascii="Times New Roman" w:hAnsi="Times New Roman" w:eastAsia="方正仿宋_GBK" w:cs="Times New Roman"/>
          <w:i w:val="0"/>
          <w:caps w:val="0"/>
          <w:color w:val="000000"/>
          <w:spacing w:val="0"/>
          <w:sz w:val="32"/>
          <w:szCs w:val="32"/>
          <w:highlight w:val="none"/>
          <w:u w:val="none"/>
        </w:rPr>
        <w:t>经各区（县）人民政府确认能够按时建成交付的，报市住房和城乡建设局备案后，</w:t>
      </w:r>
      <w:r>
        <w:rPr>
          <w:rFonts w:hint="eastAsia" w:ascii="Times New Roman" w:hAnsi="Times New Roman" w:eastAsia="方正仿宋_GBK" w:cs="Times New Roman"/>
          <w:i w:val="0"/>
          <w:caps w:val="0"/>
          <w:color w:val="000000"/>
          <w:spacing w:val="0"/>
          <w:sz w:val="32"/>
          <w:szCs w:val="32"/>
          <w:highlight w:val="none"/>
          <w:u w:val="none"/>
          <w:lang w:eastAsia="zh-CN"/>
        </w:rPr>
        <w:t>区（县）所在地</w:t>
      </w:r>
      <w:r>
        <w:rPr>
          <w:rFonts w:hint="default" w:ascii="Times New Roman" w:hAnsi="Times New Roman" w:eastAsia="方正仿宋_GBK" w:cs="Times New Roman"/>
          <w:i w:val="0"/>
          <w:caps w:val="0"/>
          <w:color w:val="000000"/>
          <w:spacing w:val="0"/>
          <w:sz w:val="32"/>
          <w:szCs w:val="32"/>
          <w:highlight w:val="none"/>
          <w:u w:val="none"/>
        </w:rPr>
        <w:t>在加强预售资金监管的情况下，辖区商品住房项目仍可按原有预售条件申请预售，但资金监管按以下要求执行：</w:t>
      </w:r>
      <w:r>
        <w:rPr>
          <w:rFonts w:hint="default" w:ascii="Times New Roman" w:hAnsi="Times New Roman" w:eastAsia="方正仿宋_GBK" w:cs="Times New Roman"/>
          <w:b/>
          <w:bCs/>
          <w:i w:val="0"/>
          <w:caps w:val="0"/>
          <w:color w:val="000000"/>
          <w:spacing w:val="0"/>
          <w:sz w:val="32"/>
          <w:szCs w:val="32"/>
          <w:highlight w:val="none"/>
          <w:u w:val="none"/>
        </w:rPr>
        <w:t>一是</w:t>
      </w:r>
      <w:r>
        <w:rPr>
          <w:rFonts w:hint="default" w:ascii="Times New Roman" w:hAnsi="Times New Roman" w:eastAsia="方正仿宋_GBK" w:cs="Times New Roman"/>
          <w:i w:val="0"/>
          <w:caps w:val="0"/>
          <w:color w:val="000000"/>
          <w:spacing w:val="0"/>
          <w:sz w:val="32"/>
          <w:szCs w:val="32"/>
          <w:highlight w:val="none"/>
          <w:u w:val="none"/>
        </w:rPr>
        <w:t>设定重点监管额度，重点监管额度应覆盖项目工程建设配套费用及必需的管理运营资金，保障项目竣工验收及水电气等配套设施具备交付使用条件</w:t>
      </w:r>
      <w:r>
        <w:rPr>
          <w:rFonts w:hint="eastAsia" w:ascii="Times New Roman" w:hAnsi="Times New Roman" w:eastAsia="方正仿宋_GBK" w:cs="Times New Roman"/>
          <w:i w:val="0"/>
          <w:caps w:val="0"/>
          <w:color w:val="000000"/>
          <w:spacing w:val="0"/>
          <w:sz w:val="32"/>
          <w:szCs w:val="32"/>
          <w:highlight w:val="none"/>
          <w:u w:val="none"/>
          <w:lang w:val="en-US" w:eastAsia="zh-CN"/>
        </w:rPr>
        <w:t>；</w:t>
      </w:r>
      <w:r>
        <w:rPr>
          <w:rFonts w:hint="default" w:ascii="Times New Roman" w:hAnsi="Times New Roman" w:eastAsia="方正仿宋_GBK" w:cs="Times New Roman"/>
          <w:b/>
          <w:bCs/>
          <w:i w:val="0"/>
          <w:caps w:val="0"/>
          <w:color w:val="000000"/>
          <w:spacing w:val="0"/>
          <w:sz w:val="32"/>
          <w:szCs w:val="32"/>
          <w:highlight w:val="none"/>
          <w:u w:val="none"/>
        </w:rPr>
        <w:t>二是</w:t>
      </w:r>
      <w:r>
        <w:rPr>
          <w:rFonts w:hint="default" w:ascii="Times New Roman" w:hAnsi="Times New Roman" w:eastAsia="方正仿宋_GBK" w:cs="Times New Roman"/>
          <w:i w:val="0"/>
          <w:caps w:val="0"/>
          <w:color w:val="000000"/>
          <w:spacing w:val="0"/>
          <w:sz w:val="32"/>
          <w:szCs w:val="32"/>
          <w:highlight w:val="none"/>
          <w:u w:val="none"/>
        </w:rPr>
        <w:t>预售资金应全部存入资金监管账户，入账资金超过重点监管额度后，可按建设节点申请支取相应建设资金，或按照资金监管协议申请支取超出重点监管额度部分的资金，支取时由项目所在区（县）住房资金监管机构审核。</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8" w:lineRule="exact"/>
        <w:ind w:right="0" w:rightChars="0" w:firstLine="640" w:firstLineChars="200"/>
        <w:jc w:val="both"/>
        <w:textAlignment w:val="auto"/>
        <w:rPr>
          <w:rFonts w:hint="eastAsia" w:ascii="方正楷体_GBK" w:hAnsi="方正楷体_GBK" w:eastAsia="方正楷体_GBK" w:cs="方正楷体_GBK"/>
          <w:kern w:val="2"/>
          <w:sz w:val="32"/>
          <w:szCs w:val="32"/>
          <w:highlight w:val="none"/>
          <w:lang w:val="en-US" w:eastAsia="zh-CN" w:bidi="ar-SA"/>
        </w:rPr>
      </w:pPr>
      <w:r>
        <w:rPr>
          <w:rFonts w:hint="eastAsia" w:ascii="方正楷体_GBK" w:hAnsi="方正楷体_GBK" w:eastAsia="方正楷体_GBK" w:cs="方正楷体_GBK"/>
          <w:kern w:val="2"/>
          <w:sz w:val="32"/>
          <w:szCs w:val="32"/>
          <w:highlight w:val="none"/>
          <w:lang w:val="en-US" w:eastAsia="zh-CN" w:bidi="ar-SA"/>
        </w:rPr>
        <w:t>（三）优化保函置换监管资金</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8" w:lineRule="exact"/>
        <w:ind w:right="0" w:rightChars="0" w:firstLine="640"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鼓励商业银行、房地产开发企业结合项目实际，在严守资金封闭管理、保障项目按期交付的前提下，开展预售资金监管保函置换。对符合原有预售条件、预售资金监管等政策规定的商品住房项目，房地产开发企业可向符合条件的商业银行申请保函置换监管额度内资金。商业银行按市场化、法治化原则充分评估风险后自主决策，置换金额不得超过监管账户中确保项目竣工交付所需资金额度的30%，置换后的监管资金不得低于该额度的70%。</w:t>
      </w:r>
      <w:r>
        <w:rPr>
          <w:rFonts w:hint="eastAsia" w:ascii="Times New Roman" w:hAnsi="Times New Roman" w:eastAsia="方正仿宋_GBK" w:cs="Times New Roman"/>
          <w:kern w:val="2"/>
          <w:sz w:val="32"/>
          <w:szCs w:val="32"/>
          <w:highlight w:val="none"/>
          <w:lang w:val="en-US" w:eastAsia="zh-CN" w:bidi="ar-SA"/>
        </w:rPr>
        <w:t>执行主体结构封顶</w:t>
      </w:r>
      <w:r>
        <w:rPr>
          <w:rFonts w:hint="default" w:ascii="Times New Roman" w:hAnsi="Times New Roman" w:eastAsia="方正仿宋_GBK" w:cs="Times New Roman"/>
          <w:kern w:val="2"/>
          <w:sz w:val="32"/>
          <w:szCs w:val="32"/>
          <w:highlight w:val="none"/>
          <w:lang w:val="en-US" w:eastAsia="zh-CN" w:bidi="ar-SA"/>
        </w:rPr>
        <w:t>预售</w:t>
      </w:r>
      <w:r>
        <w:rPr>
          <w:rFonts w:hint="eastAsia" w:ascii="Times New Roman" w:hAnsi="Times New Roman" w:eastAsia="方正仿宋_GBK" w:cs="Times New Roman"/>
          <w:kern w:val="2"/>
          <w:sz w:val="32"/>
          <w:szCs w:val="32"/>
          <w:highlight w:val="none"/>
          <w:lang w:val="en-US" w:eastAsia="zh-CN" w:bidi="ar-SA"/>
        </w:rPr>
        <w:t>标准</w:t>
      </w:r>
      <w:r>
        <w:rPr>
          <w:rFonts w:hint="default" w:ascii="Times New Roman" w:hAnsi="Times New Roman" w:eastAsia="方正仿宋_GBK" w:cs="Times New Roman"/>
          <w:kern w:val="2"/>
          <w:sz w:val="32"/>
          <w:szCs w:val="32"/>
          <w:highlight w:val="none"/>
          <w:lang w:val="en-US" w:eastAsia="zh-CN" w:bidi="ar-SA"/>
        </w:rPr>
        <w:t>的商品住房项目，保函置换政策另行制定。</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8" w:lineRule="exact"/>
        <w:ind w:right="0" w:rightChars="0" w:firstLine="640" w:firstLineChars="200"/>
        <w:jc w:val="both"/>
        <w:textAlignment w:val="auto"/>
        <w:rPr>
          <w:rFonts w:hint="eastAsia" w:ascii="方正楷体_GBK" w:hAnsi="方正楷体_GBK" w:eastAsia="方正楷体_GBK" w:cs="方正楷体_GBK"/>
          <w:kern w:val="2"/>
          <w:sz w:val="32"/>
          <w:szCs w:val="32"/>
          <w:highlight w:val="none"/>
          <w:lang w:val="en-US" w:eastAsia="zh-CN" w:bidi="ar-SA"/>
        </w:rPr>
      </w:pPr>
      <w:r>
        <w:rPr>
          <w:rFonts w:hint="eastAsia" w:ascii="方正楷体_GBK" w:hAnsi="方正楷体_GBK" w:eastAsia="方正楷体_GBK" w:cs="方正楷体_GBK"/>
          <w:kern w:val="2"/>
          <w:sz w:val="32"/>
          <w:szCs w:val="32"/>
          <w:highlight w:val="none"/>
          <w:lang w:val="en-US" w:eastAsia="zh-CN" w:bidi="ar-SA"/>
        </w:rPr>
        <w:t>（四）加强预售资金监管</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8" w:lineRule="exact"/>
        <w:ind w:right="0" w:rightChars="0" w:firstLine="640"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执行主体结构封顶</w:t>
      </w:r>
      <w:r>
        <w:rPr>
          <w:rFonts w:hint="default" w:ascii="Times New Roman" w:hAnsi="Times New Roman" w:eastAsia="方正仿宋_GBK" w:cs="Times New Roman"/>
          <w:kern w:val="2"/>
          <w:sz w:val="32"/>
          <w:szCs w:val="32"/>
          <w:highlight w:val="none"/>
          <w:lang w:val="en-US" w:eastAsia="zh-CN" w:bidi="ar-SA"/>
        </w:rPr>
        <w:t>预售</w:t>
      </w:r>
      <w:r>
        <w:rPr>
          <w:rFonts w:hint="eastAsia" w:ascii="Times New Roman" w:hAnsi="Times New Roman" w:eastAsia="方正仿宋_GBK" w:cs="Times New Roman"/>
          <w:kern w:val="2"/>
          <w:sz w:val="32"/>
          <w:szCs w:val="32"/>
          <w:highlight w:val="none"/>
          <w:lang w:val="en-US" w:eastAsia="zh-CN" w:bidi="ar-SA"/>
        </w:rPr>
        <w:t>标准</w:t>
      </w:r>
      <w:r>
        <w:rPr>
          <w:rFonts w:hint="default" w:ascii="Times New Roman" w:hAnsi="Times New Roman" w:eastAsia="方正仿宋_GBK" w:cs="Times New Roman"/>
          <w:kern w:val="2"/>
          <w:sz w:val="32"/>
          <w:szCs w:val="32"/>
          <w:highlight w:val="none"/>
          <w:lang w:val="en-US" w:eastAsia="zh-CN" w:bidi="ar-SA"/>
        </w:rPr>
        <w:t>的商品住房项目，由</w:t>
      </w:r>
      <w:r>
        <w:rPr>
          <w:rFonts w:hint="eastAsia" w:ascii="Times New Roman" w:hAnsi="Times New Roman" w:eastAsia="方正仿宋_GBK" w:cs="Times New Roman"/>
          <w:kern w:val="2"/>
          <w:sz w:val="32"/>
          <w:szCs w:val="32"/>
          <w:highlight w:val="none"/>
          <w:lang w:val="en-US" w:eastAsia="zh-CN" w:bidi="ar-SA"/>
        </w:rPr>
        <w:t>乌鲁木齐市房屋产权交易中心对售房资金进行监管，</w:t>
      </w:r>
      <w:r>
        <w:rPr>
          <w:rFonts w:hint="default" w:ascii="Times New Roman" w:hAnsi="Times New Roman" w:eastAsia="方正仿宋_GBK" w:cs="Times New Roman"/>
          <w:kern w:val="2"/>
          <w:sz w:val="32"/>
          <w:szCs w:val="32"/>
          <w:highlight w:val="none"/>
          <w:lang w:val="en-US" w:eastAsia="zh-CN" w:bidi="ar-SA"/>
        </w:rPr>
        <w:t>与房地产开发企业签订资金监管协议，并在项目主办银行开立资金监管账户。购房人支付的首付款、个人住房贷款等购房资金应全部存入资金监管账户。商品住房项目竣工验收、水电气热等配套设施具备交付条件后，解除资金监管。</w:t>
      </w:r>
    </w:p>
    <w:p>
      <w:pPr>
        <w:pStyle w:val="14"/>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578" w:lineRule="exact"/>
        <w:ind w:right="0" w:rightChars="0" w:firstLine="628" w:firstLineChars="200"/>
        <w:jc w:val="both"/>
        <w:textAlignment w:val="auto"/>
        <w:rPr>
          <w:rFonts w:hint="eastAsia" w:ascii="Times New Roman" w:hAnsi="Times New Roman" w:eastAsia="方正黑体_GBK" w:cs="Times New Roman"/>
          <w:color w:val="auto"/>
          <w:spacing w:val="-3"/>
          <w:sz w:val="32"/>
          <w:szCs w:val="32"/>
          <w:highlight w:val="none"/>
          <w:lang w:val="en-US" w:eastAsia="zh-CN"/>
        </w:rPr>
      </w:pPr>
      <w:r>
        <w:rPr>
          <w:rFonts w:hint="eastAsia" w:ascii="Times New Roman" w:hAnsi="Times New Roman" w:eastAsia="方正黑体_GBK" w:cs="Times New Roman"/>
          <w:color w:val="auto"/>
          <w:spacing w:val="-3"/>
          <w:sz w:val="32"/>
          <w:szCs w:val="32"/>
          <w:highlight w:val="none"/>
          <w:lang w:val="en-US" w:eastAsia="zh-CN"/>
        </w:rPr>
        <w:t>二、有序实施商品住房现房销售</w:t>
      </w:r>
    </w:p>
    <w:p>
      <w:pPr>
        <w:keepNext w:val="0"/>
        <w:keepLines w:val="0"/>
        <w:pageBreakBefore w:val="0"/>
        <w:widowControl/>
        <w:suppressLineNumbers w:val="0"/>
        <w:kinsoku/>
        <w:overflowPunct/>
        <w:topLinePunct w:val="0"/>
        <w:autoSpaceDE/>
        <w:autoSpaceDN/>
        <w:bidi w:val="0"/>
        <w:adjustRightInd/>
        <w:snapToGrid/>
        <w:spacing w:beforeAutospacing="0" w:afterAutospacing="0" w:line="578" w:lineRule="exact"/>
        <w:jc w:val="both"/>
        <w:textAlignment w:val="auto"/>
        <w:rPr>
          <w:rFonts w:hint="eastAsia" w:ascii="方正楷体_GBK" w:hAnsi="方正楷体_GBK" w:eastAsia="方正楷体_GBK" w:cs="方正楷体_GBK"/>
          <w:sz w:val="32"/>
          <w:szCs w:val="32"/>
          <w:highlight w:val="none"/>
        </w:rPr>
      </w:pPr>
      <w:r>
        <w:rPr>
          <w:rFonts w:hint="eastAsia" w:ascii="Times New Roman" w:hAnsi="Times New Roman" w:eastAsia="方正仿宋_GBK" w:cs="Times New Roman"/>
          <w:color w:val="auto"/>
          <w:spacing w:val="-3"/>
          <w:sz w:val="32"/>
          <w:szCs w:val="32"/>
          <w:highlight w:val="none"/>
        </w:rPr>
        <w:t>  </w:t>
      </w:r>
      <w:r>
        <w:rPr>
          <w:rFonts w:hint="eastAsia" w:ascii="方正楷体_GBK" w:hAnsi="方正楷体_GBK" w:eastAsia="方正楷体_GBK" w:cs="方正楷体_GBK"/>
          <w:kern w:val="0"/>
          <w:sz w:val="32"/>
          <w:szCs w:val="32"/>
          <w:highlight w:val="none"/>
          <w:lang w:val="en-US" w:eastAsia="zh-CN" w:bidi="ar"/>
        </w:rPr>
        <w:t>（一）稳步开展现房销售</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仿宋_GBK" w:cs="Times New Roman"/>
          <w:color w:val="auto"/>
          <w:spacing w:val="-3"/>
          <w:sz w:val="32"/>
          <w:szCs w:val="32"/>
          <w:highlight w:val="none"/>
        </w:rPr>
      </w:pPr>
      <w:r>
        <w:rPr>
          <w:rFonts w:hint="eastAsia" w:ascii="Times New Roman" w:hAnsi="Times New Roman" w:eastAsia="方正仿宋_GBK" w:cs="Times New Roman"/>
          <w:color w:val="auto"/>
          <w:spacing w:val="-3"/>
          <w:sz w:val="32"/>
          <w:szCs w:val="32"/>
          <w:highlight w:val="none"/>
          <w:lang w:val="en-US" w:eastAsia="zh-CN"/>
        </w:rPr>
        <w:t>鼓励新出让土地、已出让土地未取得建设工程规划许可证和已取得建设工程规划许可证的商品住房项目，</w:t>
      </w:r>
      <w:r>
        <w:rPr>
          <w:rFonts w:hint="eastAsia" w:ascii="Times New Roman" w:hAnsi="Times New Roman" w:eastAsia="方正仿宋_GBK" w:cs="Times New Roman"/>
          <w:color w:val="auto"/>
          <w:spacing w:val="-3"/>
          <w:sz w:val="32"/>
          <w:szCs w:val="32"/>
          <w:highlight w:val="none"/>
        </w:rPr>
        <w:t>优先选择现房销售</w:t>
      </w:r>
      <w:r>
        <w:rPr>
          <w:rFonts w:hint="eastAsia" w:ascii="Times New Roman" w:hAnsi="Times New Roman" w:eastAsia="方正仿宋_GBK" w:cs="Times New Roman"/>
          <w:color w:val="auto"/>
          <w:spacing w:val="-3"/>
          <w:sz w:val="32"/>
          <w:szCs w:val="32"/>
          <w:highlight w:val="none"/>
          <w:lang w:eastAsia="zh-CN"/>
        </w:rPr>
        <w:t>，</w:t>
      </w:r>
      <w:r>
        <w:rPr>
          <w:rFonts w:hint="eastAsia" w:ascii="Times New Roman" w:hAnsi="Times New Roman" w:eastAsia="方正仿宋_GBK" w:cs="Times New Roman"/>
          <w:color w:val="auto"/>
          <w:spacing w:val="-3"/>
          <w:sz w:val="32"/>
          <w:szCs w:val="32"/>
          <w:highlight w:val="none"/>
          <w:lang w:val="en-US" w:eastAsia="zh-CN"/>
        </w:rPr>
        <w:t>逐步提高现房销售比例。</w:t>
      </w:r>
    </w:p>
    <w:p>
      <w:pPr>
        <w:keepNext w:val="0"/>
        <w:keepLines w:val="0"/>
        <w:pageBreakBefore w:val="0"/>
        <w:widowControl/>
        <w:suppressLineNumbers w:val="0"/>
        <w:kinsoku/>
        <w:overflowPunct/>
        <w:topLinePunct w:val="0"/>
        <w:autoSpaceDE/>
        <w:autoSpaceDN/>
        <w:bidi w:val="0"/>
        <w:adjustRightInd/>
        <w:snapToGrid/>
        <w:spacing w:beforeAutospacing="0" w:afterAutospacing="0" w:line="578" w:lineRule="exact"/>
        <w:jc w:val="both"/>
        <w:textAlignment w:val="auto"/>
        <w:rPr>
          <w:rFonts w:hint="eastAsia" w:ascii="方正楷体_GBK" w:hAnsi="方正楷体_GBK" w:eastAsia="方正楷体_GBK" w:cs="方正楷体_GBK"/>
          <w:kern w:val="0"/>
          <w:sz w:val="32"/>
          <w:szCs w:val="32"/>
          <w:highlight w:val="none"/>
          <w:lang w:val="en-US" w:eastAsia="zh-CN" w:bidi="ar"/>
        </w:rPr>
      </w:pPr>
      <w:r>
        <w:rPr>
          <w:rFonts w:hint="eastAsia" w:ascii="Times New Roman" w:hAnsi="Times New Roman" w:eastAsia="方正仿宋_GBK" w:cs="Times New Roman"/>
          <w:color w:val="auto"/>
          <w:spacing w:val="-3"/>
          <w:sz w:val="32"/>
          <w:szCs w:val="32"/>
          <w:highlight w:val="none"/>
        </w:rPr>
        <w:t>  </w:t>
      </w:r>
      <w:r>
        <w:rPr>
          <w:rFonts w:hint="eastAsia" w:ascii="方正楷体_GBK" w:hAnsi="方正楷体_GBK" w:eastAsia="方正楷体_GBK" w:cs="方正楷体_GBK"/>
          <w:kern w:val="0"/>
          <w:sz w:val="32"/>
          <w:szCs w:val="32"/>
          <w:highlight w:val="none"/>
          <w:lang w:val="en-US" w:eastAsia="zh-CN" w:bidi="ar"/>
        </w:rPr>
        <w:t>（二）规范现房定金销售行为</w:t>
      </w:r>
    </w:p>
    <w:p>
      <w:pPr>
        <w:pStyle w:val="14"/>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578" w:lineRule="exact"/>
        <w:ind w:right="0" w:rightChars="0" w:firstLine="628" w:firstLineChars="200"/>
        <w:jc w:val="both"/>
        <w:textAlignment w:val="auto"/>
        <w:rPr>
          <w:rFonts w:hint="eastAsia" w:ascii="Times New Roman" w:hAnsi="Times New Roman" w:eastAsia="方正仿宋_GBK" w:cs="Times New Roman"/>
          <w:color w:val="auto"/>
          <w:spacing w:val="-3"/>
          <w:kern w:val="2"/>
          <w:sz w:val="32"/>
          <w:szCs w:val="32"/>
          <w:highlight w:val="none"/>
          <w:lang w:val="en-US" w:eastAsia="zh-CN" w:bidi="ar-SA"/>
        </w:rPr>
      </w:pPr>
      <w:r>
        <w:rPr>
          <w:rFonts w:hint="eastAsia" w:ascii="Times New Roman" w:hAnsi="Times New Roman" w:eastAsia="方正仿宋_GBK" w:cs="Times New Roman"/>
          <w:color w:val="auto"/>
          <w:spacing w:val="-3"/>
          <w:sz w:val="32"/>
          <w:szCs w:val="32"/>
          <w:highlight w:val="none"/>
          <w:lang w:val="en-US" w:eastAsia="zh-CN"/>
        </w:rPr>
        <w:t>实行现房销售的商品住房项目，房地产开发企业可在取得建筑工程施工许可证后，</w:t>
      </w:r>
      <w:r>
        <w:rPr>
          <w:rFonts w:hint="eastAsia" w:ascii="Times New Roman" w:hAnsi="Times New Roman" w:eastAsia="方正仿宋_GBK" w:cs="Times New Roman"/>
          <w:color w:val="auto"/>
          <w:spacing w:val="-3"/>
          <w:kern w:val="2"/>
          <w:sz w:val="32"/>
          <w:szCs w:val="32"/>
          <w:highlight w:val="none"/>
          <w:lang w:val="en-US" w:eastAsia="zh-CN" w:bidi="ar-SA"/>
        </w:rPr>
        <w:t>通过商品房合同网签备案系统与购房人签订购房定金合同并及时办理合同备案手续，定金原则上不超过购房总价款的5%。</w:t>
      </w:r>
      <w:r>
        <w:rPr>
          <w:rFonts w:hint="default" w:ascii="Times New Roman" w:hAnsi="Times New Roman" w:eastAsia="方正仿宋_GBK" w:cs="Times New Roman"/>
          <w:i w:val="0"/>
          <w:caps w:val="0"/>
          <w:color w:val="000000"/>
          <w:spacing w:val="0"/>
          <w:sz w:val="32"/>
          <w:szCs w:val="32"/>
          <w:highlight w:val="none"/>
          <w:u w:val="none"/>
        </w:rPr>
        <w:t>购房人应将定金直接交存至定金监管账户，房屋具备竣备交付条件后解除定金监管。房地产开发企业违约不能按期交房的，购房人有权按照合同约定提出解除定金合同。</w:t>
      </w:r>
    </w:p>
    <w:p>
      <w:pPr>
        <w:pStyle w:val="14"/>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578" w:lineRule="exact"/>
        <w:ind w:right="0" w:rightChars="0" w:firstLine="640" w:firstLineChars="200"/>
        <w:jc w:val="both"/>
        <w:textAlignment w:val="auto"/>
        <w:rPr>
          <w:rFonts w:hint="eastAsia" w:ascii="方正楷体_GBK" w:hAnsi="方正楷体_GBK" w:eastAsia="方正楷体_GBK" w:cs="方正楷体_GBK"/>
          <w:kern w:val="0"/>
          <w:sz w:val="32"/>
          <w:szCs w:val="32"/>
          <w:highlight w:val="none"/>
          <w:lang w:val="en-US" w:eastAsia="zh-CN" w:bidi="ar"/>
        </w:rPr>
      </w:pPr>
      <w:r>
        <w:rPr>
          <w:rFonts w:hint="eastAsia" w:ascii="方正楷体_GBK" w:hAnsi="方正楷体_GBK" w:eastAsia="方正楷体_GBK" w:cs="方正楷体_GBK"/>
          <w:kern w:val="0"/>
          <w:sz w:val="32"/>
          <w:szCs w:val="32"/>
          <w:highlight w:val="none"/>
          <w:lang w:val="en-US" w:eastAsia="zh-CN" w:bidi="ar"/>
        </w:rPr>
        <w:t>（三）完善现房销售抵押注销</w:t>
      </w:r>
    </w:p>
    <w:p>
      <w:pPr>
        <w:pStyle w:val="14"/>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578" w:lineRule="exact"/>
        <w:ind w:right="0" w:rightChars="0" w:firstLine="628" w:firstLineChars="200"/>
        <w:jc w:val="both"/>
        <w:textAlignment w:val="auto"/>
        <w:rPr>
          <w:rFonts w:hint="eastAsia" w:ascii="Times New Roman" w:hAnsi="Times New Roman" w:eastAsia="方正仿宋_GBK" w:cs="Times New Roman"/>
          <w:color w:val="auto"/>
          <w:spacing w:val="-3"/>
          <w:kern w:val="2"/>
          <w:sz w:val="32"/>
          <w:szCs w:val="32"/>
          <w:highlight w:val="none"/>
          <w:lang w:val="en-US" w:eastAsia="zh-CN" w:bidi="ar-SA"/>
        </w:rPr>
      </w:pPr>
      <w:r>
        <w:rPr>
          <w:rFonts w:hint="eastAsia" w:ascii="Times New Roman" w:hAnsi="Times New Roman" w:eastAsia="方正仿宋_GBK" w:cs="Times New Roman"/>
          <w:color w:val="auto"/>
          <w:spacing w:val="-3"/>
          <w:kern w:val="2"/>
          <w:sz w:val="32"/>
          <w:szCs w:val="32"/>
          <w:highlight w:val="none"/>
          <w:lang w:val="en-US" w:eastAsia="zh-CN" w:bidi="ar-SA"/>
        </w:rPr>
        <w:t>实行现房销售的商品住房项目，所销售房屋及建设用地使用权应无抵押、查封等限制交易情形。经房地产开发企业与抵押权人约定，同意销售抵押房屋的，在办理现房销售备案证时应提交抵押权人同意销售的证明文件。房地产开发企业与购房人签订购房合同时，应在合同中明确房屋抵押状况和承诺抵押注销期限，注销房屋及建设用地使用权抵押后即时完成合同备案手续。</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sz w:val="32"/>
          <w:szCs w:val="32"/>
          <w:highlight w:val="none"/>
        </w:rPr>
      </w:pPr>
      <w:r>
        <w:rPr>
          <w:rFonts w:hint="eastAsia" w:ascii="方正黑体_GBK" w:hAnsi="方正黑体_GBK" w:eastAsia="方正黑体_GBK" w:cs="方正黑体_GBK"/>
          <w:sz w:val="32"/>
          <w:szCs w:val="32"/>
          <w:highlight w:val="none"/>
        </w:rPr>
        <w:t>三、推行主办银行制度</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2026年8月28日后签订开发贷合同的商品住房项目，贷款银行单独提供开发贷的，贷款银行为主办银行；贷款银行组建银团提供贷款的，银团贷款牵头银行为主办银行。</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房地产开发企业在主办银行开立资金账户，项目存续期间，开发贷款、项目自有资金、现房销售资金等与项目相关的全部资金均应纳入在主办银行开立的资金账户</w:t>
      </w:r>
      <w:r>
        <w:rPr>
          <w:rFonts w:hint="eastAsia" w:ascii="Times New Roman" w:hAnsi="Times New Roman" w:eastAsia="方正仿宋_GBK" w:cs="Times New Roman"/>
          <w:sz w:val="32"/>
          <w:szCs w:val="32"/>
          <w:highlight w:val="none"/>
          <w:lang w:eastAsia="zh-CN"/>
        </w:rPr>
        <w:t>进行</w:t>
      </w:r>
      <w:r>
        <w:rPr>
          <w:rFonts w:hint="default" w:ascii="Times New Roman" w:hAnsi="Times New Roman" w:eastAsia="方正仿宋_GBK" w:cs="Times New Roman"/>
          <w:sz w:val="32"/>
          <w:szCs w:val="32"/>
          <w:highlight w:val="none"/>
        </w:rPr>
        <w:t>管理。</w:t>
      </w:r>
      <w:r>
        <w:rPr>
          <w:rFonts w:hint="eastAsia" w:ascii="Times New Roman" w:hAnsi="Times New Roman" w:eastAsia="方正仿宋_GBK" w:cs="Times New Roman"/>
          <w:sz w:val="32"/>
          <w:szCs w:val="32"/>
          <w:highlight w:val="none"/>
          <w:lang w:eastAsia="zh-CN"/>
        </w:rPr>
        <w:t>乌鲁木齐市房屋产权交易中心</w:t>
      </w:r>
      <w:r>
        <w:rPr>
          <w:rFonts w:hint="default" w:ascii="Times New Roman" w:hAnsi="Times New Roman" w:eastAsia="方正仿宋_GBK" w:cs="Times New Roman"/>
          <w:sz w:val="32"/>
          <w:szCs w:val="32"/>
          <w:highlight w:val="none"/>
        </w:rPr>
        <w:t>在主办银行开立</w:t>
      </w:r>
      <w:r>
        <w:rPr>
          <w:rFonts w:hint="eastAsia" w:ascii="Times New Roman" w:hAnsi="Times New Roman" w:eastAsia="方正仿宋_GBK" w:cs="Times New Roman"/>
          <w:sz w:val="32"/>
          <w:szCs w:val="32"/>
          <w:highlight w:val="none"/>
          <w:lang w:eastAsia="zh-CN"/>
        </w:rPr>
        <w:t>预售资金、现房定金监管账户</w:t>
      </w:r>
      <w:r>
        <w:rPr>
          <w:rFonts w:hint="default" w:ascii="Times New Roman" w:hAnsi="Times New Roman" w:eastAsia="方正仿宋_GBK" w:cs="Times New Roman"/>
          <w:sz w:val="32"/>
          <w:szCs w:val="32"/>
          <w:highlight w:val="none"/>
        </w:rPr>
        <w:t>，用于存放监管项目预售资金和现房定金。</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sz w:val="32"/>
          <w:szCs w:val="32"/>
          <w:highlight w:val="none"/>
        </w:rPr>
      </w:pPr>
      <w:r>
        <w:rPr>
          <w:rFonts w:hint="eastAsia" w:ascii="方正黑体_GBK" w:hAnsi="方正黑体_GBK" w:eastAsia="方正黑体_GBK" w:cs="方正黑体_GBK"/>
          <w:sz w:val="32"/>
          <w:szCs w:val="32"/>
          <w:highlight w:val="none"/>
        </w:rPr>
        <w:t>四、完善商品住房信贷管理</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sz w:val="32"/>
          <w:szCs w:val="32"/>
          <w:highlight w:val="none"/>
        </w:rPr>
      </w:pPr>
      <w:r>
        <w:rPr>
          <w:rFonts w:hint="eastAsia" w:ascii="方正楷体_GBK" w:hAnsi="方正楷体_GBK" w:eastAsia="方正楷体_GBK" w:cs="方正楷体_GBK"/>
          <w:sz w:val="32"/>
          <w:szCs w:val="32"/>
          <w:highlight w:val="none"/>
        </w:rPr>
        <w:t>加大开发贷款支持力度。</w:t>
      </w:r>
      <w:r>
        <w:rPr>
          <w:rFonts w:hint="default" w:ascii="Times New Roman" w:hAnsi="Times New Roman" w:eastAsia="方正仿宋_GBK" w:cs="Times New Roman"/>
          <w:sz w:val="32"/>
          <w:szCs w:val="32"/>
          <w:highlight w:val="none"/>
        </w:rPr>
        <w:t>加大对现房销售项目和安全、舒适、绿色、智慧</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好房子</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项目的开发贷款支持力度。贷款银行应根据项目建设进度合理确定投放节点和投放额度，分批发放开发贷款，贷款资金应通过在主办银行开立的资金账户受托支付至项目公司交易对象的账户，全部用于项目建设。</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对实行现房销售和预售的项目，按照市场化原则满足项目合理融资需求，实现开发贷款发放与项目建设周期相匹配。</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Times New Roman" w:hAnsi="Times New Roman" w:eastAsia="方正仿宋_GBK" w:cs="Times New Roman"/>
          <w:color w:val="auto"/>
          <w:spacing w:val="-3"/>
          <w:sz w:val="32"/>
          <w:szCs w:val="32"/>
          <w:highlight w:val="none"/>
        </w:rPr>
      </w:pPr>
      <w:r>
        <w:rPr>
          <w:rFonts w:hint="eastAsia" w:ascii="方正楷体_GBK" w:hAnsi="方正楷体_GBK" w:eastAsia="方正楷体_GBK" w:cs="方正楷体_GBK"/>
          <w:sz w:val="32"/>
          <w:szCs w:val="32"/>
          <w:highlight w:val="none"/>
        </w:rPr>
        <w:t>促进金融与房地产良性循环。</w:t>
      </w:r>
      <w:r>
        <w:rPr>
          <w:rFonts w:hint="eastAsia" w:ascii="Times New Roman" w:hAnsi="Times New Roman" w:eastAsia="方正仿宋_GBK" w:cs="Times New Roman"/>
          <w:color w:val="auto"/>
          <w:spacing w:val="-3"/>
          <w:sz w:val="32"/>
          <w:szCs w:val="32"/>
          <w:highlight w:val="none"/>
        </w:rPr>
        <w:t>支持符合条件的房地产开发企业通过债券、股票、资产支持证券和不动产投资信托基金等方式开展基于项目的融资，一视同仁满足不同所有制房地产开发企业的合理融资需求。</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黑体_GBK" w:cs="Times New Roman"/>
          <w:color w:val="auto"/>
          <w:spacing w:val="-3"/>
          <w:sz w:val="32"/>
          <w:szCs w:val="32"/>
          <w:highlight w:val="none"/>
          <w:lang w:val="en-US" w:eastAsia="zh-CN"/>
        </w:rPr>
      </w:pPr>
      <w:r>
        <w:rPr>
          <w:rFonts w:hint="eastAsia" w:ascii="Times New Roman" w:hAnsi="Times New Roman" w:eastAsia="方正黑体_GBK" w:cs="Times New Roman"/>
          <w:color w:val="auto"/>
          <w:spacing w:val="-3"/>
          <w:sz w:val="32"/>
          <w:szCs w:val="32"/>
          <w:highlight w:val="none"/>
          <w:lang w:val="en-US" w:eastAsia="zh-CN"/>
        </w:rPr>
        <w:t>五、优化土地供应管理</w:t>
      </w:r>
    </w:p>
    <w:p>
      <w:pPr>
        <w:pStyle w:val="9"/>
        <w:keepNext w:val="0"/>
        <w:keepLines w:val="0"/>
        <w:pageBreakBefore w:val="0"/>
        <w:widowControl w:val="0"/>
        <w:kinsoku/>
        <w:wordWrap/>
        <w:overflowPunct/>
        <w:topLinePunct w:val="0"/>
        <w:autoSpaceDE/>
        <w:autoSpaceDN/>
        <w:bidi w:val="0"/>
        <w:adjustRightInd/>
        <w:snapToGrid/>
        <w:spacing w:after="0" w:line="578" w:lineRule="exact"/>
        <w:ind w:firstLine="628" w:firstLineChars="200"/>
        <w:jc w:val="both"/>
        <w:textAlignment w:val="auto"/>
        <w:outlineLvl w:val="9"/>
        <w:rPr>
          <w:rFonts w:hint="eastAsia" w:ascii="Times New Roman" w:hAnsi="Times New Roman" w:eastAsia="方正仿宋_GBK" w:cs="Times New Roman"/>
          <w:color w:val="auto"/>
          <w:spacing w:val="-3"/>
          <w:kern w:val="2"/>
          <w:sz w:val="32"/>
          <w:szCs w:val="32"/>
          <w:highlight w:val="none"/>
          <w:lang w:val="en-US" w:eastAsia="zh-CN" w:bidi="ar-SA"/>
        </w:rPr>
      </w:pPr>
      <w:r>
        <w:rPr>
          <w:rFonts w:hint="eastAsia" w:ascii="Times New Roman" w:hAnsi="Times New Roman" w:eastAsia="方正仿宋_GBK" w:cs="Times New Roman"/>
          <w:color w:val="auto"/>
          <w:spacing w:val="-3"/>
          <w:kern w:val="2"/>
          <w:sz w:val="32"/>
          <w:szCs w:val="32"/>
          <w:highlight w:val="none"/>
          <w:lang w:val="en-US" w:eastAsia="zh-CN" w:bidi="ar-SA"/>
        </w:rPr>
        <w:t>强化规划引领、资源统筹、市场导向，实施“规储供用”一体化机制，加强房地联动，优化城市设计，统筹考虑出让地块的区位、规模、结构、节奏和规划指标要求，合理布局商品住宅用地；围绕轨道交通站点优化布局，支持带规划方案出让、逐步</w:t>
      </w:r>
      <w:r>
        <w:rPr>
          <w:rFonts w:hint="default" w:ascii="Times New Roman" w:hAnsi="Times New Roman" w:eastAsia="方正仿宋_GBK" w:cs="Times New Roman"/>
          <w:color w:val="auto"/>
          <w:spacing w:val="-3"/>
          <w:kern w:val="2"/>
          <w:sz w:val="32"/>
          <w:szCs w:val="32"/>
          <w:highlight w:val="none"/>
          <w:lang w:val="en-US" w:eastAsia="zh-CN" w:bidi="ar-SA"/>
        </w:rPr>
        <w:t>推行</w:t>
      </w:r>
      <w:r>
        <w:rPr>
          <w:rFonts w:hint="eastAsia" w:ascii="Times New Roman" w:hAnsi="Times New Roman" w:eastAsia="方正仿宋_GBK" w:cs="Times New Roman"/>
          <w:color w:val="auto"/>
          <w:spacing w:val="-3"/>
          <w:kern w:val="2"/>
          <w:sz w:val="32"/>
          <w:szCs w:val="32"/>
          <w:highlight w:val="none"/>
          <w:lang w:val="en-US" w:eastAsia="zh-CN" w:bidi="ar-SA"/>
        </w:rPr>
        <w:t>拿地即开工。完善“一地一策”会商机制，加大用地周边道路交通和市政配套设施建设支持，推动入市用地净地出让。</w:t>
      </w:r>
    </w:p>
    <w:p>
      <w:pPr>
        <w:pStyle w:val="9"/>
        <w:keepNext w:val="0"/>
        <w:keepLines w:val="0"/>
        <w:pageBreakBefore w:val="0"/>
        <w:widowControl w:val="0"/>
        <w:kinsoku/>
        <w:wordWrap/>
        <w:overflowPunct/>
        <w:topLinePunct w:val="0"/>
        <w:autoSpaceDE/>
        <w:autoSpaceDN/>
        <w:bidi w:val="0"/>
        <w:adjustRightInd/>
        <w:snapToGrid/>
        <w:spacing w:after="0" w:line="578" w:lineRule="exact"/>
        <w:ind w:firstLine="628" w:firstLineChars="200"/>
        <w:jc w:val="both"/>
        <w:textAlignment w:val="auto"/>
        <w:outlineLvl w:val="9"/>
        <w:rPr>
          <w:rFonts w:hint="eastAsia" w:ascii="Times New Roman" w:hAnsi="Times New Roman" w:eastAsia="方正仿宋_GBK" w:cs="Times New Roman"/>
          <w:color w:val="auto"/>
          <w:spacing w:val="-3"/>
          <w:kern w:val="2"/>
          <w:sz w:val="32"/>
          <w:szCs w:val="32"/>
          <w:highlight w:val="none"/>
          <w:lang w:val="en-US" w:eastAsia="zh-CN" w:bidi="ar-SA"/>
        </w:rPr>
      </w:pPr>
      <w:r>
        <w:rPr>
          <w:rFonts w:hint="default" w:ascii="Times New Roman" w:hAnsi="Times New Roman" w:eastAsia="方正仿宋_GBK" w:cs="Times New Roman"/>
          <w:color w:val="auto"/>
          <w:spacing w:val="-3"/>
          <w:kern w:val="2"/>
          <w:sz w:val="32"/>
          <w:szCs w:val="32"/>
          <w:highlight w:val="none"/>
          <w:lang w:val="en-US" w:eastAsia="zh-CN" w:bidi="ar-SA"/>
        </w:rPr>
        <w:t>2026年8月28日（含）前已取得土地使用权尚未取得建设工程规划许可证的项目，以及土地出让价款未完全缴纳的，可签订补充合同，最长不超过2年缴清。</w:t>
      </w:r>
    </w:p>
    <w:p>
      <w:pPr>
        <w:pStyle w:val="9"/>
        <w:keepNext w:val="0"/>
        <w:keepLines w:val="0"/>
        <w:pageBreakBefore w:val="0"/>
        <w:widowControl w:val="0"/>
        <w:kinsoku/>
        <w:wordWrap/>
        <w:overflowPunct/>
        <w:topLinePunct w:val="0"/>
        <w:autoSpaceDE/>
        <w:autoSpaceDN/>
        <w:bidi w:val="0"/>
        <w:adjustRightInd/>
        <w:snapToGrid/>
        <w:spacing w:after="0" w:line="578" w:lineRule="exact"/>
        <w:ind w:firstLine="628" w:firstLineChars="200"/>
        <w:jc w:val="both"/>
        <w:textAlignment w:val="auto"/>
        <w:outlineLvl w:val="9"/>
        <w:rPr>
          <w:rFonts w:hint="eastAsia" w:ascii="Times New Roman" w:hAnsi="Times New Roman" w:eastAsia="方正仿宋_GBK" w:cs="Times New Roman"/>
          <w:color w:val="auto"/>
          <w:spacing w:val="-3"/>
          <w:sz w:val="32"/>
          <w:szCs w:val="32"/>
          <w:highlight w:val="none"/>
        </w:rPr>
      </w:pPr>
      <w:r>
        <w:rPr>
          <w:rFonts w:hint="eastAsia" w:ascii="Times New Roman" w:hAnsi="Times New Roman" w:eastAsia="方正仿宋_GBK" w:cs="Times New Roman"/>
          <w:color w:val="auto"/>
          <w:spacing w:val="-3"/>
          <w:kern w:val="2"/>
          <w:sz w:val="32"/>
          <w:szCs w:val="32"/>
          <w:highlight w:val="none"/>
          <w:lang w:val="en-US" w:eastAsia="zh-CN" w:bidi="ar-SA"/>
        </w:rPr>
        <w:t>2026年8月28日后新出让土地除竞买保证金外，剩余土地出让价款可按合同约定在建设周期内分期缴纳，半年内缴纳比例不得低于土地出让价款的50%（</w:t>
      </w:r>
      <w:r>
        <w:rPr>
          <w:rFonts w:hint="default" w:ascii="Times New Roman" w:hAnsi="Times New Roman" w:eastAsia="方正仿宋_GBK" w:cs="Times New Roman"/>
          <w:color w:val="auto"/>
          <w:spacing w:val="-3"/>
          <w:kern w:val="2"/>
          <w:sz w:val="32"/>
          <w:szCs w:val="32"/>
          <w:highlight w:val="none"/>
          <w:lang w:val="en-US" w:eastAsia="zh-CN" w:bidi="ar-SA"/>
        </w:rPr>
        <w:t>含竞买保证金</w:t>
      </w:r>
      <w:r>
        <w:rPr>
          <w:rFonts w:hint="eastAsia" w:ascii="Times New Roman" w:hAnsi="Times New Roman" w:eastAsia="方正仿宋_GBK" w:cs="Times New Roman"/>
          <w:color w:val="auto"/>
          <w:spacing w:val="-3"/>
          <w:kern w:val="2"/>
          <w:sz w:val="32"/>
          <w:szCs w:val="32"/>
          <w:highlight w:val="none"/>
          <w:lang w:val="en-US" w:eastAsia="zh-CN" w:bidi="ar-SA"/>
        </w:rPr>
        <w:t>），余款可延长至出让合同签订后一年内缴清。适应市场和项</w:t>
      </w:r>
      <w:r>
        <w:rPr>
          <w:rFonts w:hint="eastAsia" w:ascii="Times New Roman" w:hAnsi="Times New Roman" w:eastAsia="方正仿宋_GBK" w:cs="Times New Roman"/>
          <w:color w:val="auto"/>
          <w:spacing w:val="-3"/>
          <w:sz w:val="32"/>
          <w:szCs w:val="32"/>
          <w:highlight w:val="none"/>
        </w:rPr>
        <w:t>目需要，按规定程序决策后，可再延长一年</w:t>
      </w:r>
      <w:r>
        <w:rPr>
          <w:rFonts w:hint="eastAsia" w:ascii="Times New Roman" w:hAnsi="Times New Roman" w:eastAsia="方正仿宋_GBK" w:cs="Times New Roman"/>
          <w:color w:val="auto"/>
          <w:spacing w:val="-3"/>
          <w:sz w:val="32"/>
          <w:szCs w:val="32"/>
          <w:highlight w:val="none"/>
          <w:lang w:eastAsia="zh-CN"/>
        </w:rPr>
        <w:t>，</w:t>
      </w:r>
      <w:r>
        <w:rPr>
          <w:rFonts w:hint="eastAsia" w:ascii="Times New Roman" w:hAnsi="Times New Roman" w:eastAsia="方正仿宋_GBK" w:cs="Times New Roman"/>
          <w:color w:val="auto"/>
          <w:spacing w:val="-3"/>
          <w:sz w:val="32"/>
          <w:szCs w:val="32"/>
          <w:highlight w:val="none"/>
        </w:rPr>
        <w:t>分期付款的，不计利息。分期缴款项目，开发企业可凭国有建设用地使用权出让合同申请办理建设用地规划许可证、建设工程规划许可证；在出让价款缴清后，方可办理国有建设用地使用权首次登记，并核发该出让合同范围内第一批次商品住房预售许可。</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仿宋_GBK" w:cs="Times New Roman"/>
          <w:color w:val="auto"/>
          <w:spacing w:val="-3"/>
          <w:sz w:val="32"/>
          <w:szCs w:val="32"/>
          <w:highlight w:val="none"/>
          <w:lang w:val="en-US" w:eastAsia="zh-CN"/>
        </w:rPr>
      </w:pPr>
      <w:r>
        <w:rPr>
          <w:rFonts w:hint="eastAsia" w:ascii="Times New Roman" w:hAnsi="Times New Roman" w:eastAsia="方正仿宋_GBK" w:cs="Times New Roman"/>
          <w:color w:val="auto"/>
          <w:spacing w:val="-3"/>
          <w:sz w:val="32"/>
          <w:szCs w:val="32"/>
          <w:highlight w:val="none"/>
        </w:rPr>
        <w:t>探索开展分户国有建设用地使用权设定抵押，房地产开发项目取得建设工程规划许可证后，按照不动产单元建筑面积占宗地总建筑面积的比例，计算其相应国有建设用地使用权份额，以国有建设用地使用权份额集合设立抵押。</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黑体_GBK" w:cs="Times New Roman"/>
          <w:color w:val="auto"/>
          <w:spacing w:val="-3"/>
          <w:sz w:val="32"/>
          <w:szCs w:val="32"/>
          <w:highlight w:val="none"/>
          <w:lang w:val="en-US" w:eastAsia="zh-CN"/>
        </w:rPr>
      </w:pPr>
      <w:r>
        <w:rPr>
          <w:rFonts w:hint="eastAsia" w:ascii="Times New Roman" w:hAnsi="Times New Roman" w:eastAsia="方正黑体_GBK" w:cs="Times New Roman"/>
          <w:color w:val="auto"/>
          <w:spacing w:val="-3"/>
          <w:sz w:val="32"/>
          <w:szCs w:val="32"/>
          <w:highlight w:val="none"/>
          <w:lang w:val="en-US" w:eastAsia="zh-CN"/>
        </w:rPr>
        <w:t xml:space="preserve">六、加强政策措施协同 </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方正楷体_GBK" w:hAnsi="方正楷体_GBK" w:eastAsia="方正楷体_GBK" w:cs="方正楷体_GBK"/>
          <w:bCs/>
          <w:color w:val="auto"/>
          <w:spacing w:val="-3"/>
          <w:sz w:val="32"/>
          <w:szCs w:val="21"/>
          <w:highlight w:val="none"/>
          <w:u w:val="none"/>
          <w:lang w:val="en-US" w:eastAsia="zh-CN"/>
        </w:rPr>
      </w:pPr>
      <w:r>
        <w:rPr>
          <w:rFonts w:hint="eastAsia" w:ascii="方正楷体_GBK" w:hAnsi="方正楷体_GBK" w:eastAsia="方正楷体_GBK" w:cs="方正楷体_GBK"/>
          <w:bCs/>
          <w:color w:val="auto"/>
          <w:spacing w:val="-3"/>
          <w:sz w:val="32"/>
          <w:szCs w:val="21"/>
          <w:highlight w:val="none"/>
          <w:u w:val="none"/>
          <w:lang w:val="en-US" w:eastAsia="zh-CN"/>
        </w:rPr>
        <w:t>（一）支持项目分期分栋开发</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仿宋_GBK" w:cs="Times New Roman"/>
          <w:bCs/>
          <w:color w:val="auto"/>
          <w:spacing w:val="-3"/>
          <w:sz w:val="32"/>
          <w:szCs w:val="21"/>
          <w:highlight w:val="none"/>
          <w:u w:val="none"/>
          <w:lang w:val="en-US" w:eastAsia="zh-CN"/>
        </w:rPr>
      </w:pPr>
      <w:r>
        <w:rPr>
          <w:rFonts w:hint="eastAsia" w:ascii="Times New Roman" w:hAnsi="Times New Roman" w:eastAsia="方正仿宋_GBK" w:cs="Times New Roman"/>
          <w:bCs/>
          <w:color w:val="auto"/>
          <w:spacing w:val="-3"/>
          <w:sz w:val="32"/>
          <w:szCs w:val="21"/>
          <w:highlight w:val="none"/>
          <w:u w:val="none"/>
          <w:lang w:val="en-US" w:eastAsia="zh-CN"/>
        </w:rPr>
        <w:t xml:space="preserve">支持项目分期分栋办理建设工程规划许可、建筑工程施工许可、人防工程报建、商品房预售许可、商品房现房销售备案和竣工验收备案，相关楼栋应具备独立使用功能，明确各期配套设施的建设时序和交付时间，满足道路、供水、电力、燃热、通信、消防等市政公用服务设施接入条件。 </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方正楷体_GBK" w:hAnsi="方正楷体_GBK" w:eastAsia="方正楷体_GBK" w:cs="方正楷体_GBK"/>
          <w:bCs/>
          <w:color w:val="auto"/>
          <w:spacing w:val="-3"/>
          <w:sz w:val="32"/>
          <w:szCs w:val="21"/>
          <w:highlight w:val="none"/>
          <w:u w:val="none"/>
          <w:lang w:val="en-US" w:eastAsia="zh-CN"/>
        </w:rPr>
      </w:pPr>
      <w:r>
        <w:rPr>
          <w:rFonts w:hint="eastAsia" w:ascii="方正楷体_GBK" w:hAnsi="方正楷体_GBK" w:eastAsia="方正楷体_GBK" w:cs="方正楷体_GBK"/>
          <w:bCs/>
          <w:color w:val="auto"/>
          <w:spacing w:val="-3"/>
          <w:sz w:val="32"/>
          <w:szCs w:val="21"/>
          <w:highlight w:val="none"/>
          <w:u w:val="none"/>
          <w:lang w:val="en-US" w:eastAsia="zh-CN"/>
        </w:rPr>
        <w:t>（二）支持项目办理不动产预登记</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Times New Roman" w:hAnsi="Times New Roman" w:eastAsia="方正仿宋_GBK" w:cs="Times New Roman"/>
          <w:bCs/>
          <w:color w:val="auto"/>
          <w:spacing w:val="-3"/>
          <w:sz w:val="32"/>
          <w:szCs w:val="21"/>
          <w:highlight w:val="none"/>
          <w:u w:val="none"/>
          <w:lang w:val="en-US" w:eastAsia="zh-CN"/>
        </w:rPr>
      </w:pPr>
      <w:r>
        <w:rPr>
          <w:rFonts w:hint="eastAsia" w:ascii="方正仿宋_GBK" w:hAnsi="方正仿宋_GBK" w:eastAsia="方正仿宋_GBK" w:cs="方正仿宋_GBK"/>
          <w:color w:val="000000"/>
          <w:kern w:val="2"/>
          <w:sz w:val="32"/>
          <w:szCs w:val="32"/>
          <w:highlight w:val="none"/>
          <w:lang w:val="en-US" w:eastAsia="zh-CN" w:bidi="ar"/>
        </w:rPr>
        <w:t>支持按照新预售条件开展预售以及现房销售的商品住房项目，在签订土地出让合同并取得不动产登记机构出具的土地不动产预登记证明后，先行办理宗地的建设工程规划许可、不动产测绘等手续。</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方正楷体_GBK" w:hAnsi="方正楷体_GBK" w:eastAsia="方正楷体_GBK" w:cs="方正楷体_GBK"/>
          <w:bCs/>
          <w:color w:val="auto"/>
          <w:spacing w:val="-3"/>
          <w:sz w:val="32"/>
          <w:szCs w:val="21"/>
          <w:highlight w:val="none"/>
          <w:u w:val="none"/>
          <w:lang w:val="en-US" w:eastAsia="zh-CN"/>
        </w:rPr>
      </w:pPr>
      <w:r>
        <w:rPr>
          <w:rFonts w:hint="eastAsia" w:ascii="方正楷体_GBK" w:hAnsi="方正楷体_GBK" w:eastAsia="方正楷体_GBK" w:cs="方正楷体_GBK"/>
          <w:bCs/>
          <w:color w:val="auto"/>
          <w:spacing w:val="-3"/>
          <w:sz w:val="32"/>
          <w:szCs w:val="21"/>
          <w:highlight w:val="none"/>
          <w:u w:val="none"/>
          <w:lang w:val="en-US" w:eastAsia="zh-CN"/>
        </w:rPr>
        <w:t xml:space="preserve">（三）优化项目审批服务 </w:t>
      </w:r>
    </w:p>
    <w:p>
      <w:pPr>
        <w:keepNext w:val="0"/>
        <w:keepLines w:val="0"/>
        <w:pageBreakBefore w:val="0"/>
        <w:widowControl w:val="0"/>
        <w:numPr>
          <w:ilvl w:val="0"/>
          <w:numId w:val="0"/>
        </w:numPr>
        <w:suppressLineNumbers w:val="0"/>
        <w:kinsoku/>
        <w:wordWrap/>
        <w:overflowPunct/>
        <w:topLinePunct w:val="0"/>
        <w:autoSpaceDE w:val="0"/>
        <w:autoSpaceDN/>
        <w:bidi w:val="0"/>
        <w:adjustRightInd w:val="0"/>
        <w:snapToGrid w:val="0"/>
        <w:spacing w:beforeAutospacing="0" w:afterAutospacing="0" w:line="578" w:lineRule="exact"/>
        <w:ind w:leftChars="0" w:right="0" w:rightChars="0" w:firstLine="628" w:firstLineChars="200"/>
        <w:jc w:val="both"/>
        <w:textAlignment w:val="auto"/>
        <w:rPr>
          <w:rFonts w:hint="eastAsia" w:ascii="Times New Roman" w:hAnsi="Times New Roman" w:eastAsia="方正仿宋_GBK" w:cs="Times New Roman"/>
          <w:bCs/>
          <w:color w:val="auto"/>
          <w:spacing w:val="-3"/>
          <w:sz w:val="32"/>
          <w:szCs w:val="21"/>
          <w:highlight w:val="none"/>
          <w:u w:val="none"/>
          <w:lang w:val="en-US" w:eastAsia="zh-CN"/>
        </w:rPr>
      </w:pPr>
      <w:r>
        <w:rPr>
          <w:rFonts w:hint="eastAsia" w:ascii="Times New Roman" w:hAnsi="Times New Roman" w:eastAsia="方正仿宋_GBK" w:cs="Times New Roman"/>
          <w:bCs/>
          <w:color w:val="auto"/>
          <w:spacing w:val="-3"/>
          <w:sz w:val="32"/>
          <w:szCs w:val="21"/>
          <w:highlight w:val="none"/>
          <w:u w:val="none"/>
          <w:lang w:val="en-US" w:eastAsia="zh-CN"/>
        </w:rPr>
        <w:t xml:space="preserve">对实施现房销售的商品住房项目，优化建设工程规划许可、建筑工程施工许可、人防工程报建、商品房现房销售备案、竣工验收备案和不动产登记等行政审批环节，实行告知承诺制与容缺受理。优化商品住房销售中涉及的合同网签、不动产登记、抵押贷款办理等环节流程，强化工作协同，推动商品住房交付时购房人同步取得不动产权证书。 </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方正楷体_GBK" w:hAnsi="方正楷体_GBK" w:eastAsia="方正楷体_GBK" w:cs="方正楷体_GBK"/>
          <w:bCs/>
          <w:color w:val="auto"/>
          <w:spacing w:val="-3"/>
          <w:sz w:val="32"/>
          <w:szCs w:val="21"/>
          <w:highlight w:val="none"/>
          <w:u w:val="none"/>
          <w:lang w:val="en-US" w:eastAsia="zh-CN"/>
        </w:rPr>
      </w:pPr>
      <w:r>
        <w:rPr>
          <w:rFonts w:hint="eastAsia" w:ascii="方正楷体_GBK" w:hAnsi="方正楷体_GBK" w:eastAsia="方正楷体_GBK" w:cs="方正楷体_GBK"/>
          <w:bCs/>
          <w:color w:val="auto"/>
          <w:spacing w:val="-3"/>
          <w:sz w:val="32"/>
          <w:szCs w:val="21"/>
          <w:highlight w:val="none"/>
          <w:u w:val="none"/>
          <w:lang w:val="en-US" w:eastAsia="zh-CN"/>
        </w:rPr>
        <w:t>（四）支持项目施工建设</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Times New Roman" w:hAnsi="Times New Roman" w:eastAsia="方正仿宋_GBK" w:cs="Times New Roman"/>
          <w:bCs/>
          <w:color w:val="auto"/>
          <w:spacing w:val="-3"/>
          <w:sz w:val="32"/>
          <w:szCs w:val="21"/>
          <w:highlight w:val="none"/>
          <w:u w:val="none"/>
          <w:lang w:val="en-US" w:eastAsia="zh-CN"/>
        </w:rPr>
      </w:pPr>
      <w:r>
        <w:rPr>
          <w:rFonts w:hint="eastAsia" w:ascii="Times New Roman" w:hAnsi="Times New Roman" w:eastAsia="方正仿宋_GBK" w:cs="Times New Roman"/>
          <w:bCs/>
          <w:color w:val="auto"/>
          <w:spacing w:val="-3"/>
          <w:sz w:val="32"/>
          <w:szCs w:val="21"/>
          <w:highlight w:val="none"/>
          <w:u w:val="none"/>
          <w:lang w:val="en-US" w:eastAsia="zh-CN"/>
        </w:rPr>
        <w:t xml:space="preserve">建立健全商品住房项目工程质量保障体系，压实各方主体责任，做好从规划设计到交付使用的全过程管理，加强施工现场质量安全管理。支持加快商品住房项目工程建设，大力推动智能建造与工业化建筑，鼓励采用装配式建筑、装配式装修。 </w:t>
      </w:r>
    </w:p>
    <w:p>
      <w:pPr>
        <w:keepNext w:val="0"/>
        <w:keepLines w:val="0"/>
        <w:pageBreakBefore w:val="0"/>
        <w:widowControl/>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Times New Roman" w:hAnsi="Times New Roman" w:eastAsia="方正仿宋_GBK" w:cs="Times New Roman"/>
          <w:bCs/>
          <w:color w:val="auto"/>
          <w:spacing w:val="-3"/>
          <w:sz w:val="32"/>
          <w:szCs w:val="21"/>
          <w:highlight w:val="none"/>
          <w:u w:val="none"/>
          <w:lang w:val="en-US" w:eastAsia="zh-CN"/>
        </w:rPr>
      </w:pPr>
      <w:r>
        <w:rPr>
          <w:rFonts w:hint="default" w:ascii="Times New Roman" w:hAnsi="Times New Roman" w:eastAsia="方正仿宋_GBK" w:cs="Times New Roman"/>
          <w:i w:val="0"/>
          <w:caps w:val="0"/>
          <w:color w:val="000000"/>
          <w:spacing w:val="0"/>
          <w:sz w:val="32"/>
          <w:szCs w:val="32"/>
          <w:highlight w:val="none"/>
          <w:u w:val="none"/>
        </w:rPr>
        <w:t>商业</w:t>
      </w:r>
      <w:r>
        <w:rPr>
          <w:rFonts w:hint="eastAsia" w:ascii="Times New Roman" w:hAnsi="Times New Roman" w:eastAsia="方正仿宋_GBK" w:cs="Times New Roman"/>
          <w:i w:val="0"/>
          <w:caps w:val="0"/>
          <w:color w:val="000000"/>
          <w:spacing w:val="0"/>
          <w:sz w:val="32"/>
          <w:szCs w:val="32"/>
          <w:highlight w:val="none"/>
          <w:u w:val="none"/>
          <w:lang w:eastAsia="zh-CN"/>
        </w:rPr>
        <w:t>用房等</w:t>
      </w:r>
      <w:r>
        <w:rPr>
          <w:rFonts w:hint="default" w:ascii="Times New Roman" w:hAnsi="Times New Roman" w:eastAsia="方正仿宋_GBK" w:cs="Times New Roman"/>
          <w:i w:val="0"/>
          <w:caps w:val="0"/>
          <w:color w:val="000000"/>
          <w:spacing w:val="0"/>
          <w:sz w:val="32"/>
          <w:szCs w:val="32"/>
          <w:highlight w:val="none"/>
          <w:u w:val="none"/>
        </w:rPr>
        <w:t>其他国有土地上非住宅类房屋，参照本意见执行。</w:t>
      </w:r>
      <w:r>
        <w:rPr>
          <w:rFonts w:hint="eastAsia" w:ascii="Times New Roman" w:hAnsi="Times New Roman" w:eastAsia="方正仿宋_GBK" w:cs="Times New Roman"/>
          <w:bCs/>
          <w:color w:val="auto"/>
          <w:spacing w:val="-3"/>
          <w:sz w:val="32"/>
          <w:szCs w:val="21"/>
          <w:highlight w:val="none"/>
          <w:u w:val="none"/>
          <w:lang w:val="en-US" w:eastAsia="zh-CN"/>
        </w:rPr>
        <w:t>此前所发文件相关内容与本实施意见不一致的，按本实施意见规定执行。</w:t>
      </w:r>
    </w:p>
    <w:p>
      <w:pPr>
        <w:keepNext w:val="0"/>
        <w:keepLines w:val="0"/>
        <w:pageBreakBefore w:val="0"/>
        <w:widowControl w:val="0"/>
        <w:kinsoku/>
        <w:wordWrap w:val="0"/>
        <w:overflowPunct/>
        <w:topLinePunct w:val="0"/>
        <w:autoSpaceDE/>
        <w:autoSpaceDN/>
        <w:bidi w:val="0"/>
        <w:adjustRightInd/>
        <w:snapToGrid/>
        <w:spacing w:beforeAutospacing="0" w:afterAutospacing="0" w:line="578" w:lineRule="exact"/>
        <w:ind w:firstLine="628" w:firstLineChars="200"/>
        <w:jc w:val="both"/>
        <w:textAlignment w:val="auto"/>
        <w:rPr>
          <w:rFonts w:hint="eastAsia" w:ascii="方正小标宋_GBK" w:hAnsi="方正小标宋_GBK" w:eastAsia="方正小标宋_GBK" w:cs="方正小标宋_GBK"/>
          <w:color w:val="000000"/>
          <w:spacing w:val="-11"/>
          <w:w w:val="100"/>
          <w:sz w:val="44"/>
          <w:szCs w:val="44"/>
          <w:highlight w:val="none"/>
          <w:lang w:val="en-US" w:eastAsia="zh-CN"/>
        </w:rPr>
      </w:pPr>
      <w:r>
        <w:rPr>
          <w:rFonts w:hint="eastAsia" w:ascii="Times New Roman" w:hAnsi="Times New Roman" w:eastAsia="方正仿宋_GBK" w:cs="Times New Roman"/>
          <w:bCs/>
          <w:color w:val="auto"/>
          <w:spacing w:val="-3"/>
          <w:sz w:val="32"/>
          <w:szCs w:val="21"/>
          <w:highlight w:val="none"/>
          <w:u w:val="none"/>
          <w:lang w:val="en-US" w:eastAsia="zh-CN"/>
        </w:rPr>
        <w:t>本实施意见自发布之日起一个月后执行，有效期2年。</w:t>
      </w: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W0FrMgIAAGMEAAAOAAAAZHJz&#10;L2Uyb0RvYy54bWytVM2O0zAQviPxDpbvNGkRq1I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9bQWsyAgAAYwQAAA4AAAAAAAAAAQAgAAAA&#10;NQEAAGRycy9lMm9Eb2MueG1sUEsFBgAAAAAGAAYAWQEAANkFAAAAAA==&#10;">
              <v:fill on="f" focussize="0,0"/>
              <v:stroke on="f" weight="0.5pt"/>
              <v:imagedata o:title=""/>
              <o:lock v:ext="edit" aspectratio="f"/>
              <v:textbox inset="0mm,0mm,0mm,0mm" style="mso-fit-shape-to-text:t;">
                <w:txbxContent>
                  <w:p>
                    <w:pPr>
                      <w:pStyle w:val="1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37477"/>
    <w:rsid w:val="02693733"/>
    <w:rsid w:val="029307AF"/>
    <w:rsid w:val="03CE5F43"/>
    <w:rsid w:val="042D7929"/>
    <w:rsid w:val="04DA26C6"/>
    <w:rsid w:val="053A40A3"/>
    <w:rsid w:val="067313A5"/>
    <w:rsid w:val="06BD229F"/>
    <w:rsid w:val="06C54662"/>
    <w:rsid w:val="073F2CB4"/>
    <w:rsid w:val="093F51ED"/>
    <w:rsid w:val="09DD6F83"/>
    <w:rsid w:val="09FD448C"/>
    <w:rsid w:val="0AE44DD0"/>
    <w:rsid w:val="0B610D74"/>
    <w:rsid w:val="0B896BF3"/>
    <w:rsid w:val="0C140339"/>
    <w:rsid w:val="0E016F15"/>
    <w:rsid w:val="0E4BDF29"/>
    <w:rsid w:val="0F086B7B"/>
    <w:rsid w:val="0F55021C"/>
    <w:rsid w:val="0F777459"/>
    <w:rsid w:val="10036F74"/>
    <w:rsid w:val="116021A5"/>
    <w:rsid w:val="14B52807"/>
    <w:rsid w:val="16021A7C"/>
    <w:rsid w:val="16290DB7"/>
    <w:rsid w:val="16704C38"/>
    <w:rsid w:val="167A52AC"/>
    <w:rsid w:val="16892E1D"/>
    <w:rsid w:val="17BD3EAD"/>
    <w:rsid w:val="18C1177B"/>
    <w:rsid w:val="18D05E62"/>
    <w:rsid w:val="198C1D89"/>
    <w:rsid w:val="1A530AF8"/>
    <w:rsid w:val="1AFB5C28"/>
    <w:rsid w:val="1B9A509B"/>
    <w:rsid w:val="1BAC6712"/>
    <w:rsid w:val="1CA229F9"/>
    <w:rsid w:val="1DED6B6E"/>
    <w:rsid w:val="1E4946EC"/>
    <w:rsid w:val="1E9F55B3"/>
    <w:rsid w:val="1EC93137"/>
    <w:rsid w:val="1F5B798C"/>
    <w:rsid w:val="1F6D6E4A"/>
    <w:rsid w:val="1F9B19E3"/>
    <w:rsid w:val="1F9F6DF8"/>
    <w:rsid w:val="1FC555DF"/>
    <w:rsid w:val="1FDD5987"/>
    <w:rsid w:val="222F59A7"/>
    <w:rsid w:val="23EB7FF4"/>
    <w:rsid w:val="246F44DB"/>
    <w:rsid w:val="2503311B"/>
    <w:rsid w:val="255120D8"/>
    <w:rsid w:val="25E940BF"/>
    <w:rsid w:val="26603ACA"/>
    <w:rsid w:val="26D6121F"/>
    <w:rsid w:val="27C60B5C"/>
    <w:rsid w:val="27F136FF"/>
    <w:rsid w:val="27FD6337"/>
    <w:rsid w:val="28676DA1"/>
    <w:rsid w:val="28C055AB"/>
    <w:rsid w:val="28C64B8B"/>
    <w:rsid w:val="299E21F6"/>
    <w:rsid w:val="2B0D6B35"/>
    <w:rsid w:val="2B2067D5"/>
    <w:rsid w:val="2B30453E"/>
    <w:rsid w:val="2BB92785"/>
    <w:rsid w:val="2C974875"/>
    <w:rsid w:val="2CE74E6D"/>
    <w:rsid w:val="2D6D1A79"/>
    <w:rsid w:val="2DCA6ECC"/>
    <w:rsid w:val="2DFF2495"/>
    <w:rsid w:val="2DFFEEB6"/>
    <w:rsid w:val="2EB402E6"/>
    <w:rsid w:val="2EDA6C9B"/>
    <w:rsid w:val="2F7574BB"/>
    <w:rsid w:val="30640F12"/>
    <w:rsid w:val="313F127B"/>
    <w:rsid w:val="31773B89"/>
    <w:rsid w:val="320C76B2"/>
    <w:rsid w:val="334061FB"/>
    <w:rsid w:val="33A90E75"/>
    <w:rsid w:val="34475066"/>
    <w:rsid w:val="347E456C"/>
    <w:rsid w:val="349618B6"/>
    <w:rsid w:val="35BE133D"/>
    <w:rsid w:val="36F72CF5"/>
    <w:rsid w:val="37447484"/>
    <w:rsid w:val="377DE694"/>
    <w:rsid w:val="378105FB"/>
    <w:rsid w:val="37824373"/>
    <w:rsid w:val="37BB52CC"/>
    <w:rsid w:val="37C16C4A"/>
    <w:rsid w:val="386D6DD1"/>
    <w:rsid w:val="388E7474"/>
    <w:rsid w:val="38F17A02"/>
    <w:rsid w:val="393B2A2C"/>
    <w:rsid w:val="397BB2FD"/>
    <w:rsid w:val="3BC7639E"/>
    <w:rsid w:val="3C1A7270"/>
    <w:rsid w:val="3DCD60F7"/>
    <w:rsid w:val="3ECD0615"/>
    <w:rsid w:val="3ED191C3"/>
    <w:rsid w:val="3EF7F3CA"/>
    <w:rsid w:val="3EFAD3E5"/>
    <w:rsid w:val="3F2A5A1C"/>
    <w:rsid w:val="3F4516BE"/>
    <w:rsid w:val="3FBBA580"/>
    <w:rsid w:val="3FFEE693"/>
    <w:rsid w:val="404A4D49"/>
    <w:rsid w:val="40550877"/>
    <w:rsid w:val="407E5006"/>
    <w:rsid w:val="40893C16"/>
    <w:rsid w:val="40F40090"/>
    <w:rsid w:val="41A545EB"/>
    <w:rsid w:val="42D101AD"/>
    <w:rsid w:val="43E53CC0"/>
    <w:rsid w:val="44F615E9"/>
    <w:rsid w:val="45F7867D"/>
    <w:rsid w:val="461D4BCB"/>
    <w:rsid w:val="467E4943"/>
    <w:rsid w:val="46AD45AE"/>
    <w:rsid w:val="46DF70EC"/>
    <w:rsid w:val="47392CA0"/>
    <w:rsid w:val="477201F6"/>
    <w:rsid w:val="47D90CF7"/>
    <w:rsid w:val="48077D8F"/>
    <w:rsid w:val="49443C5F"/>
    <w:rsid w:val="49815FDD"/>
    <w:rsid w:val="4A7F5F45"/>
    <w:rsid w:val="4B9761E7"/>
    <w:rsid w:val="4CB16E35"/>
    <w:rsid w:val="4D3D2DBF"/>
    <w:rsid w:val="4DFA919D"/>
    <w:rsid w:val="4DFF870E"/>
    <w:rsid w:val="4EB3158A"/>
    <w:rsid w:val="4EBDC3DB"/>
    <w:rsid w:val="4F702FD7"/>
    <w:rsid w:val="50000D7C"/>
    <w:rsid w:val="51220301"/>
    <w:rsid w:val="515E50B1"/>
    <w:rsid w:val="52043EAB"/>
    <w:rsid w:val="52D25D57"/>
    <w:rsid w:val="5312128A"/>
    <w:rsid w:val="532F37CD"/>
    <w:rsid w:val="53894668"/>
    <w:rsid w:val="53E534E0"/>
    <w:rsid w:val="53EFCFD6"/>
    <w:rsid w:val="54CD2C7A"/>
    <w:rsid w:val="569A430A"/>
    <w:rsid w:val="56A66BBF"/>
    <w:rsid w:val="56D50751"/>
    <w:rsid w:val="56D54068"/>
    <w:rsid w:val="57FDAE0E"/>
    <w:rsid w:val="585F3CF0"/>
    <w:rsid w:val="588C6A42"/>
    <w:rsid w:val="597B0EF6"/>
    <w:rsid w:val="597F36B6"/>
    <w:rsid w:val="5A9310ED"/>
    <w:rsid w:val="5A9A2B0C"/>
    <w:rsid w:val="5ADD47D7"/>
    <w:rsid w:val="5B062A42"/>
    <w:rsid w:val="5B5FE551"/>
    <w:rsid w:val="5BBB35D3"/>
    <w:rsid w:val="5BE922F9"/>
    <w:rsid w:val="5BFD3E45"/>
    <w:rsid w:val="5CFE0AE9"/>
    <w:rsid w:val="5D021747"/>
    <w:rsid w:val="5EFFE8A9"/>
    <w:rsid w:val="5F3DEFE9"/>
    <w:rsid w:val="5F76BD2B"/>
    <w:rsid w:val="5FECACC7"/>
    <w:rsid w:val="5FFCCD70"/>
    <w:rsid w:val="5FFEACB4"/>
    <w:rsid w:val="5FFEB0FB"/>
    <w:rsid w:val="605C4EB2"/>
    <w:rsid w:val="607D515C"/>
    <w:rsid w:val="623A5D13"/>
    <w:rsid w:val="627806C9"/>
    <w:rsid w:val="63FC9B74"/>
    <w:rsid w:val="64BD0615"/>
    <w:rsid w:val="651A1E40"/>
    <w:rsid w:val="65273CE0"/>
    <w:rsid w:val="65566374"/>
    <w:rsid w:val="65FD86F7"/>
    <w:rsid w:val="666B5E4F"/>
    <w:rsid w:val="669FDD59"/>
    <w:rsid w:val="66AF21DF"/>
    <w:rsid w:val="66F7FC23"/>
    <w:rsid w:val="67A27F96"/>
    <w:rsid w:val="67C95523"/>
    <w:rsid w:val="67D02E98"/>
    <w:rsid w:val="67D143D7"/>
    <w:rsid w:val="68C21B41"/>
    <w:rsid w:val="68DB3760"/>
    <w:rsid w:val="697600CD"/>
    <w:rsid w:val="6B674039"/>
    <w:rsid w:val="6B695B06"/>
    <w:rsid w:val="6BBF57A1"/>
    <w:rsid w:val="6C6972D4"/>
    <w:rsid w:val="6C7FF455"/>
    <w:rsid w:val="6CEA3DAE"/>
    <w:rsid w:val="6DF1132F"/>
    <w:rsid w:val="6EE669BA"/>
    <w:rsid w:val="6F6A07BA"/>
    <w:rsid w:val="6F9F7B2E"/>
    <w:rsid w:val="6FF76916"/>
    <w:rsid w:val="6FFEE124"/>
    <w:rsid w:val="6FFF0DB5"/>
    <w:rsid w:val="7128128D"/>
    <w:rsid w:val="716F0EE9"/>
    <w:rsid w:val="71BB1C62"/>
    <w:rsid w:val="71FB4DCF"/>
    <w:rsid w:val="72121874"/>
    <w:rsid w:val="7258372B"/>
    <w:rsid w:val="73136182"/>
    <w:rsid w:val="7346211D"/>
    <w:rsid w:val="7589387E"/>
    <w:rsid w:val="7591173F"/>
    <w:rsid w:val="75DC28C5"/>
    <w:rsid w:val="75EB0D5A"/>
    <w:rsid w:val="76E23F0B"/>
    <w:rsid w:val="76FF4ABD"/>
    <w:rsid w:val="770A5210"/>
    <w:rsid w:val="770D5C24"/>
    <w:rsid w:val="771D13E7"/>
    <w:rsid w:val="77BFAA8C"/>
    <w:rsid w:val="77DC5D8A"/>
    <w:rsid w:val="77DD21BB"/>
    <w:rsid w:val="77FBAA6D"/>
    <w:rsid w:val="78FD75BD"/>
    <w:rsid w:val="7967201E"/>
    <w:rsid w:val="79DFE705"/>
    <w:rsid w:val="79FA5FE9"/>
    <w:rsid w:val="79FC3536"/>
    <w:rsid w:val="7ADF3E99"/>
    <w:rsid w:val="7B811F45"/>
    <w:rsid w:val="7B915F00"/>
    <w:rsid w:val="7BA2668E"/>
    <w:rsid w:val="7BF61C2C"/>
    <w:rsid w:val="7C98391B"/>
    <w:rsid w:val="7CDCEF58"/>
    <w:rsid w:val="7D7B80A6"/>
    <w:rsid w:val="7DB3AEAE"/>
    <w:rsid w:val="7DF0AB21"/>
    <w:rsid w:val="7DF9C2E8"/>
    <w:rsid w:val="7E0A3596"/>
    <w:rsid w:val="7E5E59E7"/>
    <w:rsid w:val="7E796D86"/>
    <w:rsid w:val="7E7CA1A6"/>
    <w:rsid w:val="7EEB8419"/>
    <w:rsid w:val="7F3379FA"/>
    <w:rsid w:val="7F5D97B1"/>
    <w:rsid w:val="7F77CFA9"/>
    <w:rsid w:val="7F7F4B56"/>
    <w:rsid w:val="7FAFE24C"/>
    <w:rsid w:val="7FBFB288"/>
    <w:rsid w:val="7FCBD918"/>
    <w:rsid w:val="7FD542FC"/>
    <w:rsid w:val="7FD763CA"/>
    <w:rsid w:val="7FDCC3A3"/>
    <w:rsid w:val="7FECC64D"/>
    <w:rsid w:val="7FEEA65F"/>
    <w:rsid w:val="7FFED74A"/>
    <w:rsid w:val="7FFF2791"/>
    <w:rsid w:val="7FFF98BE"/>
    <w:rsid w:val="97DDA9ED"/>
    <w:rsid w:val="97FD82BA"/>
    <w:rsid w:val="97FF2C99"/>
    <w:rsid w:val="97FFEAF0"/>
    <w:rsid w:val="9A7704AE"/>
    <w:rsid w:val="9DFAD861"/>
    <w:rsid w:val="9FE9A53F"/>
    <w:rsid w:val="9FFCD6F5"/>
    <w:rsid w:val="9FFD02B0"/>
    <w:rsid w:val="ABD15246"/>
    <w:rsid w:val="AD7E95CB"/>
    <w:rsid w:val="AFEBFBBC"/>
    <w:rsid w:val="B3FDD00C"/>
    <w:rsid w:val="B4DFD5ED"/>
    <w:rsid w:val="B7FFB6BE"/>
    <w:rsid w:val="B9DDBC82"/>
    <w:rsid w:val="BBBBBDFE"/>
    <w:rsid w:val="BDF3611F"/>
    <w:rsid w:val="BEF3EB1B"/>
    <w:rsid w:val="BFB7270A"/>
    <w:rsid w:val="BFCD2ED5"/>
    <w:rsid w:val="BFEEC72C"/>
    <w:rsid w:val="C8FEDBB5"/>
    <w:rsid w:val="CB7F9092"/>
    <w:rsid w:val="CDAD1638"/>
    <w:rsid w:val="CFDECA08"/>
    <w:rsid w:val="CFF7C77E"/>
    <w:rsid w:val="D7C7314F"/>
    <w:rsid w:val="D7F96614"/>
    <w:rsid w:val="D8FF5C04"/>
    <w:rsid w:val="DA6CC2C4"/>
    <w:rsid w:val="DBBF8B1F"/>
    <w:rsid w:val="DBFFDEE0"/>
    <w:rsid w:val="DDFE1F95"/>
    <w:rsid w:val="DDFF7605"/>
    <w:rsid w:val="DEB9E35F"/>
    <w:rsid w:val="DEC70E42"/>
    <w:rsid w:val="DFADE059"/>
    <w:rsid w:val="DFBB0508"/>
    <w:rsid w:val="DFCFE02E"/>
    <w:rsid w:val="DFEFE585"/>
    <w:rsid w:val="DFF6C3EB"/>
    <w:rsid w:val="DFFC7850"/>
    <w:rsid w:val="DFFFD7A9"/>
    <w:rsid w:val="E5FF7D90"/>
    <w:rsid w:val="E87F5027"/>
    <w:rsid w:val="EB7F864B"/>
    <w:rsid w:val="EBDB532C"/>
    <w:rsid w:val="EBEF7A50"/>
    <w:rsid w:val="ED7BA679"/>
    <w:rsid w:val="ED8F3219"/>
    <w:rsid w:val="EDF7B822"/>
    <w:rsid w:val="EF8ECB0A"/>
    <w:rsid w:val="EFD718E5"/>
    <w:rsid w:val="EFFA5186"/>
    <w:rsid w:val="EFFD7D42"/>
    <w:rsid w:val="EFFE0286"/>
    <w:rsid w:val="F054238D"/>
    <w:rsid w:val="F5F59FC4"/>
    <w:rsid w:val="F6EED452"/>
    <w:rsid w:val="F6FF6384"/>
    <w:rsid w:val="F7B66DC9"/>
    <w:rsid w:val="F7DBD3A6"/>
    <w:rsid w:val="F7E30F19"/>
    <w:rsid w:val="F7FBF991"/>
    <w:rsid w:val="F94597DD"/>
    <w:rsid w:val="F9D61237"/>
    <w:rsid w:val="F9F79654"/>
    <w:rsid w:val="F9FDED63"/>
    <w:rsid w:val="FADEDDDF"/>
    <w:rsid w:val="FBDD6308"/>
    <w:rsid w:val="FBEF91C6"/>
    <w:rsid w:val="FC9C4316"/>
    <w:rsid w:val="FD6722D5"/>
    <w:rsid w:val="FDDD4C55"/>
    <w:rsid w:val="FDDE5605"/>
    <w:rsid w:val="FE7AB5FB"/>
    <w:rsid w:val="FE7D8EE9"/>
    <w:rsid w:val="FEDF65C7"/>
    <w:rsid w:val="FEF274DC"/>
    <w:rsid w:val="FEF8875F"/>
    <w:rsid w:val="FEFFD640"/>
    <w:rsid w:val="FF2FBD6C"/>
    <w:rsid w:val="FF6F4448"/>
    <w:rsid w:val="FF76EE81"/>
    <w:rsid w:val="FF7F17FC"/>
    <w:rsid w:val="FF99CF10"/>
    <w:rsid w:val="FFA974F8"/>
    <w:rsid w:val="FFAF3FA2"/>
    <w:rsid w:val="FFB349F9"/>
    <w:rsid w:val="FFD74D57"/>
    <w:rsid w:val="FFD89DBA"/>
    <w:rsid w:val="FFEAE8AD"/>
    <w:rsid w:val="FFEE422F"/>
    <w:rsid w:val="FFEF9AE8"/>
    <w:rsid w:val="FFFA85E6"/>
    <w:rsid w:val="FFFB8747"/>
    <w:rsid w:val="FFFD22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5">
    <w:name w:val="heading 2"/>
    <w:basedOn w:val="1"/>
    <w:next w:val="1"/>
    <w:unhideWhenUsed/>
    <w:qFormat/>
    <w:uiPriority w:val="9"/>
    <w:pPr>
      <w:keepNext/>
      <w:keepLines/>
      <w:widowControl/>
      <w:spacing w:before="260" w:after="260" w:line="416" w:lineRule="auto"/>
      <w:outlineLvl w:val="1"/>
    </w:pPr>
    <w:rPr>
      <w:rFonts w:hint="default" w:ascii="Cambria" w:hAnsi="Cambria" w:eastAsia="宋体" w:cs="Times New Roman"/>
      <w:b/>
      <w:sz w:val="32"/>
      <w:szCs w:val="20"/>
    </w:rPr>
  </w:style>
  <w:style w:type="paragraph" w:styleId="6">
    <w:name w:val="heading 3"/>
    <w:basedOn w:val="1"/>
    <w:next w:val="1"/>
    <w:unhideWhenUsed/>
    <w:qFormat/>
    <w:uiPriority w:val="0"/>
    <w:pPr>
      <w:keepNext/>
      <w:keepLines/>
      <w:spacing w:before="260" w:after="260" w:line="413" w:lineRule="auto"/>
      <w:outlineLvl w:val="2"/>
    </w:pPr>
    <w:rPr>
      <w:b/>
      <w:sz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3"/>
    <w:qFormat/>
    <w:uiPriority w:val="0"/>
    <w:pPr>
      <w:ind w:firstLine="420" w:firstLineChars="200"/>
    </w:pPr>
  </w:style>
  <w:style w:type="paragraph" w:styleId="3">
    <w:name w:val="Body Text Indent"/>
    <w:basedOn w:val="1"/>
    <w:next w:val="1"/>
    <w:qFormat/>
    <w:uiPriority w:val="0"/>
    <w:pPr>
      <w:spacing w:after="120" w:afterLines="0" w:afterAutospacing="0"/>
      <w:ind w:left="420" w:leftChars="200"/>
    </w:pPr>
    <w:rPr>
      <w:rFonts w:ascii="Times New Roman" w:hAnsi="Times New Roman" w:eastAsia="宋体" w:cs="Times New Roman"/>
      <w:sz w:val="32"/>
      <w:szCs w:val="32"/>
    </w:rPr>
  </w:style>
  <w:style w:type="paragraph" w:styleId="7">
    <w:name w:val="Normal Indent"/>
    <w:basedOn w:val="1"/>
    <w:unhideWhenUsed/>
    <w:qFormat/>
    <w:uiPriority w:val="99"/>
    <w:pPr>
      <w:ind w:firstLine="420" w:firstLineChars="200"/>
    </w:pPr>
    <w:rPr>
      <w:rFonts w:ascii="Calibri" w:hAnsi="Calibri" w:eastAsia="宋体" w:cs="Times New Roman"/>
    </w:rPr>
  </w:style>
  <w:style w:type="paragraph" w:styleId="8">
    <w:name w:val="index 5"/>
    <w:next w:val="1"/>
    <w:qFormat/>
    <w:uiPriority w:val="99"/>
    <w:pPr>
      <w:widowControl w:val="0"/>
      <w:ind w:left="800" w:leftChars="800"/>
      <w:jc w:val="both"/>
    </w:pPr>
    <w:rPr>
      <w:rFonts w:ascii="Times New Roman" w:hAnsi="Times New Roman" w:eastAsia="仿宋_GB2312" w:cs="Times New Roman"/>
      <w:kern w:val="2"/>
      <w:sz w:val="32"/>
      <w:szCs w:val="32"/>
      <w:lang w:val="en-US" w:eastAsia="zh-CN" w:bidi="ar-SA"/>
    </w:rPr>
  </w:style>
  <w:style w:type="paragraph" w:styleId="9">
    <w:name w:val="Body Text"/>
    <w:basedOn w:val="1"/>
    <w:qFormat/>
    <w:uiPriority w:val="0"/>
    <w:pPr>
      <w:spacing w:after="120"/>
    </w:pPr>
  </w:style>
  <w:style w:type="paragraph" w:styleId="10">
    <w:name w:val="toc 5"/>
    <w:basedOn w:val="1"/>
    <w:next w:val="1"/>
    <w:qFormat/>
    <w:uiPriority w:val="0"/>
    <w:pPr>
      <w:ind w:left="840"/>
      <w:jc w:val="left"/>
    </w:pPr>
    <w:rPr>
      <w:rFonts w:ascii="Calibri" w:hAnsi="Calibri"/>
      <w:sz w:val="18"/>
      <w:szCs w:val="18"/>
    </w:rPr>
  </w:style>
  <w:style w:type="paragraph" w:styleId="11">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ody Text First Indent"/>
    <w:basedOn w:val="9"/>
    <w:next w:val="9"/>
    <w:qFormat/>
    <w:uiPriority w:val="0"/>
    <w:pPr>
      <w:ind w:firstLine="420" w:firstLineChars="100"/>
    </w:pPr>
    <w:rPr>
      <w:rFonts w:ascii="Calibri" w:hAnsi="Calibri" w:eastAsia="宋体"/>
    </w:rPr>
  </w:style>
  <w:style w:type="character" w:styleId="18">
    <w:name w:val="Strong"/>
    <w:basedOn w:val="17"/>
    <w:qFormat/>
    <w:uiPriority w:val="0"/>
    <w:rPr>
      <w:b/>
    </w:rPr>
  </w:style>
  <w:style w:type="character" w:customStyle="1" w:styleId="19">
    <w:name w:val="bjh-p"/>
    <w:qFormat/>
    <w:uiPriority w:val="0"/>
  </w:style>
  <w:style w:type="paragraph" w:customStyle="1" w:styleId="20">
    <w:name w:val="样式 右侧:  1.69 厘米"/>
    <w:qFormat/>
    <w:uiPriority w:val="0"/>
    <w:pPr>
      <w:widowControl w:val="0"/>
      <w:ind w:right="960"/>
      <w:jc w:val="both"/>
    </w:pPr>
    <w:rPr>
      <w:rFonts w:ascii="Calibri" w:hAnsi="Calibri" w:eastAsia="仿宋" w:cs="宋体"/>
      <w:kern w:val="2"/>
      <w:sz w:val="21"/>
      <w:lang w:val="en-US" w:eastAsia="zh-CN" w:bidi="ar-SA"/>
    </w:rPr>
  </w:style>
  <w:style w:type="character" w:customStyle="1" w:styleId="21">
    <w:name w:val="font31"/>
    <w:basedOn w:val="17"/>
    <w:qFormat/>
    <w:uiPriority w:val="0"/>
    <w:rPr>
      <w:rFonts w:ascii="方正仿宋_GBK" w:hAnsi="方正仿宋_GBK" w:eastAsia="方正仿宋_GBK" w:cs="方正仿宋_GBK"/>
      <w:color w:val="000000"/>
      <w:sz w:val="32"/>
      <w:szCs w:val="32"/>
      <w:u w:val="none"/>
    </w:rPr>
  </w:style>
  <w:style w:type="character" w:customStyle="1" w:styleId="22">
    <w:name w:val="font41"/>
    <w:basedOn w:val="17"/>
    <w:qFormat/>
    <w:uiPriority w:val="0"/>
    <w:rPr>
      <w:rFonts w:hint="default" w:ascii="Times New Roman" w:hAnsi="Times New Roman" w:cs="Times New Roman"/>
      <w:color w:val="00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4300fdd5-de1a-4d67-9441-b89d9b81f7b8</errorID>
      <errorWord xmlns="http://schemas.wps.cn/vas-ai-hub/contract-review">市委市政府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市委、市政府</item>
      </candidateList>
      <explain xmlns="http://schemas.wps.cn/vas-ai-hub/contract-review"/>
      <paraID xmlns="http://schemas.wps.cn/vas-ai-hub/contract-review">3E15BE52</paraID>
      <start xmlns="http://schemas.wps.cn/vas-ai-hub/contract-review">5</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87117a86-a461-49d3-9315-3fe1daa6d3bd</errorID>
      <errorWord xmlns="http://schemas.wps.cn/vas-ai-hub/contract-review">房地产市场平稳发展</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房地产市场平稳健康发展</item>
      </candidateList>
      <explain xmlns="http://schemas.wps.cn/vas-ai-hub/contract-review">词汇“房地产市场平稳健康发展”在特定场景下为固定表述形式，请确认此处的“房地产市场平稳发展”是否存在不当。</explain>
      <paraID xmlns="http://schemas.wps.cn/vas-ai-hub/contract-review">1ED4326A</paraID>
      <start xmlns="http://schemas.wps.cn/vas-ai-hub/contract-review">11</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c3e211c5-7686-4371-a3c8-7f4abeb40135</errorID>
      <errorWord xmlns="http://schemas.wps.cn/vas-ai-hub/contract-review">资金收回</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资金</item>
      </candidateList>
      <explain xmlns="http://schemas.wps.cn/vas-ai-hub/contract-review"/>
      <paraID xmlns="http://schemas.wps.cn/vas-ai-hub/contract-review">25330F7A</paraID>
      <start xmlns="http://schemas.wps.cn/vas-ai-hub/contract-review">68</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631de706-eedc-48f7-80c3-6275607a3191</errorID>
      <errorWord xmlns="http://schemas.wps.cn/vas-ai-hub/contract-review">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超过</item>
      </candidateList>
      <explain xmlns="http://schemas.wps.cn/vas-ai-hub/contract-review"/>
      <paraID xmlns="http://schemas.wps.cn/vas-ai-hub/contract-review">4D7AF49B</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354b19cc-3497-450d-9067-33001b51dec6</errorID>
      <errorWord xmlns="http://schemas.wps.cn/vas-ai-hub/contract-review">公用基础设施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公共基础设施</item>
      </candidateList>
      <explain xmlns="http://schemas.wps.cn/vas-ai-hub/contract-review">词汇“公共基础设施”在特定场景下为固定表述形式，请确认此处的“公用基础设施”是否存在不当。</explain>
      <paraID xmlns="http://schemas.wps.cn/vas-ai-hub/contract-review">723B3434</paraID>
      <start xmlns="http://schemas.wps.cn/vas-ai-hub/contract-review">42</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7c26ec-02a4-4139-95f9-451046848f94}">
  <ds:schemaRefs/>
</ds:datastoreItem>
</file>

<file path=docProps/app.xml><?xml version="1.0" encoding="utf-8"?>
<Properties xmlns="http://schemas.openxmlformats.org/officeDocument/2006/extended-properties" xmlns:vt="http://schemas.openxmlformats.org/officeDocument/2006/docPropsVTypes">
  <Template>Normal.dotm</Template>
  <Pages>8</Pages>
  <Words>5184</Words>
  <Characters>5292</Characters>
  <Lines>0</Lines>
  <Paragraphs>0</Paragraphs>
  <TotalTime>3</TotalTime>
  <ScaleCrop>false</ScaleCrop>
  <LinksUpToDate>false</LinksUpToDate>
  <CharactersWithSpaces>5334</CharactersWithSpaces>
  <Application>WPS Office_12.8.2.17008_F1E327BC-269C-435d-A152-05C5408002CA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2025-04-05T20:10:00Z</dcterms:created>
  <dc:creator>Administrator</dc:creator>
  <cp:lastModifiedBy>user</cp:lastModifiedBy>
  <cp:lastPrinted>2026-10-29T21:06:00Z</cp:lastPrinted>
  <dcterms:modified xsi:type="dcterms:W3CDTF">2026-10-30T16:40:15Z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2052-12.8.2.17008</vt:lpwstr>
  </property>
  <property fmtid="{D5CDD505-2E9C-101B-9397-08002B2CF9AE}" pid="3" name="KSOTemplateDocerSaveRecord">
    <vt:lpwstr>eyJoZGlkIjoiMDlmMjZkNzUzZWNiZDVlYTM3MDRjMzViYWI4NGQwMDEiLCJ1c2VySWQiOiIyNTYyMDkyMTIifQ==</vt:lpwstr>
  </property>
  <property fmtid="{D5CDD505-2E9C-101B-9397-08002B2CF9AE}" pid="4" name="ICV">
    <vt:lpwstr>1D1A10255C9675434982E16A88A27A79_43</vt:lpwstr>
  </property>
</Properties>
</file>