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r>
        <w:rPr>
          <w:rFonts w:hint="eastAsia" w:ascii="方正仿宋_GBK" w:hAnsi="Times New Roman" w:eastAsia="方正仿宋_GBK"/>
          <w:sz w:val="32"/>
          <w:szCs w:val="32"/>
        </w:rPr>
        <w:t>乌政办</w:t>
      </w:r>
      <w:r>
        <w:rPr>
          <w:rFonts w:ascii="Times New Roman" w:hAnsi="Times New Roman" w:eastAsia="方正仿宋_GBK"/>
          <w:bCs/>
          <w:kern w:val="0"/>
          <w:sz w:val="28"/>
          <w:szCs w:val="28"/>
        </w:rPr>
        <w:t>〔</w:t>
      </w:r>
      <w:r>
        <w:rPr>
          <w:rFonts w:hint="eastAsia" w:ascii="Times New Roman" w:hAnsi="Times New Roman" w:eastAsia="方正仿宋_GBK"/>
          <w:bCs/>
          <w:kern w:val="0"/>
          <w:sz w:val="32"/>
          <w:szCs w:val="32"/>
        </w:rPr>
        <w:t>2020</w:t>
      </w:r>
      <w:r>
        <w:rPr>
          <w:rFonts w:ascii="Times New Roman" w:hAnsi="Times New Roman" w:eastAsia="方正仿宋_GBK"/>
          <w:bCs/>
          <w:kern w:val="0"/>
          <w:sz w:val="28"/>
          <w:szCs w:val="28"/>
        </w:rPr>
        <w:t>〕</w:t>
      </w:r>
      <w:r>
        <w:rPr>
          <w:rFonts w:hint="eastAsia" w:ascii="Times New Roman" w:hAnsi="Times New Roman" w:eastAsia="方正仿宋_GBK"/>
          <w:bCs/>
          <w:kern w:val="0"/>
          <w:sz w:val="32"/>
          <w:szCs w:val="32"/>
          <w:lang w:val="en-US" w:eastAsia="zh-CN"/>
        </w:rPr>
        <w:t>72</w:t>
      </w:r>
      <w:r>
        <w:rPr>
          <w:rFonts w:hint="eastAsia" w:ascii="方正仿宋_GBK" w:hAnsi="方正仿宋_GBK" w:eastAsia="方正仿宋_GBK" w:cs="方正仿宋_GBK"/>
          <w:sz w:val="32"/>
          <w:szCs w:val="32"/>
        </w:rPr>
        <w:t>号</w:t>
      </w:r>
    </w:p>
    <w:p>
      <w:pPr>
        <w:spacing w:line="480" w:lineRule="exact"/>
        <w:jc w:val="center"/>
        <w:rPr>
          <w:rFonts w:ascii="Times New Roman" w:hAnsi="Times New Roman" w:eastAsia="方正小标宋_GBK"/>
          <w:sz w:val="44"/>
          <w:szCs w:val="44"/>
        </w:rPr>
      </w:pPr>
    </w:p>
    <w:p>
      <w:pPr>
        <w:spacing w:line="480" w:lineRule="exact"/>
        <w:jc w:val="center"/>
        <w:rPr>
          <w:rFonts w:ascii="Times New Roman" w:hAnsi="Times New Roman" w:eastAsia="方正小标宋_GBK"/>
          <w:sz w:val="44"/>
          <w:szCs w:val="44"/>
        </w:rPr>
      </w:pPr>
    </w:p>
    <w:p>
      <w:pPr>
        <w:spacing w:line="560" w:lineRule="exact"/>
        <w:jc w:val="center"/>
        <w:rPr>
          <w:rFonts w:ascii="Times New Roman" w:hAnsi="Times New Roman" w:eastAsia="方正小标宋_GBK"/>
          <w:sz w:val="44"/>
          <w:szCs w:val="44"/>
        </w:rPr>
      </w:pPr>
      <w:r>
        <w:rPr>
          <w:rFonts w:hint="eastAsia" w:ascii="Times New Roman" w:hAnsi="Times New Roman" w:eastAsia="方正小标宋_GBK"/>
          <w:sz w:val="44"/>
          <w:szCs w:val="44"/>
        </w:rPr>
        <w:t>印发关于</w:t>
      </w:r>
      <w:r>
        <w:rPr>
          <w:rFonts w:ascii="Times New Roman" w:hAnsi="Times New Roman" w:eastAsia="方正小标宋_GBK"/>
          <w:sz w:val="44"/>
          <w:szCs w:val="44"/>
        </w:rPr>
        <w:t>加快</w:t>
      </w:r>
      <w:r>
        <w:rPr>
          <w:rFonts w:hint="eastAsia" w:ascii="Times New Roman" w:hAnsi="Times New Roman" w:eastAsia="方正小标宋_GBK"/>
          <w:sz w:val="44"/>
          <w:szCs w:val="44"/>
        </w:rPr>
        <w:t>推进</w:t>
      </w:r>
      <w:r>
        <w:rPr>
          <w:rFonts w:ascii="Times New Roman" w:hAnsi="Times New Roman" w:eastAsia="方正小标宋_GBK"/>
          <w:sz w:val="44"/>
          <w:szCs w:val="44"/>
        </w:rPr>
        <w:t>乌鲁木齐市</w:t>
      </w:r>
    </w:p>
    <w:p>
      <w:pPr>
        <w:spacing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装配式建筑发展的通知</w:t>
      </w:r>
    </w:p>
    <w:p>
      <w:pPr>
        <w:spacing w:line="480" w:lineRule="exact"/>
        <w:rPr>
          <w:rFonts w:ascii="Times New Roman" w:hAnsi="Times New Roman" w:eastAsia="方正仿宋_GBK"/>
          <w:sz w:val="32"/>
          <w:szCs w:val="32"/>
        </w:rPr>
      </w:pPr>
    </w:p>
    <w:p>
      <w:pPr>
        <w:spacing w:line="480" w:lineRule="exact"/>
        <w:rPr>
          <w:rFonts w:ascii="Times New Roman" w:hAnsi="Times New Roman" w:eastAsia="方正仿宋_GBK"/>
          <w:sz w:val="32"/>
          <w:szCs w:val="32"/>
        </w:rPr>
      </w:pPr>
      <w:r>
        <w:rPr>
          <w:rFonts w:ascii="Times New Roman" w:hAnsi="Times New Roman" w:eastAsia="方正仿宋_GBK"/>
          <w:sz w:val="32"/>
          <w:szCs w:val="32"/>
        </w:rPr>
        <w:t>乌鲁木齐县、各区人民政府，乌鲁木齐经济技术开发区（头屯河区）、高新技术产业开发区（新市区）、甘泉堡经济技术开发区管委会，市属各委、</w:t>
      </w:r>
      <w:r>
        <w:rPr>
          <w:rFonts w:hint="eastAsia" w:ascii="Times New Roman" w:hAnsi="Times New Roman" w:eastAsia="方正仿宋_GBK"/>
          <w:sz w:val="32"/>
          <w:szCs w:val="32"/>
        </w:rPr>
        <w:t>局</w:t>
      </w:r>
      <w:r>
        <w:rPr>
          <w:rFonts w:ascii="Times New Roman" w:hAnsi="Times New Roman" w:eastAsia="方正仿宋_GBK"/>
          <w:sz w:val="32"/>
          <w:szCs w:val="32"/>
        </w:rPr>
        <w:t>、</w:t>
      </w:r>
      <w:r>
        <w:rPr>
          <w:rFonts w:hint="eastAsia" w:ascii="Times New Roman" w:hAnsi="Times New Roman" w:eastAsia="方正仿宋_GBK"/>
          <w:sz w:val="32"/>
          <w:szCs w:val="32"/>
        </w:rPr>
        <w:t>办</w:t>
      </w:r>
      <w:r>
        <w:rPr>
          <w:rFonts w:ascii="Times New Roman" w:hAnsi="Times New Roman" w:eastAsia="方正仿宋_GBK"/>
          <w:sz w:val="32"/>
          <w:szCs w:val="32"/>
        </w:rPr>
        <w:t>：</w:t>
      </w:r>
    </w:p>
    <w:p>
      <w:pPr>
        <w:autoSpaceDE w:val="0"/>
        <w:spacing w:line="560" w:lineRule="exact"/>
        <w:ind w:firstLine="640" w:firstLineChars="200"/>
        <w:rPr>
          <w:rFonts w:ascii="方正仿宋_GBK" w:eastAsia="方正仿宋_GBK"/>
          <w:sz w:val="32"/>
          <w:szCs w:val="32"/>
        </w:rPr>
      </w:pPr>
      <w:r>
        <w:rPr>
          <w:rFonts w:hint="eastAsia" w:ascii="Times New Roman" w:hAnsi="Times New Roman" w:eastAsia="方正仿宋_GBK"/>
          <w:sz w:val="32"/>
          <w:szCs w:val="32"/>
        </w:rPr>
        <w:t>《关于</w:t>
      </w:r>
      <w:r>
        <w:rPr>
          <w:rFonts w:ascii="Times New Roman" w:hAnsi="Times New Roman" w:eastAsia="方正仿宋_GBK"/>
          <w:sz w:val="32"/>
          <w:szCs w:val="32"/>
        </w:rPr>
        <w:t>加快</w:t>
      </w:r>
      <w:r>
        <w:rPr>
          <w:rFonts w:hint="eastAsia" w:ascii="Times New Roman" w:hAnsi="Times New Roman" w:eastAsia="方正仿宋_GBK"/>
          <w:sz w:val="32"/>
          <w:szCs w:val="32"/>
        </w:rPr>
        <w:t>推进</w:t>
      </w:r>
      <w:r>
        <w:rPr>
          <w:rFonts w:ascii="Times New Roman" w:hAnsi="Times New Roman" w:eastAsia="方正仿宋_GBK"/>
          <w:sz w:val="32"/>
          <w:szCs w:val="32"/>
        </w:rPr>
        <w:t>乌鲁木齐市装配式建筑发展的通知</w:t>
      </w:r>
      <w:r>
        <w:rPr>
          <w:rFonts w:hint="eastAsia" w:ascii="Times New Roman" w:hAnsi="Times New Roman" w:eastAsia="方正仿宋_GBK"/>
          <w:sz w:val="32"/>
          <w:szCs w:val="32"/>
        </w:rPr>
        <w:t>》</w:t>
      </w:r>
      <w:r>
        <w:rPr>
          <w:rFonts w:ascii="方正仿宋_GBK" w:eastAsia="方正仿宋_GBK"/>
          <w:spacing w:val="2"/>
          <w:sz w:val="32"/>
          <w:szCs w:val="32"/>
        </w:rPr>
        <w:t>已经市十六届人民政府第</w:t>
      </w:r>
      <w:r>
        <w:rPr>
          <w:rFonts w:hint="eastAsia" w:ascii="Times New Roman" w:hAnsi="Times New Roman" w:eastAsia="方正仿宋_GBK" w:cs="Times New Roman"/>
          <w:sz w:val="32"/>
          <w:szCs w:val="32"/>
        </w:rPr>
        <w:t>39</w:t>
      </w:r>
      <w:r>
        <w:rPr>
          <w:rFonts w:ascii="方正仿宋_GBK" w:eastAsia="方正仿宋_GBK"/>
          <w:spacing w:val="2"/>
          <w:sz w:val="32"/>
          <w:szCs w:val="32"/>
        </w:rPr>
        <w:t>次常务会议研究同意，现予以印发，请认真贯彻执行。</w:t>
      </w:r>
    </w:p>
    <w:p>
      <w:pPr>
        <w:spacing w:line="560" w:lineRule="exact"/>
        <w:jc w:val="left"/>
        <w:rPr>
          <w:rFonts w:ascii="Times New Roman" w:hAnsi="Times New Roman" w:eastAsia="方正仿宋_GBK"/>
          <w:sz w:val="32"/>
          <w:szCs w:val="32"/>
        </w:rPr>
      </w:pPr>
    </w:p>
    <w:p>
      <w:pPr>
        <w:spacing w:line="560" w:lineRule="exact"/>
        <w:ind w:firstLine="5760" w:firstLineChars="1800"/>
        <w:jc w:val="left"/>
        <w:rPr>
          <w:rFonts w:ascii="Times New Roman" w:hAnsi="Times New Roman" w:eastAsia="方正仿宋_GBK"/>
          <w:sz w:val="32"/>
          <w:szCs w:val="32"/>
        </w:rPr>
      </w:pPr>
      <w:r>
        <w:rPr>
          <w:rFonts w:hint="eastAsia" w:ascii="Times New Roman" w:hAnsi="Times New Roman" w:eastAsia="方正仿宋_GBK"/>
          <w:sz w:val="32"/>
          <w:szCs w:val="32"/>
        </w:rPr>
        <w:t>2020年9月</w:t>
      </w:r>
      <w:r>
        <w:rPr>
          <w:rFonts w:hint="eastAsia" w:ascii="Times New Roman" w:hAnsi="Times New Roman" w:eastAsia="方正仿宋_GBK"/>
          <w:sz w:val="32"/>
          <w:szCs w:val="32"/>
          <w:lang w:val="en-US" w:eastAsia="zh-CN"/>
        </w:rPr>
        <w:t>14</w:t>
      </w:r>
      <w:r>
        <w:rPr>
          <w:rFonts w:hint="eastAsia" w:ascii="Times New Roman" w:hAnsi="Times New Roman" w:eastAsia="方正仿宋_GBK"/>
          <w:sz w:val="32"/>
          <w:szCs w:val="32"/>
        </w:rPr>
        <w:t>日</w:t>
      </w:r>
    </w:p>
    <w:p/>
    <w:p>
      <w:pPr>
        <w:spacing w:line="560" w:lineRule="exact"/>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关于</w:t>
      </w:r>
      <w:r>
        <w:rPr>
          <w:rFonts w:ascii="Times New Roman" w:hAnsi="Times New Roman" w:eastAsia="方正小标宋_GBK" w:cs="Times New Roman"/>
          <w:sz w:val="44"/>
          <w:szCs w:val="44"/>
        </w:rPr>
        <w:t>加快</w:t>
      </w:r>
      <w:r>
        <w:rPr>
          <w:rFonts w:hint="eastAsia" w:ascii="Times New Roman" w:hAnsi="Times New Roman" w:eastAsia="方正小标宋_GBK" w:cs="Times New Roman"/>
          <w:sz w:val="44"/>
          <w:szCs w:val="44"/>
        </w:rPr>
        <w:t>推进</w:t>
      </w:r>
      <w:r>
        <w:rPr>
          <w:rFonts w:ascii="Times New Roman" w:hAnsi="Times New Roman" w:eastAsia="方正小标宋_GBK" w:cs="Times New Roman"/>
          <w:sz w:val="44"/>
          <w:szCs w:val="44"/>
        </w:rPr>
        <w:t>乌鲁木齐市装配式</w:t>
      </w:r>
    </w:p>
    <w:p>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建筑发展的通知</w:t>
      </w:r>
    </w:p>
    <w:p>
      <w:pPr>
        <w:spacing w:line="560" w:lineRule="exact"/>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为贯彻落实《关于加快推进自治区装配式建筑发展的通知》（新政办明电</w:t>
      </w:r>
      <w:r>
        <w:rPr>
          <w:rFonts w:hint="eastAsia" w:ascii="方正仿宋_GBK" w:hAnsi="方正仿宋_GBK" w:eastAsia="方正仿宋_GBK" w:cs="方正仿宋_GBK"/>
          <w:sz w:val="32"/>
          <w:szCs w:val="32"/>
        </w:rPr>
        <w:t>﹝</w:t>
      </w:r>
      <w:r>
        <w:rPr>
          <w:rFonts w:ascii="Times New Roman" w:hAnsi="Times New Roman" w:eastAsia="方正仿宋_GBK" w:cs="Times New Roman"/>
          <w:sz w:val="32"/>
          <w:szCs w:val="32"/>
        </w:rPr>
        <w:t>2019</w:t>
      </w:r>
      <w:r>
        <w:rPr>
          <w:rFonts w:hint="eastAsia" w:ascii="方正仿宋_GBK" w:hAnsi="方正仿宋_GBK" w:eastAsia="方正仿宋_GBK" w:cs="方正仿宋_GBK"/>
          <w:sz w:val="32"/>
          <w:szCs w:val="32"/>
        </w:rPr>
        <w:t>﹞</w:t>
      </w:r>
      <w:r>
        <w:rPr>
          <w:rFonts w:ascii="Times New Roman" w:hAnsi="Times New Roman" w:eastAsia="方正仿宋_GBK" w:cs="Times New Roman"/>
          <w:sz w:val="32"/>
          <w:szCs w:val="32"/>
        </w:rPr>
        <w:t>243号）相关要求，进一步推进</w:t>
      </w:r>
      <w:r>
        <w:rPr>
          <w:rFonts w:hint="eastAsia" w:ascii="Times New Roman" w:hAnsi="Times New Roman" w:eastAsia="方正仿宋_GBK" w:cs="Times New Roman"/>
          <w:sz w:val="32"/>
          <w:szCs w:val="32"/>
        </w:rPr>
        <w:t>我市</w:t>
      </w:r>
      <w:r>
        <w:rPr>
          <w:rFonts w:ascii="Times New Roman" w:hAnsi="Times New Roman" w:eastAsia="方正仿宋_GBK" w:cs="Times New Roman"/>
          <w:sz w:val="32"/>
          <w:szCs w:val="32"/>
        </w:rPr>
        <w:t>装配式建筑</w:t>
      </w:r>
      <w:r>
        <w:rPr>
          <w:rFonts w:hint="eastAsia" w:ascii="Times New Roman" w:hAnsi="Times New Roman" w:eastAsia="方正仿宋_GBK" w:cs="Times New Roman"/>
          <w:sz w:val="32"/>
          <w:szCs w:val="32"/>
        </w:rPr>
        <w:t>健康</w:t>
      </w:r>
      <w:r>
        <w:rPr>
          <w:rFonts w:ascii="Times New Roman" w:hAnsi="Times New Roman" w:eastAsia="方正仿宋_GBK" w:cs="Times New Roman"/>
          <w:sz w:val="32"/>
          <w:szCs w:val="32"/>
        </w:rPr>
        <w:t>快速发展，现将有关事项通知如下：</w:t>
      </w:r>
    </w:p>
    <w:p>
      <w:pPr>
        <w:spacing w:line="560"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一</w:t>
      </w:r>
      <w:r>
        <w:rPr>
          <w:rFonts w:ascii="Times New Roman" w:hAnsi="Times New Roman" w:eastAsia="方正黑体_GBK" w:cs="Times New Roman"/>
          <w:sz w:val="32"/>
          <w:szCs w:val="32"/>
        </w:rPr>
        <w:t>、装配式建筑</w:t>
      </w:r>
      <w:r>
        <w:rPr>
          <w:rFonts w:hint="eastAsia" w:ascii="Times New Roman" w:hAnsi="Times New Roman" w:eastAsia="方正黑体_GBK" w:cs="Times New Roman"/>
          <w:sz w:val="32"/>
          <w:szCs w:val="32"/>
        </w:rPr>
        <w:t>实施</w:t>
      </w:r>
      <w:r>
        <w:rPr>
          <w:rFonts w:ascii="Times New Roman" w:hAnsi="Times New Roman" w:eastAsia="方正黑体_GBK" w:cs="Times New Roman"/>
          <w:sz w:val="32"/>
          <w:szCs w:val="32"/>
        </w:rPr>
        <w:t>范围</w:t>
      </w:r>
    </w:p>
    <w:p>
      <w:pPr>
        <w:spacing w:line="56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（一）装配式建筑是指用预制部品部件在工地装配而成的建筑，包括装配式混凝土结构、钢结构、现代木结构，以及其他符合装配式建筑技术要求的结构体系，</w:t>
      </w:r>
      <w:r>
        <w:rPr>
          <w:rFonts w:hint="eastAsia" w:ascii="Times New Roman" w:hAnsi="Times New Roman" w:eastAsia="方正仿宋_GBK" w:cs="Times New Roman"/>
          <w:sz w:val="32"/>
          <w:szCs w:val="32"/>
        </w:rPr>
        <w:t>且</w:t>
      </w:r>
      <w:r>
        <w:rPr>
          <w:rFonts w:ascii="Times New Roman" w:hAnsi="Times New Roman" w:eastAsia="方正仿宋_GBK" w:cs="Times New Roman"/>
          <w:sz w:val="32"/>
          <w:szCs w:val="32"/>
        </w:rPr>
        <w:t>装配率不低于50%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室内采用全装修</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装配式建筑装配率计算说明</w:t>
      </w:r>
      <w:r>
        <w:rPr>
          <w:rFonts w:hint="eastAsia" w:ascii="Times New Roman" w:hAnsi="Times New Roman" w:eastAsia="方正仿宋_GBK" w:cs="Times New Roman"/>
          <w:sz w:val="32"/>
          <w:szCs w:val="32"/>
        </w:rPr>
        <w:t>及评价等级划分</w:t>
      </w:r>
      <w:r>
        <w:rPr>
          <w:rFonts w:ascii="Times New Roman" w:hAnsi="Times New Roman" w:eastAsia="方正仿宋_GBK" w:cs="Times New Roman"/>
          <w:sz w:val="32"/>
          <w:szCs w:val="32"/>
        </w:rPr>
        <w:t>详见附件</w:t>
      </w:r>
      <w:r>
        <w:rPr>
          <w:rFonts w:hint="eastAsia" w:ascii="Times New Roman" w:hAnsi="Times New Roman" w:eastAsia="方正仿宋_GBK" w:cs="Times New Roman"/>
          <w:sz w:val="32"/>
          <w:szCs w:val="32"/>
        </w:rPr>
        <w:t>）</w:t>
      </w:r>
    </w:p>
    <w:p>
      <w:pPr>
        <w:spacing w:line="56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（二）政府投资的保障性安居工程、办公楼、医院、学校、幼儿园、文化体育场馆、市政综合管廊、工业园区标准厂房、公交站台等新建项目应100%按照装配式建筑建造。</w:t>
      </w:r>
    </w:p>
    <w:p>
      <w:pPr>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三</w:t>
      </w:r>
      <w:r>
        <w:rPr>
          <w:rFonts w:ascii="Times New Roman" w:hAnsi="Times New Roman" w:eastAsia="方正仿宋_GBK" w:cs="Times New Roman"/>
          <w:sz w:val="32"/>
          <w:szCs w:val="32"/>
        </w:rPr>
        <w:t>）甘泉堡</w:t>
      </w:r>
      <w:bookmarkStart w:id="2" w:name="_GoBack"/>
      <w:r>
        <w:rPr>
          <w:rFonts w:ascii="Times New Roman" w:hAnsi="Times New Roman" w:eastAsia="方正仿宋_GBK" w:cs="Times New Roman"/>
          <w:color w:val="auto"/>
          <w:sz w:val="32"/>
          <w:szCs w:val="32"/>
        </w:rPr>
        <w:t>经济技术开发区、</w:t>
      </w:r>
      <w:r>
        <w:rPr>
          <w:rFonts w:hint="eastAsia" w:ascii="Times New Roman" w:hAnsi="Times New Roman" w:eastAsia="方正仿宋_GBK" w:cs="Times New Roman"/>
          <w:color w:val="auto"/>
          <w:sz w:val="32"/>
          <w:szCs w:val="32"/>
        </w:rPr>
        <w:t>水磨沟区</w:t>
      </w:r>
      <w:r>
        <w:rPr>
          <w:rFonts w:ascii="Times New Roman" w:hAnsi="Times New Roman" w:eastAsia="方正仿宋_GBK" w:cs="Times New Roman"/>
          <w:color w:val="auto"/>
          <w:sz w:val="32"/>
          <w:szCs w:val="32"/>
        </w:rPr>
        <w:t>红光山会展片区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达坂城区新型建筑产业园和建筑新材料产业园</w:t>
      </w:r>
      <w:r>
        <w:rPr>
          <w:rFonts w:hint="eastAsia" w:ascii="Times New Roman" w:hAnsi="Times New Roman" w:eastAsia="方正仿宋_GBK" w:cs="Times New Roman"/>
          <w:color w:val="auto"/>
          <w:sz w:val="32"/>
          <w:szCs w:val="32"/>
        </w:rPr>
        <w:t>作为我市装配式建筑应用示范区，</w:t>
      </w:r>
      <w:r>
        <w:rPr>
          <w:rFonts w:ascii="Times New Roman" w:hAnsi="Times New Roman" w:eastAsia="方正仿宋_GBK" w:cs="Times New Roman"/>
          <w:color w:val="auto"/>
          <w:sz w:val="32"/>
          <w:szCs w:val="32"/>
        </w:rPr>
        <w:t>新建建筑应100%按照装配式建筑建造。</w:t>
      </w:r>
    </w:p>
    <w:p>
      <w:pPr>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四</w:t>
      </w:r>
      <w:r>
        <w:rPr>
          <w:rFonts w:ascii="Times New Roman" w:hAnsi="Times New Roman" w:eastAsia="方正仿宋_GBK" w:cs="Times New Roman"/>
          <w:color w:val="auto"/>
          <w:sz w:val="32"/>
          <w:szCs w:val="32"/>
        </w:rPr>
        <w:t>）鼓励引导社会投资项目建设装配式建筑，建筑面积在10万</w:t>
      </w:r>
      <w:r>
        <w:rPr>
          <w:rFonts w:hint="eastAsia" w:ascii="Times New Roman" w:hAnsi="Times New Roman" w:eastAsia="方正仿宋_GBK" w:cs="Times New Roman"/>
          <w:color w:val="auto"/>
          <w:sz w:val="32"/>
          <w:szCs w:val="32"/>
        </w:rPr>
        <w:t>平方米—</w:t>
      </w:r>
      <w:r>
        <w:rPr>
          <w:rFonts w:ascii="Times New Roman" w:hAnsi="Times New Roman" w:eastAsia="方正仿宋_GBK" w:cs="Times New Roman"/>
          <w:color w:val="auto"/>
          <w:sz w:val="32"/>
          <w:szCs w:val="32"/>
        </w:rPr>
        <w:t>20万</w:t>
      </w:r>
      <w:r>
        <w:rPr>
          <w:rFonts w:hint="eastAsia" w:ascii="Times New Roman" w:hAnsi="Times New Roman" w:eastAsia="方正仿宋_GBK" w:cs="Times New Roman"/>
          <w:color w:val="auto"/>
          <w:sz w:val="32"/>
          <w:szCs w:val="32"/>
        </w:rPr>
        <w:t>平方米</w:t>
      </w:r>
      <w:r>
        <w:rPr>
          <w:rFonts w:ascii="Times New Roman" w:hAnsi="Times New Roman" w:eastAsia="方正仿宋_GBK" w:cs="Times New Roman"/>
          <w:color w:val="auto"/>
          <w:sz w:val="32"/>
          <w:szCs w:val="32"/>
        </w:rPr>
        <w:t>的项目，装配式建筑建设比例不低于10%</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建筑面积在20万</w:t>
      </w:r>
      <w:r>
        <w:rPr>
          <w:rFonts w:hint="eastAsia" w:ascii="Times New Roman" w:hAnsi="Times New Roman" w:eastAsia="方正仿宋_GBK" w:cs="Times New Roman"/>
          <w:color w:val="auto"/>
          <w:sz w:val="32"/>
          <w:szCs w:val="32"/>
        </w:rPr>
        <w:t>平方米</w:t>
      </w:r>
      <w:r>
        <w:rPr>
          <w:rFonts w:ascii="Times New Roman" w:hAnsi="Times New Roman" w:eastAsia="方正仿宋_GBK" w:cs="Times New Roman"/>
          <w:color w:val="auto"/>
          <w:sz w:val="32"/>
          <w:szCs w:val="32"/>
        </w:rPr>
        <w:t>以上的项目，装配式建筑建设比例不低于15%</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积极扩大装配式桥梁的应用规模</w:t>
      </w:r>
      <w:r>
        <w:rPr>
          <w:rFonts w:hint="eastAsia" w:ascii="Times New Roman" w:hAnsi="Times New Roman" w:eastAsia="方正仿宋_GBK" w:cs="Times New Roman"/>
          <w:color w:val="auto"/>
          <w:sz w:val="32"/>
          <w:szCs w:val="32"/>
        </w:rPr>
        <w:t>。</w:t>
      </w:r>
    </w:p>
    <w:p>
      <w:pPr>
        <w:spacing w:line="560" w:lineRule="exact"/>
        <w:ind w:firstLine="640" w:firstLineChars="200"/>
        <w:rPr>
          <w:rFonts w:ascii="Times New Roman" w:hAnsi="Times New Roman" w:eastAsia="方正黑体_GBK" w:cs="Times New Roman"/>
          <w:color w:val="auto"/>
          <w:sz w:val="32"/>
          <w:szCs w:val="32"/>
        </w:rPr>
      </w:pPr>
      <w:r>
        <w:rPr>
          <w:rFonts w:hint="eastAsia" w:ascii="Times New Roman" w:hAnsi="Times New Roman" w:eastAsia="方正黑体_GBK" w:cs="Times New Roman"/>
          <w:color w:val="auto"/>
          <w:sz w:val="32"/>
          <w:szCs w:val="32"/>
        </w:rPr>
        <w:t>二</w:t>
      </w:r>
      <w:r>
        <w:rPr>
          <w:rFonts w:ascii="Times New Roman" w:hAnsi="Times New Roman" w:eastAsia="方正黑体_GBK" w:cs="Times New Roman"/>
          <w:color w:val="auto"/>
          <w:sz w:val="32"/>
          <w:szCs w:val="32"/>
        </w:rPr>
        <w:t>、</w:t>
      </w:r>
      <w:r>
        <w:rPr>
          <w:rFonts w:hint="eastAsia" w:ascii="Times New Roman" w:hAnsi="Times New Roman" w:eastAsia="方正黑体_GBK" w:cs="Times New Roman"/>
          <w:color w:val="auto"/>
          <w:sz w:val="32"/>
          <w:szCs w:val="32"/>
        </w:rPr>
        <w:t>推行工程</w:t>
      </w:r>
      <w:r>
        <w:rPr>
          <w:rFonts w:ascii="Times New Roman" w:hAnsi="Times New Roman" w:eastAsia="方正黑体_GBK" w:cs="Times New Roman"/>
          <w:color w:val="auto"/>
          <w:sz w:val="32"/>
          <w:szCs w:val="32"/>
        </w:rPr>
        <w:t>建设新模式新技术</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（一）在装配式建筑项目中大力推广工程总承包EPC模式，可采用公开招标资格预审方式。对评价为A级及以上的装配式建筑，可按照技术复杂类工程项目采用邀请招标方式。</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二）装配式建筑项目应在设计、生产、施工、运营管理等阶段应用建筑信息模型技术（BIM技术），优化装配式建筑的整体方案和资源配置，建立装配式建筑项目数据库，为实现装配式建筑全过程质量管控和责任追溯提供信息技术支撑。</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三）装配式建筑全部实行室内全装修，室内全装修应与主体结构、机电设备一体化设计和协同施工。鼓励装配式装修，提倡干法施工，减少现场湿作业。积极推广整体厨卫、同层排水、轻质隔墙板等材料、产品和设备管线集成化技术，加快智能产品和智慧家居的应用。</w:t>
      </w:r>
    </w:p>
    <w:p>
      <w:pPr>
        <w:pStyle w:val="11"/>
        <w:numPr>
          <w:ilvl w:val="0"/>
          <w:numId w:val="1"/>
        </w:numPr>
        <w:spacing w:line="560" w:lineRule="exact"/>
        <w:ind w:firstLineChars="0"/>
        <w:rPr>
          <w:rFonts w:ascii="Times New Roman" w:hAnsi="Times New Roman" w:eastAsia="方正黑体_GBK" w:cs="Times New Roman"/>
          <w:color w:val="auto"/>
          <w:sz w:val="32"/>
          <w:szCs w:val="32"/>
        </w:rPr>
      </w:pPr>
      <w:r>
        <w:rPr>
          <w:rFonts w:ascii="Times New Roman" w:hAnsi="Times New Roman" w:eastAsia="方正黑体_GBK" w:cs="Times New Roman"/>
          <w:color w:val="auto"/>
          <w:sz w:val="32"/>
          <w:szCs w:val="32"/>
        </w:rPr>
        <w:t>强</w:t>
      </w:r>
      <w:r>
        <w:rPr>
          <w:rFonts w:hint="eastAsia" w:ascii="Times New Roman" w:hAnsi="Times New Roman" w:eastAsia="方正黑体_GBK" w:cs="Times New Roman"/>
          <w:color w:val="auto"/>
          <w:sz w:val="32"/>
          <w:szCs w:val="32"/>
        </w:rPr>
        <w:t>化</w:t>
      </w:r>
      <w:r>
        <w:rPr>
          <w:rFonts w:ascii="Times New Roman" w:hAnsi="Times New Roman" w:eastAsia="方正黑体_GBK" w:cs="Times New Roman"/>
          <w:color w:val="auto"/>
          <w:sz w:val="32"/>
          <w:szCs w:val="32"/>
        </w:rPr>
        <w:t>行业</w:t>
      </w:r>
      <w:r>
        <w:rPr>
          <w:rFonts w:hint="eastAsia" w:ascii="Times New Roman" w:hAnsi="Times New Roman" w:eastAsia="方正黑体_GBK" w:cs="Times New Roman"/>
          <w:color w:val="auto"/>
          <w:sz w:val="32"/>
          <w:szCs w:val="32"/>
        </w:rPr>
        <w:t>监管工作</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（一）</w:t>
      </w:r>
      <w:r>
        <w:rPr>
          <w:rFonts w:ascii="Times New Roman" w:hAnsi="Times New Roman" w:eastAsia="方正仿宋_GBK" w:cs="Times New Roman"/>
          <w:color w:val="auto"/>
          <w:sz w:val="32"/>
          <w:szCs w:val="32"/>
        </w:rPr>
        <w:t>做好项目源头管理。市、区</w:t>
      </w:r>
      <w:r>
        <w:rPr>
          <w:rFonts w:hint="eastAsia" w:ascii="Times New Roman" w:hAnsi="Times New Roman" w:eastAsia="方正仿宋_GBK" w:cs="Times New Roman"/>
          <w:color w:val="auto"/>
          <w:sz w:val="32"/>
          <w:szCs w:val="32"/>
        </w:rPr>
        <w:t>（县）</w:t>
      </w:r>
      <w:r>
        <w:rPr>
          <w:rFonts w:ascii="Times New Roman" w:hAnsi="Times New Roman" w:eastAsia="方正仿宋_GBK" w:cs="Times New Roman"/>
          <w:color w:val="auto"/>
          <w:sz w:val="32"/>
          <w:szCs w:val="32"/>
        </w:rPr>
        <w:t>教育、工信、住房保障、</w:t>
      </w:r>
      <w:r>
        <w:rPr>
          <w:rFonts w:hint="eastAsia" w:ascii="Times New Roman" w:hAnsi="Times New Roman" w:eastAsia="方正仿宋_GBK" w:cs="Times New Roman"/>
          <w:color w:val="auto"/>
          <w:sz w:val="32"/>
          <w:szCs w:val="32"/>
        </w:rPr>
        <w:t>城市管理、交通、</w:t>
      </w:r>
      <w:r>
        <w:rPr>
          <w:rFonts w:ascii="Times New Roman" w:hAnsi="Times New Roman" w:eastAsia="方正仿宋_GBK" w:cs="Times New Roman"/>
          <w:color w:val="auto"/>
          <w:sz w:val="32"/>
          <w:szCs w:val="32"/>
        </w:rPr>
        <w:t>文化、卫生</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机关事务管理、</w:t>
      </w:r>
      <w:r>
        <w:rPr>
          <w:rFonts w:hint="eastAsia" w:ascii="Times New Roman" w:hAnsi="Times New Roman" w:eastAsia="方正仿宋_GBK" w:cs="Times New Roman"/>
          <w:color w:val="auto"/>
          <w:sz w:val="32"/>
          <w:szCs w:val="32"/>
        </w:rPr>
        <w:t>体育</w:t>
      </w:r>
      <w:r>
        <w:rPr>
          <w:rFonts w:ascii="Times New Roman" w:hAnsi="Times New Roman" w:eastAsia="方正仿宋_GBK" w:cs="Times New Roman"/>
          <w:color w:val="auto"/>
          <w:sz w:val="32"/>
          <w:szCs w:val="32"/>
        </w:rPr>
        <w:t>等主管部门应按照本通知</w:t>
      </w:r>
      <w:r>
        <w:rPr>
          <w:rFonts w:hint="eastAsia" w:ascii="Times New Roman" w:hAnsi="Times New Roman" w:eastAsia="方正仿宋_GBK" w:cs="Times New Roman"/>
          <w:color w:val="auto"/>
          <w:sz w:val="32"/>
          <w:szCs w:val="32"/>
        </w:rPr>
        <w:t>中装配式建筑实施范围</w:t>
      </w:r>
      <w:r>
        <w:rPr>
          <w:rFonts w:ascii="Times New Roman" w:hAnsi="Times New Roman" w:eastAsia="方正仿宋_GBK" w:cs="Times New Roman"/>
          <w:color w:val="auto"/>
          <w:sz w:val="32"/>
          <w:szCs w:val="32"/>
        </w:rPr>
        <w:t>要求，严格落实政府投资的新建项目按照装配式建筑建造，增量成本计入项目建设成本。</w:t>
      </w:r>
      <w:r>
        <w:rPr>
          <w:rFonts w:ascii="Calibri" w:hAnsi="Calibri" w:eastAsia="方正仿宋_GBK" w:cs="Times New Roman"/>
          <w:snapToGrid w:val="0"/>
          <w:color w:val="auto"/>
          <w:kern w:val="0"/>
          <w:sz w:val="32"/>
          <w:szCs w:val="32"/>
        </w:rPr>
        <w:t>〔</w:t>
      </w:r>
      <w:r>
        <w:rPr>
          <w:rFonts w:hint="eastAsia" w:ascii="Calibri" w:hAnsi="Calibri" w:eastAsia="方正仿宋_GBK" w:cs="Times New Roman"/>
          <w:snapToGrid w:val="0"/>
          <w:color w:val="auto"/>
          <w:kern w:val="0"/>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市教育局、市</w:t>
      </w:r>
      <w:r>
        <w:rPr>
          <w:rFonts w:hint="eastAsia" w:ascii="Times New Roman" w:hAnsi="Times New Roman" w:eastAsia="方正仿宋_GBK" w:cs="Times New Roman"/>
          <w:color w:val="auto"/>
          <w:sz w:val="32"/>
          <w:szCs w:val="32"/>
        </w:rPr>
        <w:t>工业和信息化局</w:t>
      </w:r>
      <w:r>
        <w:rPr>
          <w:rFonts w:ascii="Times New Roman" w:hAnsi="Times New Roman" w:eastAsia="方正仿宋_GBK" w:cs="Times New Roman"/>
          <w:color w:val="auto"/>
          <w:sz w:val="32"/>
          <w:szCs w:val="32"/>
        </w:rPr>
        <w:t>、市财政局、市住房保障和房产</w:t>
      </w:r>
      <w:r>
        <w:rPr>
          <w:rFonts w:hint="eastAsia" w:ascii="Times New Roman" w:hAnsi="Times New Roman" w:eastAsia="方正仿宋_GBK" w:cs="Times New Roman"/>
          <w:color w:val="auto"/>
          <w:sz w:val="32"/>
          <w:szCs w:val="32"/>
        </w:rPr>
        <w:t>管理</w:t>
      </w:r>
      <w:r>
        <w:rPr>
          <w:rFonts w:ascii="Times New Roman" w:hAnsi="Times New Roman" w:eastAsia="方正仿宋_GBK" w:cs="Times New Roman"/>
          <w:color w:val="auto"/>
          <w:sz w:val="32"/>
          <w:szCs w:val="32"/>
        </w:rPr>
        <w:t>局、</w:t>
      </w:r>
      <w:r>
        <w:rPr>
          <w:rFonts w:hint="eastAsia" w:ascii="Times New Roman" w:hAnsi="Times New Roman" w:eastAsia="方正仿宋_GBK" w:cs="Times New Roman"/>
          <w:color w:val="auto"/>
          <w:sz w:val="32"/>
          <w:szCs w:val="32"/>
        </w:rPr>
        <w:t>市城市管理局、</w:t>
      </w:r>
      <w:r>
        <w:rPr>
          <w:rFonts w:ascii="Times New Roman" w:hAnsi="Times New Roman" w:eastAsia="方正仿宋_GBK" w:cs="Times New Roman"/>
          <w:color w:val="auto"/>
          <w:sz w:val="32"/>
          <w:szCs w:val="32"/>
        </w:rPr>
        <w:t>市交通运输局、市文化和旅游局、市</w:t>
      </w:r>
      <w:r>
        <w:rPr>
          <w:rFonts w:hint="eastAsia" w:ascii="Times New Roman" w:hAnsi="Times New Roman" w:eastAsia="方正仿宋_GBK" w:cs="Times New Roman"/>
          <w:color w:val="auto"/>
          <w:sz w:val="32"/>
          <w:szCs w:val="32"/>
        </w:rPr>
        <w:t>卫生健康委员会</w:t>
      </w:r>
      <w:r>
        <w:rPr>
          <w:rFonts w:ascii="Times New Roman" w:hAnsi="Times New Roman" w:eastAsia="方正仿宋_GBK" w:cs="Times New Roman"/>
          <w:color w:val="auto"/>
          <w:sz w:val="32"/>
          <w:szCs w:val="32"/>
        </w:rPr>
        <w:t>、市机关事务管理局</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市体育局</w:t>
      </w:r>
      <w:r>
        <w:rPr>
          <w:rFonts w:ascii="Calibri" w:hAnsi="Calibri" w:eastAsia="方正仿宋_GBK" w:cs="Times New Roman"/>
          <w:snapToGrid w:val="0"/>
          <w:color w:val="auto"/>
          <w:kern w:val="0"/>
          <w:sz w:val="32"/>
          <w:szCs w:val="32"/>
        </w:rPr>
        <w:t>〕</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（二）</w:t>
      </w:r>
      <w:r>
        <w:rPr>
          <w:rFonts w:ascii="Times New Roman" w:hAnsi="Times New Roman" w:eastAsia="方正仿宋_GBK" w:cs="Times New Roman"/>
          <w:color w:val="auto"/>
          <w:sz w:val="32"/>
          <w:szCs w:val="32"/>
        </w:rPr>
        <w:t>做好立项审批工作。对</w:t>
      </w:r>
      <w:r>
        <w:rPr>
          <w:rFonts w:hint="eastAsia" w:ascii="Times New Roman" w:hAnsi="Times New Roman" w:eastAsia="方正仿宋_GBK" w:cs="Times New Roman"/>
          <w:color w:val="auto"/>
          <w:sz w:val="32"/>
          <w:szCs w:val="32"/>
        </w:rPr>
        <w:t>本通知中要求</w:t>
      </w:r>
      <w:r>
        <w:rPr>
          <w:rFonts w:ascii="Times New Roman" w:hAnsi="Times New Roman" w:eastAsia="方正仿宋_GBK" w:cs="Times New Roman"/>
          <w:color w:val="auto"/>
          <w:sz w:val="32"/>
          <w:szCs w:val="32"/>
        </w:rPr>
        <w:t>实施装配式建筑的建设项目，发改部门在立项阶段应</w:t>
      </w:r>
      <w:r>
        <w:rPr>
          <w:rFonts w:hint="eastAsia" w:ascii="Times New Roman" w:hAnsi="Times New Roman" w:eastAsia="方正仿宋_GBK" w:cs="Times New Roman"/>
          <w:color w:val="auto"/>
          <w:sz w:val="32"/>
          <w:szCs w:val="32"/>
        </w:rPr>
        <w:t>对</w:t>
      </w:r>
      <w:r>
        <w:rPr>
          <w:rFonts w:ascii="Times New Roman" w:hAnsi="Times New Roman" w:eastAsia="方正仿宋_GBK" w:cs="Times New Roman"/>
          <w:color w:val="auto"/>
          <w:sz w:val="32"/>
          <w:szCs w:val="32"/>
        </w:rPr>
        <w:t>申请报告（或可行性研究</w:t>
      </w:r>
      <w:r>
        <w:rPr>
          <w:rFonts w:hint="eastAsia" w:ascii="Times New Roman" w:hAnsi="Times New Roman" w:eastAsia="方正仿宋_GBK" w:cs="Times New Roman"/>
          <w:color w:val="auto"/>
          <w:sz w:val="32"/>
          <w:szCs w:val="32"/>
        </w:rPr>
        <w:t>申请</w:t>
      </w:r>
      <w:r>
        <w:rPr>
          <w:rFonts w:ascii="Times New Roman" w:hAnsi="Times New Roman" w:eastAsia="方正仿宋_GBK" w:cs="Times New Roman"/>
          <w:color w:val="auto"/>
          <w:sz w:val="32"/>
          <w:szCs w:val="32"/>
        </w:rPr>
        <w:t>报告）落实装配式建筑的有关内容进行审核和明确</w:t>
      </w:r>
      <w:r>
        <w:rPr>
          <w:rFonts w:hint="eastAsia" w:ascii="Times New Roman" w:hAnsi="Times New Roman" w:eastAsia="方正仿宋_GBK" w:cs="Times New Roman"/>
          <w:color w:val="auto"/>
          <w:sz w:val="32"/>
          <w:szCs w:val="32"/>
        </w:rPr>
        <w:t>，严把项目审批关</w:t>
      </w:r>
      <w:r>
        <w:rPr>
          <w:rFonts w:ascii="Times New Roman" w:hAnsi="Times New Roman" w:eastAsia="方正仿宋_GBK" w:cs="Times New Roman"/>
          <w:color w:val="auto"/>
          <w:sz w:val="32"/>
          <w:szCs w:val="32"/>
        </w:rPr>
        <w:t>。</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市发改委</w:t>
      </w:r>
      <w:r>
        <w:rPr>
          <w:rFonts w:ascii="Calibri" w:hAnsi="Calibri" w:eastAsia="方正仿宋_GBK" w:cs="Times New Roman"/>
          <w:snapToGrid w:val="0"/>
          <w:color w:val="auto"/>
          <w:kern w:val="0"/>
          <w:sz w:val="32"/>
          <w:szCs w:val="32"/>
        </w:rPr>
        <w:t>〕</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（三）</w:t>
      </w:r>
      <w:r>
        <w:rPr>
          <w:rFonts w:ascii="Times New Roman" w:hAnsi="Times New Roman" w:eastAsia="方正仿宋_GBK" w:cs="Times New Roman"/>
          <w:color w:val="auto"/>
          <w:sz w:val="32"/>
          <w:szCs w:val="32"/>
        </w:rPr>
        <w:t>强化规划</w:t>
      </w:r>
      <w:r>
        <w:rPr>
          <w:rFonts w:hint="eastAsia" w:ascii="Times New Roman" w:hAnsi="Times New Roman" w:eastAsia="方正仿宋_GBK" w:cs="Times New Roman"/>
          <w:color w:val="auto"/>
          <w:sz w:val="32"/>
          <w:szCs w:val="32"/>
        </w:rPr>
        <w:t>审批和土地</w:t>
      </w:r>
      <w:r>
        <w:rPr>
          <w:rFonts w:ascii="Times New Roman" w:hAnsi="Times New Roman" w:eastAsia="方正仿宋_GBK" w:cs="Times New Roman"/>
          <w:color w:val="auto"/>
          <w:sz w:val="32"/>
          <w:szCs w:val="32"/>
        </w:rPr>
        <w:t>管理。</w:t>
      </w:r>
      <w:r>
        <w:rPr>
          <w:rFonts w:hint="eastAsia" w:ascii="Times New Roman" w:hAnsi="Times New Roman" w:eastAsia="方正仿宋_GBK" w:cs="Times New Roman"/>
          <w:color w:val="auto"/>
          <w:sz w:val="32"/>
          <w:szCs w:val="32"/>
        </w:rPr>
        <w:t>对应</w:t>
      </w:r>
      <w:r>
        <w:rPr>
          <w:rFonts w:ascii="Times New Roman" w:hAnsi="Times New Roman" w:eastAsia="方正仿宋_GBK" w:cs="Times New Roman"/>
          <w:color w:val="auto"/>
          <w:sz w:val="32"/>
          <w:szCs w:val="32"/>
        </w:rPr>
        <w:t>实施装配式建筑的建设项目，</w:t>
      </w:r>
      <w:r>
        <w:rPr>
          <w:rFonts w:hint="eastAsia" w:ascii="Times New Roman" w:hAnsi="Times New Roman" w:eastAsia="方正仿宋_GBK" w:cs="Times New Roman"/>
          <w:color w:val="auto"/>
          <w:sz w:val="32"/>
          <w:szCs w:val="32"/>
        </w:rPr>
        <w:t>规划部门在</w:t>
      </w:r>
      <w:r>
        <w:rPr>
          <w:rFonts w:ascii="Times New Roman" w:hAnsi="Times New Roman" w:eastAsia="方正仿宋_GBK" w:cs="Times New Roman"/>
          <w:color w:val="auto"/>
          <w:sz w:val="32"/>
          <w:szCs w:val="32"/>
        </w:rPr>
        <w:t>规划条件或选址意见书中提出装配式建筑的</w:t>
      </w:r>
      <w:r>
        <w:rPr>
          <w:rFonts w:hint="eastAsia" w:ascii="Times New Roman" w:hAnsi="Times New Roman" w:eastAsia="方正仿宋_GBK" w:cs="Times New Roman"/>
          <w:color w:val="auto"/>
          <w:sz w:val="32"/>
          <w:szCs w:val="32"/>
        </w:rPr>
        <w:t>建设比例</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并</w:t>
      </w:r>
      <w:r>
        <w:rPr>
          <w:rFonts w:hint="eastAsia" w:ascii="Times New Roman" w:hAnsi="Times New Roman" w:eastAsia="方正仿宋_GBK" w:cs="Times New Roman"/>
          <w:color w:val="auto"/>
          <w:sz w:val="32"/>
          <w:szCs w:val="32"/>
        </w:rPr>
        <w:t>对规划设计方案中落实</w:t>
      </w:r>
      <w:r>
        <w:rPr>
          <w:rFonts w:ascii="Times New Roman" w:hAnsi="Times New Roman" w:eastAsia="方正仿宋_GBK" w:cs="Times New Roman"/>
          <w:color w:val="auto"/>
          <w:sz w:val="32"/>
          <w:szCs w:val="32"/>
        </w:rPr>
        <w:t>装配式建筑指标</w:t>
      </w:r>
      <w:r>
        <w:rPr>
          <w:rFonts w:hint="eastAsia" w:ascii="Times New Roman" w:hAnsi="Times New Roman" w:eastAsia="方正仿宋_GBK" w:cs="Times New Roman"/>
          <w:color w:val="auto"/>
          <w:sz w:val="32"/>
          <w:szCs w:val="32"/>
        </w:rPr>
        <w:t>进行审查</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自然资源管理部门按照规划条件或规划选址意见，依法依规确定土地供应方式，并将装配式建筑建设指标纳入土地使用合同</w:t>
      </w:r>
      <w:r>
        <w:rPr>
          <w:rFonts w:hint="eastAsia" w:ascii="Times New Roman" w:hAnsi="Times New Roman" w:eastAsia="方正仿宋_GBK" w:cs="Times New Roman"/>
          <w:color w:val="auto"/>
          <w:sz w:val="32"/>
          <w:szCs w:val="32"/>
          <w:lang w:eastAsia="zh-CN"/>
        </w:rPr>
        <w:t>。</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、市自然资源局、</w:t>
      </w:r>
      <w:r>
        <w:rPr>
          <w:rFonts w:ascii="Times New Roman" w:hAnsi="Times New Roman" w:eastAsia="方正仿宋_GBK" w:cs="Times New Roman"/>
          <w:color w:val="auto"/>
          <w:sz w:val="32"/>
          <w:szCs w:val="32"/>
        </w:rPr>
        <w:t>市</w:t>
      </w:r>
      <w:r>
        <w:rPr>
          <w:rFonts w:hint="eastAsia" w:ascii="Times New Roman" w:hAnsi="Times New Roman" w:eastAsia="方正仿宋_GBK" w:cs="Times New Roman"/>
          <w:color w:val="auto"/>
          <w:sz w:val="32"/>
          <w:szCs w:val="32"/>
        </w:rPr>
        <w:t>城乡</w:t>
      </w:r>
      <w:r>
        <w:rPr>
          <w:rFonts w:ascii="Times New Roman" w:hAnsi="Times New Roman" w:eastAsia="方正仿宋_GBK" w:cs="Times New Roman"/>
          <w:color w:val="auto"/>
          <w:sz w:val="32"/>
          <w:szCs w:val="32"/>
        </w:rPr>
        <w:t>规划</w:t>
      </w:r>
      <w:r>
        <w:rPr>
          <w:rFonts w:hint="eastAsia" w:ascii="Times New Roman" w:hAnsi="Times New Roman" w:eastAsia="方正仿宋_GBK" w:cs="Times New Roman"/>
          <w:color w:val="auto"/>
          <w:sz w:val="32"/>
          <w:szCs w:val="32"/>
        </w:rPr>
        <w:t>管理</w:t>
      </w:r>
      <w:r>
        <w:rPr>
          <w:rFonts w:ascii="Times New Roman" w:hAnsi="Times New Roman" w:eastAsia="方正仿宋_GBK" w:cs="Times New Roman"/>
          <w:color w:val="auto"/>
          <w:sz w:val="32"/>
          <w:szCs w:val="32"/>
        </w:rPr>
        <w:t>局</w:t>
      </w:r>
      <w:r>
        <w:rPr>
          <w:rFonts w:ascii="Calibri" w:hAnsi="Calibri" w:eastAsia="方正仿宋_GBK" w:cs="Times New Roman"/>
          <w:snapToGrid w:val="0"/>
          <w:color w:val="auto"/>
          <w:kern w:val="0"/>
          <w:sz w:val="32"/>
          <w:szCs w:val="32"/>
        </w:rPr>
        <w:t>〕</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（四）加快项目审批手续办理。对应实施装配式建筑的建设项目，纳入工程建设项目并联审批范围，采取“一表式”“一单式”和一次性告知办理机制，做好施工许可、招投标等政务服务工作。</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、市政务服务管理局</w:t>
      </w:r>
      <w:r>
        <w:rPr>
          <w:rFonts w:ascii="Calibri" w:hAnsi="Calibri" w:eastAsia="方正仿宋_GBK" w:cs="Times New Roman"/>
          <w:snapToGrid w:val="0"/>
          <w:color w:val="auto"/>
          <w:kern w:val="0"/>
          <w:sz w:val="32"/>
          <w:szCs w:val="32"/>
        </w:rPr>
        <w:t>〕</w:t>
      </w:r>
    </w:p>
    <w:p>
      <w:pPr>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（五）</w:t>
      </w:r>
      <w:r>
        <w:rPr>
          <w:rFonts w:ascii="Times New Roman" w:hAnsi="Times New Roman" w:eastAsia="方正仿宋_GBK" w:cs="Times New Roman"/>
          <w:color w:val="auto"/>
          <w:sz w:val="32"/>
          <w:szCs w:val="32"/>
        </w:rPr>
        <w:t>加强工程建设管理。建设</w:t>
      </w:r>
      <w:r>
        <w:rPr>
          <w:rFonts w:hint="eastAsia" w:ascii="Times New Roman" w:hAnsi="Times New Roman" w:eastAsia="方正仿宋_GBK" w:cs="Times New Roman"/>
          <w:color w:val="auto"/>
          <w:sz w:val="32"/>
          <w:szCs w:val="32"/>
        </w:rPr>
        <w:t>行政主管</w:t>
      </w:r>
      <w:r>
        <w:rPr>
          <w:rFonts w:ascii="Times New Roman" w:hAnsi="Times New Roman" w:eastAsia="方正仿宋_GBK" w:cs="Times New Roman"/>
          <w:color w:val="auto"/>
          <w:sz w:val="32"/>
          <w:szCs w:val="32"/>
        </w:rPr>
        <w:t>部门</w:t>
      </w:r>
      <w:r>
        <w:rPr>
          <w:rFonts w:hint="eastAsia" w:ascii="Times New Roman" w:hAnsi="Times New Roman" w:eastAsia="方正仿宋_GBK" w:cs="Times New Roman"/>
          <w:color w:val="auto"/>
          <w:sz w:val="32"/>
          <w:szCs w:val="32"/>
        </w:rPr>
        <w:t>要按照《新疆维吾尔自治区装配式混凝土建筑工程质量监管要点》（新建质</w:t>
      </w:r>
      <w:r>
        <w:rPr>
          <w:rFonts w:hint="eastAsia" w:ascii="方正仿宋_GBK" w:hAnsi="方正仿宋_GBK" w:eastAsia="方正仿宋_GBK" w:cs="方正仿宋_GBK"/>
          <w:color w:val="auto"/>
          <w:sz w:val="32"/>
          <w:szCs w:val="32"/>
        </w:rPr>
        <w:t>﹝</w:t>
      </w:r>
      <w:r>
        <w:rPr>
          <w:rFonts w:ascii="Times New Roman" w:hAnsi="Times New Roman" w:eastAsia="方正仿宋_GBK" w:cs="Times New Roman"/>
          <w:color w:val="auto"/>
          <w:sz w:val="32"/>
          <w:szCs w:val="32"/>
        </w:rPr>
        <w:t>201</w:t>
      </w:r>
      <w:r>
        <w:rPr>
          <w:rFonts w:hint="eastAsia" w:ascii="Times New Roman" w:hAnsi="Times New Roman" w:eastAsia="方正仿宋_GBK" w:cs="Times New Roman"/>
          <w:color w:val="auto"/>
          <w:sz w:val="32"/>
          <w:szCs w:val="32"/>
        </w:rPr>
        <w:t>7</w:t>
      </w:r>
      <w:r>
        <w:rPr>
          <w:rFonts w:hint="eastAsia" w:ascii="方正仿宋_GBK" w:hAnsi="方正仿宋_GBK" w:eastAsia="方正仿宋_GBK" w:cs="方正仿宋_GBK"/>
          <w:color w:val="auto"/>
          <w:sz w:val="32"/>
          <w:szCs w:val="32"/>
        </w:rPr>
        <w:t>﹞</w:t>
      </w:r>
      <w:r>
        <w:rPr>
          <w:rFonts w:hint="eastAsia" w:ascii="Times New Roman" w:hAnsi="Times New Roman" w:eastAsia="方正仿宋_GBK" w:cs="Times New Roman"/>
          <w:color w:val="auto"/>
          <w:sz w:val="32"/>
          <w:szCs w:val="32"/>
        </w:rPr>
        <w:t>8号）和相关标准规范要求做好</w:t>
      </w:r>
      <w:r>
        <w:rPr>
          <w:rFonts w:ascii="Times New Roman" w:hAnsi="Times New Roman" w:eastAsia="方正仿宋_GBK" w:cs="Times New Roman"/>
          <w:color w:val="auto"/>
          <w:sz w:val="32"/>
          <w:szCs w:val="32"/>
        </w:rPr>
        <w:t>工程设计、审图、施工、</w:t>
      </w:r>
      <w:r>
        <w:rPr>
          <w:rFonts w:hint="eastAsia" w:ascii="Times New Roman" w:hAnsi="Times New Roman" w:eastAsia="方正仿宋_GBK" w:cs="Times New Roman"/>
          <w:color w:val="auto"/>
          <w:sz w:val="32"/>
          <w:szCs w:val="32"/>
        </w:rPr>
        <w:t>监理、</w:t>
      </w:r>
      <w:r>
        <w:rPr>
          <w:rFonts w:ascii="Times New Roman" w:hAnsi="Times New Roman" w:eastAsia="方正仿宋_GBK" w:cs="Times New Roman"/>
          <w:color w:val="auto"/>
          <w:sz w:val="32"/>
          <w:szCs w:val="32"/>
        </w:rPr>
        <w:t>验收等环节</w:t>
      </w:r>
      <w:r>
        <w:rPr>
          <w:rFonts w:hint="eastAsia" w:ascii="Times New Roman" w:hAnsi="Times New Roman" w:eastAsia="方正仿宋_GBK" w:cs="Times New Roman"/>
          <w:color w:val="auto"/>
          <w:sz w:val="32"/>
          <w:szCs w:val="32"/>
        </w:rPr>
        <w:t>的监管工作，不断完善标准体系建设，提升装配式建筑工程质量</w:t>
      </w:r>
      <w:r>
        <w:rPr>
          <w:rFonts w:ascii="Times New Roman" w:hAnsi="Times New Roman" w:eastAsia="方正仿宋_GBK" w:cs="Times New Roman"/>
          <w:color w:val="auto"/>
          <w:sz w:val="32"/>
          <w:szCs w:val="32"/>
        </w:rPr>
        <w:t>。</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市建设局</w:t>
      </w:r>
      <w:r>
        <w:rPr>
          <w:rFonts w:ascii="Calibri" w:hAnsi="Calibri" w:eastAsia="方正仿宋_GBK" w:cs="Times New Roman"/>
          <w:snapToGrid w:val="0"/>
          <w:color w:val="auto"/>
          <w:kern w:val="0"/>
          <w:sz w:val="32"/>
          <w:szCs w:val="32"/>
        </w:rPr>
        <w:t>〕</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（六）</w:t>
      </w:r>
      <w:r>
        <w:rPr>
          <w:rFonts w:ascii="Times New Roman" w:hAnsi="Times New Roman" w:eastAsia="方正仿宋_GBK" w:cs="Times New Roman"/>
          <w:color w:val="auto"/>
          <w:sz w:val="32"/>
          <w:szCs w:val="32"/>
        </w:rPr>
        <w:t>加强预制部品部件的监管。市场监督管理部门依据相关法律法规和国家标准、行业标准对</w:t>
      </w:r>
      <w:r>
        <w:rPr>
          <w:rFonts w:hint="eastAsia" w:ascii="Times New Roman" w:hAnsi="Times New Roman" w:eastAsia="方正仿宋_GBK" w:cs="Times New Roman"/>
          <w:color w:val="auto"/>
          <w:sz w:val="32"/>
          <w:szCs w:val="32"/>
        </w:rPr>
        <w:t>我市</w:t>
      </w:r>
      <w:r>
        <w:rPr>
          <w:rFonts w:ascii="Times New Roman" w:hAnsi="Times New Roman" w:eastAsia="方正仿宋_GBK" w:cs="Times New Roman"/>
          <w:color w:val="auto"/>
          <w:sz w:val="32"/>
          <w:szCs w:val="32"/>
        </w:rPr>
        <w:t>建筑材料、建筑预制部品部件生产企业开展产品质量监督</w:t>
      </w:r>
      <w:r>
        <w:rPr>
          <w:rFonts w:hint="eastAsia" w:ascii="Times New Roman" w:hAnsi="Times New Roman" w:eastAsia="方正仿宋_GBK" w:cs="Times New Roman"/>
          <w:color w:val="auto"/>
          <w:sz w:val="32"/>
          <w:szCs w:val="32"/>
        </w:rPr>
        <w:t>检查，确保预制建材产品质量安全可靠</w:t>
      </w:r>
      <w:r>
        <w:rPr>
          <w:rFonts w:ascii="Times New Roman" w:hAnsi="Times New Roman" w:eastAsia="方正仿宋_GBK" w:cs="Times New Roman"/>
          <w:color w:val="auto"/>
          <w:sz w:val="32"/>
          <w:szCs w:val="32"/>
        </w:rPr>
        <w:t>。</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w:t>
      </w:r>
      <w:r>
        <w:rPr>
          <w:rFonts w:ascii="Times New Roman" w:hAnsi="Times New Roman" w:eastAsia="方正仿宋_GBK" w:cs="Times New Roman"/>
          <w:color w:val="auto"/>
          <w:sz w:val="32"/>
          <w:szCs w:val="32"/>
        </w:rPr>
        <w:t>政府</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市市场监督管理局</w:t>
      </w:r>
      <w:r>
        <w:rPr>
          <w:rFonts w:ascii="Calibri" w:hAnsi="Calibri" w:eastAsia="方正仿宋_GBK" w:cs="Times New Roman"/>
          <w:snapToGrid w:val="0"/>
          <w:color w:val="auto"/>
          <w:kern w:val="0"/>
          <w:sz w:val="32"/>
          <w:szCs w:val="32"/>
        </w:rPr>
        <w:t>〕</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（七）</w:t>
      </w:r>
      <w:r>
        <w:rPr>
          <w:rFonts w:ascii="Times New Roman" w:hAnsi="Times New Roman" w:eastAsia="方正仿宋_GBK" w:cs="Times New Roman"/>
          <w:color w:val="auto"/>
          <w:sz w:val="32"/>
          <w:szCs w:val="32"/>
        </w:rPr>
        <w:t>加快建材产业布局。依托行业龙头企业，合理布局混凝土预制构件生产能力，打造钢结构建筑研发、生产示范基地，整合钢构件、内外墙板、楼板、一体化装修材料等上下游部品部件生产。</w:t>
      </w:r>
      <w:r>
        <w:rPr>
          <w:rFonts w:ascii="Calibri" w:hAnsi="Calibri" w:eastAsia="方正仿宋_GBK" w:cs="Times New Roman"/>
          <w:snapToGrid w:val="0"/>
          <w:color w:val="auto"/>
          <w:kern w:val="0"/>
          <w:sz w:val="32"/>
          <w:szCs w:val="32"/>
        </w:rPr>
        <w:t>〔</w:t>
      </w:r>
      <w:r>
        <w:rPr>
          <w:rFonts w:hint="eastAsia" w:ascii="Times New Roman" w:hAnsi="Times New Roman" w:eastAsia="方正仿宋_GBK" w:cs="Times New Roman"/>
          <w:color w:val="auto"/>
          <w:sz w:val="32"/>
          <w:szCs w:val="32"/>
        </w:rPr>
        <w:t>责任单位：</w:t>
      </w:r>
      <w:r>
        <w:rPr>
          <w:rFonts w:ascii="Times New Roman" w:hAnsi="Times New Roman" w:eastAsia="方正仿宋_GBK" w:cs="Times New Roman"/>
          <w:color w:val="auto"/>
          <w:sz w:val="32"/>
          <w:szCs w:val="32"/>
        </w:rPr>
        <w:t>各区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县</w:t>
      </w:r>
      <w:r>
        <w:rPr>
          <w:rFonts w:hint="eastAsia" w:ascii="Times New Roman" w:hAnsi="Times New Roman" w:eastAsia="方正仿宋_GBK" w:cs="Times New Roman"/>
          <w:color w:val="auto"/>
          <w:sz w:val="32"/>
          <w:szCs w:val="32"/>
        </w:rPr>
        <w:t>）人民政府、</w:t>
      </w:r>
      <w:r>
        <w:rPr>
          <w:rFonts w:ascii="Times New Roman" w:hAnsi="Times New Roman" w:eastAsia="方正仿宋_GBK" w:cs="Times New Roman"/>
          <w:color w:val="auto"/>
          <w:sz w:val="32"/>
          <w:szCs w:val="32"/>
        </w:rPr>
        <w:t>市</w:t>
      </w:r>
      <w:r>
        <w:rPr>
          <w:rFonts w:hint="eastAsia" w:ascii="Times New Roman" w:hAnsi="Times New Roman" w:eastAsia="方正仿宋_GBK" w:cs="Times New Roman"/>
          <w:color w:val="auto"/>
          <w:sz w:val="32"/>
          <w:szCs w:val="32"/>
        </w:rPr>
        <w:t>工业和信息化</w:t>
      </w:r>
      <w:r>
        <w:rPr>
          <w:rFonts w:ascii="Times New Roman" w:hAnsi="Times New Roman" w:eastAsia="方正仿宋_GBK" w:cs="Times New Roman"/>
          <w:color w:val="auto"/>
          <w:sz w:val="32"/>
          <w:szCs w:val="32"/>
        </w:rPr>
        <w:t>局、市建设局</w:t>
      </w:r>
      <w:r>
        <w:rPr>
          <w:rFonts w:ascii="Calibri" w:hAnsi="Calibri" w:eastAsia="方正仿宋_GBK" w:cs="Times New Roman"/>
          <w:snapToGrid w:val="0"/>
          <w:color w:val="auto"/>
          <w:kern w:val="0"/>
          <w:sz w:val="32"/>
          <w:szCs w:val="32"/>
        </w:rPr>
        <w:t>〕</w:t>
      </w:r>
    </w:p>
    <w:p>
      <w:pPr>
        <w:spacing w:line="560" w:lineRule="exact"/>
        <w:ind w:firstLine="640" w:firstLineChars="200"/>
        <w:rPr>
          <w:rFonts w:ascii="Times New Roman" w:hAnsi="Times New Roman" w:eastAsia="方正黑体_GBK" w:cs="Times New Roman"/>
          <w:color w:val="auto"/>
          <w:sz w:val="32"/>
          <w:szCs w:val="32"/>
        </w:rPr>
      </w:pPr>
      <w:r>
        <w:rPr>
          <w:rFonts w:hint="eastAsia" w:ascii="Times New Roman" w:hAnsi="Times New Roman" w:eastAsia="方正黑体_GBK" w:cs="Times New Roman"/>
          <w:color w:val="auto"/>
          <w:sz w:val="32"/>
          <w:szCs w:val="32"/>
        </w:rPr>
        <w:t>四</w:t>
      </w:r>
      <w:r>
        <w:rPr>
          <w:rFonts w:ascii="Times New Roman" w:hAnsi="Times New Roman" w:eastAsia="方正黑体_GBK" w:cs="Times New Roman"/>
          <w:color w:val="auto"/>
          <w:sz w:val="32"/>
          <w:szCs w:val="32"/>
        </w:rPr>
        <w:t>、强化工程</w:t>
      </w:r>
      <w:r>
        <w:rPr>
          <w:rFonts w:hint="eastAsia" w:ascii="Times New Roman" w:hAnsi="Times New Roman" w:eastAsia="方正黑体_GBK" w:cs="Times New Roman"/>
          <w:color w:val="auto"/>
          <w:sz w:val="32"/>
          <w:szCs w:val="32"/>
        </w:rPr>
        <w:t>各方</w:t>
      </w:r>
      <w:r>
        <w:rPr>
          <w:rFonts w:ascii="Times New Roman" w:hAnsi="Times New Roman" w:eastAsia="方正黑体_GBK" w:cs="Times New Roman"/>
          <w:color w:val="auto"/>
          <w:sz w:val="32"/>
          <w:szCs w:val="32"/>
        </w:rPr>
        <w:t>主体责任</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一）建设单位应严格按照装配式建筑实施要求，组织开展设计、施工、监理和采购等工程建设活动。若施工图设计文件变更涉及预制装配率变化的，需送原审查机构重新审图。在工程竣工阶段，组织对装配式建筑的装配率进行核验，达不到标准要求的不得组织竣工验收。鼓励建设单位建造A级以上装配式建筑。</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（二）推行装配式建筑一体化集成设计，设计单位应按照《装配式混凝土建筑技术标准》（GB/T51231</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2016）</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《装配式钢结构建筑技术标准》（GB/T51232</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2016）</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《装配式混凝土建筑设计规程》（XJJ085</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2017）</w:t>
      </w:r>
      <w:r>
        <w:rPr>
          <w:rFonts w:hint="eastAsia" w:ascii="Times New Roman" w:hAnsi="Times New Roman" w:eastAsia="方正仿宋_GBK" w:cs="Times New Roman"/>
          <w:color w:val="auto"/>
          <w:sz w:val="32"/>
          <w:szCs w:val="32"/>
        </w:rPr>
        <w:t>和</w:t>
      </w:r>
      <w:r>
        <w:rPr>
          <w:rFonts w:ascii="Times New Roman" w:hAnsi="Times New Roman" w:eastAsia="方正仿宋_GBK" w:cs="Times New Roman"/>
          <w:color w:val="auto"/>
          <w:sz w:val="32"/>
          <w:szCs w:val="32"/>
        </w:rPr>
        <w:t>《装配式混凝土结构连接节点构造》（15G310）等标准、规范和图集进行设计，编制装配式建筑设计专篇</w:t>
      </w:r>
      <w:r>
        <w:rPr>
          <w:rFonts w:hint="eastAsia" w:ascii="Times New Roman" w:hAnsi="Times New Roman" w:eastAsia="方正仿宋_GBK" w:cs="Times New Roman"/>
          <w:color w:val="auto"/>
          <w:sz w:val="32"/>
          <w:szCs w:val="32"/>
        </w:rPr>
        <w:t>，明确建筑</w:t>
      </w:r>
      <w:r>
        <w:rPr>
          <w:rFonts w:ascii="Times New Roman" w:hAnsi="Times New Roman" w:eastAsia="方正仿宋_GBK" w:cs="Times New Roman"/>
          <w:color w:val="auto"/>
          <w:sz w:val="32"/>
          <w:szCs w:val="32"/>
        </w:rPr>
        <w:t>装配率、</w:t>
      </w:r>
      <w:r>
        <w:rPr>
          <w:rFonts w:hint="eastAsia" w:ascii="Times New Roman" w:hAnsi="Times New Roman" w:eastAsia="方正仿宋_GBK" w:cs="Times New Roman"/>
          <w:color w:val="auto"/>
          <w:sz w:val="32"/>
          <w:szCs w:val="32"/>
        </w:rPr>
        <w:t>级别、</w:t>
      </w:r>
      <w:r>
        <w:rPr>
          <w:rFonts w:ascii="Times New Roman" w:hAnsi="Times New Roman" w:eastAsia="方正仿宋_GBK" w:cs="Times New Roman"/>
          <w:color w:val="auto"/>
          <w:sz w:val="32"/>
          <w:szCs w:val="32"/>
        </w:rPr>
        <w:t>全装修</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预制构件</w:t>
      </w:r>
      <w:r>
        <w:rPr>
          <w:rFonts w:hint="eastAsia" w:ascii="Times New Roman" w:hAnsi="Times New Roman" w:eastAsia="方正仿宋_GBK" w:cs="Times New Roman"/>
          <w:color w:val="auto"/>
          <w:sz w:val="32"/>
          <w:szCs w:val="32"/>
        </w:rPr>
        <w:t>品种和规格、主要结构构件的连接方式、质量和安全的保障措施等，并做好现场服务工作</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装配式混凝土</w:t>
      </w:r>
      <w:r>
        <w:rPr>
          <w:rFonts w:ascii="Times New Roman" w:hAnsi="Times New Roman" w:eastAsia="方正仿宋_GBK" w:cs="Times New Roman"/>
          <w:color w:val="auto"/>
          <w:sz w:val="32"/>
          <w:szCs w:val="32"/>
        </w:rPr>
        <w:t>结构专业设计图纸应包括结构施工</w:t>
      </w:r>
      <w:r>
        <w:rPr>
          <w:rFonts w:hint="eastAsia" w:ascii="Times New Roman" w:hAnsi="Times New Roman" w:eastAsia="方正仿宋_GBK" w:cs="Times New Roman"/>
          <w:color w:val="auto"/>
          <w:sz w:val="32"/>
          <w:szCs w:val="32"/>
        </w:rPr>
        <w:t>图纸</w:t>
      </w:r>
      <w:r>
        <w:rPr>
          <w:rFonts w:ascii="Times New Roman" w:hAnsi="Times New Roman" w:eastAsia="方正仿宋_GBK" w:cs="Times New Roman"/>
          <w:color w:val="auto"/>
          <w:sz w:val="32"/>
          <w:szCs w:val="32"/>
        </w:rPr>
        <w:t>和</w:t>
      </w:r>
      <w:r>
        <w:rPr>
          <w:rFonts w:hint="eastAsia" w:ascii="Times New Roman" w:hAnsi="Times New Roman" w:eastAsia="方正仿宋_GBK" w:cs="Times New Roman"/>
          <w:color w:val="auto"/>
          <w:sz w:val="32"/>
          <w:szCs w:val="32"/>
        </w:rPr>
        <w:t>混凝土</w:t>
      </w:r>
      <w:r>
        <w:rPr>
          <w:rFonts w:ascii="Times New Roman" w:hAnsi="Times New Roman" w:eastAsia="方正仿宋_GBK" w:cs="Times New Roman"/>
          <w:color w:val="auto"/>
          <w:sz w:val="32"/>
          <w:szCs w:val="32"/>
        </w:rPr>
        <w:t>预制构件</w:t>
      </w:r>
      <w:r>
        <w:rPr>
          <w:rFonts w:hint="eastAsia" w:ascii="Times New Roman" w:hAnsi="Times New Roman" w:eastAsia="方正仿宋_GBK" w:cs="Times New Roman"/>
          <w:color w:val="auto"/>
          <w:sz w:val="32"/>
          <w:szCs w:val="32"/>
        </w:rPr>
        <w:t>深化设计图纸</w:t>
      </w:r>
      <w:r>
        <w:rPr>
          <w:rFonts w:ascii="Times New Roman" w:hAnsi="Times New Roman" w:eastAsia="方正仿宋_GBK" w:cs="Times New Roman"/>
          <w:color w:val="auto"/>
          <w:sz w:val="32"/>
          <w:szCs w:val="32"/>
        </w:rPr>
        <w:t>。</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三）施工图纸审查机构应根据《装配式建筑评价标准》（XJJ116—2019）和附件相关指标，复核装配率、全装修等内容是否满足相关要求，并在施工图设计文件审查合格书上注明相关指标，对达不到装配式建筑指标要求的项目，施工图纸审查机构不得出具施工图纸设计文件审查合格书。</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（四）预制构件和部品部件生产企业应严格按照产品质量标准和设计要求组织生产，并建立健全预制构件</w:t>
      </w:r>
      <w:r>
        <w:rPr>
          <w:rFonts w:hint="eastAsia" w:ascii="Times New Roman" w:hAnsi="Times New Roman" w:eastAsia="方正仿宋_GBK" w:cs="Times New Roman"/>
          <w:color w:val="auto"/>
          <w:sz w:val="32"/>
          <w:szCs w:val="32"/>
        </w:rPr>
        <w:t>和部品部件</w:t>
      </w:r>
      <w:r>
        <w:rPr>
          <w:rFonts w:ascii="Times New Roman" w:hAnsi="Times New Roman" w:eastAsia="方正仿宋_GBK" w:cs="Times New Roman"/>
          <w:color w:val="auto"/>
          <w:sz w:val="32"/>
          <w:szCs w:val="32"/>
        </w:rPr>
        <w:t>质量追溯制度。</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（五）施工单位应严格按照</w:t>
      </w:r>
      <w:r>
        <w:rPr>
          <w:rFonts w:hint="eastAsia" w:ascii="Times New Roman" w:hAnsi="Times New Roman" w:eastAsia="方正仿宋_GBK" w:cs="Times New Roman"/>
          <w:color w:val="auto"/>
          <w:sz w:val="32"/>
          <w:szCs w:val="32"/>
        </w:rPr>
        <w:t>国家、自治区相关标准、规范、规程及</w:t>
      </w:r>
      <w:r>
        <w:rPr>
          <w:rFonts w:ascii="Times New Roman" w:hAnsi="Times New Roman" w:eastAsia="方正仿宋_GBK" w:cs="Times New Roman"/>
          <w:color w:val="auto"/>
          <w:sz w:val="32"/>
          <w:szCs w:val="32"/>
        </w:rPr>
        <w:t>施工图设计文件和施工方案</w:t>
      </w:r>
      <w:r>
        <w:rPr>
          <w:rFonts w:hint="eastAsia" w:ascii="Times New Roman" w:hAnsi="Times New Roman" w:eastAsia="方正仿宋_GBK" w:cs="Times New Roman"/>
          <w:color w:val="auto"/>
          <w:sz w:val="32"/>
          <w:szCs w:val="32"/>
        </w:rPr>
        <w:t>组织</w:t>
      </w:r>
      <w:r>
        <w:rPr>
          <w:rFonts w:ascii="Times New Roman" w:hAnsi="Times New Roman" w:eastAsia="方正仿宋_GBK" w:cs="Times New Roman"/>
          <w:color w:val="auto"/>
          <w:sz w:val="32"/>
          <w:szCs w:val="32"/>
        </w:rPr>
        <w:t>施工，采用钢筋灌浆套筒连接的应当编制套筒灌浆连接专项施工方案。</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（六）监理单位应针对装配式建筑的特点编制监理规划和专项监理细则，</w:t>
      </w:r>
      <w:r>
        <w:rPr>
          <w:rFonts w:hint="eastAsia" w:ascii="Times New Roman" w:hAnsi="Times New Roman" w:eastAsia="方正仿宋_GBK" w:cs="Times New Roman"/>
          <w:color w:val="auto"/>
          <w:sz w:val="32"/>
          <w:szCs w:val="32"/>
        </w:rPr>
        <w:t>严把</w:t>
      </w:r>
      <w:r>
        <w:rPr>
          <w:rFonts w:ascii="Times New Roman" w:hAnsi="Times New Roman" w:eastAsia="方正仿宋_GBK" w:cs="Times New Roman"/>
          <w:color w:val="auto"/>
          <w:sz w:val="32"/>
          <w:szCs w:val="32"/>
        </w:rPr>
        <w:t>施工质量，提升现场管理水平。</w:t>
      </w:r>
    </w:p>
    <w:p>
      <w:pPr>
        <w:spacing w:line="560" w:lineRule="exact"/>
        <w:ind w:firstLine="640" w:firstLineChars="200"/>
        <w:rPr>
          <w:rFonts w:ascii="Times New Roman" w:hAnsi="Times New Roman" w:eastAsia="方正黑体_GBK" w:cs="Times New Roman"/>
          <w:color w:val="auto"/>
          <w:sz w:val="32"/>
          <w:szCs w:val="32"/>
        </w:rPr>
      </w:pPr>
      <w:r>
        <w:rPr>
          <w:rFonts w:hint="eastAsia" w:ascii="Times New Roman" w:hAnsi="Times New Roman" w:eastAsia="方正黑体_GBK" w:cs="Times New Roman"/>
          <w:color w:val="auto"/>
          <w:sz w:val="32"/>
          <w:szCs w:val="32"/>
        </w:rPr>
        <w:t>五</w:t>
      </w:r>
      <w:r>
        <w:rPr>
          <w:rFonts w:ascii="Times New Roman" w:hAnsi="Times New Roman" w:eastAsia="方正黑体_GBK" w:cs="Times New Roman"/>
          <w:color w:val="auto"/>
          <w:sz w:val="32"/>
          <w:szCs w:val="32"/>
        </w:rPr>
        <w:t>、完善组织保障措施</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一</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开展属地管理。各区（县）人民政府要加强辖区内推进装配式建筑工作的组织领导，建立相应的工作机制，明确目标任务，加强督促检查，确保工作落到实处。</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二</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落实</w:t>
      </w:r>
      <w:r>
        <w:rPr>
          <w:rFonts w:ascii="Times New Roman" w:hAnsi="Times New Roman" w:eastAsia="方正仿宋_GBK" w:cs="Times New Roman"/>
          <w:color w:val="auto"/>
          <w:sz w:val="32"/>
          <w:szCs w:val="32"/>
        </w:rPr>
        <w:t>优惠政策。严格执行《关于加快推进自治区装配式建筑发展的通知》（新政办明电</w:t>
      </w:r>
      <w:r>
        <w:rPr>
          <w:rFonts w:hint="eastAsia" w:ascii="方正仿宋_GBK" w:hAnsi="方正仿宋_GBK" w:eastAsia="方正仿宋_GBK" w:cs="方正仿宋_GBK"/>
          <w:color w:val="auto"/>
          <w:sz w:val="32"/>
          <w:szCs w:val="32"/>
        </w:rPr>
        <w:t>﹝</w:t>
      </w:r>
      <w:r>
        <w:rPr>
          <w:rFonts w:ascii="Times New Roman" w:hAnsi="Times New Roman" w:eastAsia="方正仿宋_GBK" w:cs="Times New Roman"/>
          <w:color w:val="auto"/>
          <w:sz w:val="32"/>
          <w:szCs w:val="32"/>
        </w:rPr>
        <w:t>2019</w:t>
      </w:r>
      <w:r>
        <w:rPr>
          <w:rFonts w:hint="eastAsia" w:ascii="方正仿宋_GBK" w:hAnsi="方正仿宋_GBK" w:eastAsia="方正仿宋_GBK" w:cs="方正仿宋_GBK"/>
          <w:color w:val="auto"/>
          <w:sz w:val="32"/>
          <w:szCs w:val="32"/>
        </w:rPr>
        <w:t>﹞</w:t>
      </w:r>
      <w:r>
        <w:rPr>
          <w:rFonts w:ascii="Times New Roman" w:hAnsi="Times New Roman" w:eastAsia="方正仿宋_GBK" w:cs="Times New Roman"/>
          <w:color w:val="auto"/>
          <w:sz w:val="32"/>
          <w:szCs w:val="32"/>
        </w:rPr>
        <w:t>243号）中</w:t>
      </w:r>
      <w:r>
        <w:rPr>
          <w:rFonts w:hint="eastAsia" w:ascii="Times New Roman" w:hAnsi="Times New Roman" w:eastAsia="方正仿宋_GBK" w:cs="Times New Roman"/>
          <w:color w:val="auto"/>
          <w:sz w:val="32"/>
          <w:szCs w:val="32"/>
        </w:rPr>
        <w:t>对装配式建筑在</w:t>
      </w:r>
      <w:r>
        <w:rPr>
          <w:rFonts w:ascii="Times New Roman" w:hAnsi="Times New Roman" w:eastAsia="方正仿宋_GBK" w:cs="Times New Roman"/>
          <w:color w:val="auto"/>
          <w:sz w:val="32"/>
          <w:szCs w:val="32"/>
        </w:rPr>
        <w:t>税费</w:t>
      </w:r>
      <w:r>
        <w:rPr>
          <w:rFonts w:hint="eastAsia" w:ascii="Times New Roman" w:hAnsi="Times New Roman" w:eastAsia="方正仿宋_GBK" w:cs="Times New Roman"/>
          <w:color w:val="auto"/>
          <w:sz w:val="32"/>
          <w:szCs w:val="32"/>
        </w:rPr>
        <w:t>优惠</w:t>
      </w:r>
      <w:r>
        <w:rPr>
          <w:rFonts w:ascii="Times New Roman" w:hAnsi="Times New Roman" w:eastAsia="方正仿宋_GBK" w:cs="Times New Roman"/>
          <w:color w:val="auto"/>
          <w:sz w:val="32"/>
          <w:szCs w:val="32"/>
        </w:rPr>
        <w:t>、金融支持、房产预售、住房公积金、信用评级</w:t>
      </w:r>
      <w:r>
        <w:rPr>
          <w:rFonts w:hint="eastAsia" w:ascii="Times New Roman" w:hAnsi="Times New Roman" w:eastAsia="方正仿宋_GBK" w:cs="Times New Roman"/>
          <w:color w:val="auto"/>
          <w:sz w:val="32"/>
          <w:szCs w:val="32"/>
        </w:rPr>
        <w:t>和</w:t>
      </w:r>
      <w:r>
        <w:rPr>
          <w:rFonts w:ascii="Times New Roman" w:hAnsi="Times New Roman" w:eastAsia="方正仿宋_GBK" w:cs="Times New Roman"/>
          <w:color w:val="auto"/>
          <w:sz w:val="32"/>
          <w:szCs w:val="32"/>
        </w:rPr>
        <w:t>审批绿色通道等</w:t>
      </w:r>
      <w:r>
        <w:rPr>
          <w:rFonts w:hint="eastAsia" w:ascii="Times New Roman" w:hAnsi="Times New Roman" w:eastAsia="方正仿宋_GBK" w:cs="Times New Roman"/>
          <w:color w:val="auto"/>
          <w:sz w:val="32"/>
          <w:szCs w:val="32"/>
        </w:rPr>
        <w:t>方面的激励</w:t>
      </w:r>
      <w:r>
        <w:rPr>
          <w:rFonts w:ascii="Times New Roman" w:hAnsi="Times New Roman" w:eastAsia="方正仿宋_GBK" w:cs="Times New Roman"/>
          <w:color w:val="auto"/>
          <w:sz w:val="32"/>
          <w:szCs w:val="32"/>
        </w:rPr>
        <w:t>政策。</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（三）加强技术服务。充分发挥市绿色装配式建筑专家库的评估、论证作用，协助企业解决设计、生产、施工、运营维护等方面的疑难问题。鼓励社会第三方机构开展装配式建筑等级评价和相关咨询工作。</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（四）加大宣传培训力度。各区（县）人民政府和各相关单位应加强装配式建筑的政策解读与指导工作，组织开展多角度、多层次的装配式建筑宣传培训和交流活动，提升行业从业人员能力素质和工作水平。</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五）做好督促检查工作。充分发挥装配式建筑工作联席会议制度作用，组织召开联席会议，建立季度信息报送机制，开展装配式建筑检查工作，通报在立项、土地、规划、设计、施工等环节工作落实情况，推进我市装配式建筑健康发展。</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附件：装配式建筑装配率计算说明及评价等级划分</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p>
    <w:p>
      <w:pPr>
        <w:adjustRightInd w:val="0"/>
        <w:snapToGrid w:val="0"/>
        <w:spacing w:line="560" w:lineRule="exact"/>
        <w:ind w:firstLine="480" w:firstLineChars="150"/>
        <w:rPr>
          <w:rFonts w:ascii="Times New Roman" w:hAnsi="Times New Roman" w:eastAsia="方正仿宋_GBK" w:cs="Times New Roman"/>
          <w:color w:val="auto"/>
          <w:sz w:val="32"/>
          <w:szCs w:val="32"/>
        </w:rPr>
      </w:pPr>
    </w:p>
    <w:p>
      <w:pPr>
        <w:adjustRightInd w:val="0"/>
        <w:snapToGrid w:val="0"/>
        <w:spacing w:line="560" w:lineRule="exact"/>
        <w:ind w:firstLine="480" w:firstLineChars="15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 xml:space="preserve">                   </w:t>
      </w:r>
    </w:p>
    <w:p>
      <w:pPr>
        <w:adjustRightInd w:val="0"/>
        <w:snapToGrid w:val="0"/>
        <w:spacing w:line="560" w:lineRule="exact"/>
        <w:ind w:firstLine="480" w:firstLineChars="150"/>
        <w:rPr>
          <w:rFonts w:ascii="Times New Roman" w:hAnsi="Times New Roman" w:eastAsia="方正仿宋_GBK" w:cs="Times New Roman"/>
          <w:color w:val="auto"/>
          <w:sz w:val="32"/>
          <w:szCs w:val="32"/>
        </w:rPr>
      </w:pPr>
    </w:p>
    <w:p>
      <w:pPr>
        <w:spacing w:line="480" w:lineRule="exact"/>
        <w:rPr>
          <w:rFonts w:ascii="方正黑体_GBK" w:hAnsi="方正黑体_GBK" w:eastAsia="方正黑体_GBK" w:cs="方正黑体_GBK"/>
          <w:color w:val="auto"/>
          <w:sz w:val="32"/>
          <w:szCs w:val="32"/>
        </w:rPr>
      </w:pPr>
    </w:p>
    <w:p>
      <w:pPr>
        <w:spacing w:line="480" w:lineRule="exact"/>
        <w:rPr>
          <w:rFonts w:ascii="方正黑体_GBK" w:hAnsi="方正黑体_GBK" w:eastAsia="方正黑体_GBK" w:cs="方正黑体_GBK"/>
          <w:color w:val="auto"/>
          <w:sz w:val="32"/>
          <w:szCs w:val="32"/>
        </w:rPr>
      </w:pPr>
    </w:p>
    <w:p>
      <w:pPr>
        <w:spacing w:line="480" w:lineRule="exact"/>
        <w:rPr>
          <w:rFonts w:ascii="方正黑体_GBK" w:hAnsi="方正黑体_GBK" w:eastAsia="方正黑体_GBK" w:cs="方正黑体_GBK"/>
          <w:color w:val="auto"/>
          <w:sz w:val="32"/>
          <w:szCs w:val="32"/>
        </w:rPr>
      </w:pPr>
    </w:p>
    <w:p>
      <w:pPr>
        <w:spacing w:line="480" w:lineRule="exact"/>
        <w:rPr>
          <w:rFonts w:ascii="方正黑体_GBK" w:hAnsi="方正黑体_GBK" w:eastAsia="方正黑体_GBK" w:cs="方正黑体_GBK"/>
          <w:color w:val="auto"/>
          <w:sz w:val="32"/>
          <w:szCs w:val="32"/>
        </w:rPr>
      </w:pPr>
    </w:p>
    <w:p>
      <w:pPr>
        <w:spacing w:line="480" w:lineRule="exact"/>
        <w:rPr>
          <w:rFonts w:ascii="Times New Roman" w:hAnsi="Times New Roman" w:eastAsia="方正仿宋_GBK" w:cs="Times New Roman"/>
          <w:color w:val="auto"/>
          <w:sz w:val="32"/>
          <w:szCs w:val="32"/>
        </w:rPr>
      </w:pPr>
      <w:r>
        <w:rPr>
          <w:rFonts w:hint="eastAsia" w:ascii="方正黑体_GBK" w:hAnsi="方正黑体_GBK" w:eastAsia="方正黑体_GBK" w:cs="方正黑体_GBK"/>
          <w:color w:val="auto"/>
          <w:sz w:val="32"/>
          <w:szCs w:val="32"/>
        </w:rPr>
        <w:t>附件</w:t>
      </w:r>
      <w:bookmarkStart w:id="0" w:name="_Toc23334571"/>
      <w:bookmarkStart w:id="1" w:name="_Toc23334468"/>
    </w:p>
    <w:p>
      <w:pPr>
        <w:spacing w:before="240" w:after="60" w:line="320" w:lineRule="exact"/>
        <w:jc w:val="center"/>
        <w:outlineLvl w:val="0"/>
        <w:rPr>
          <w:rFonts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36"/>
          <w:szCs w:val="36"/>
        </w:rPr>
        <w:t>装配式建筑装配率计算</w:t>
      </w:r>
      <w:bookmarkEnd w:id="0"/>
      <w:bookmarkEnd w:id="1"/>
      <w:r>
        <w:rPr>
          <w:rFonts w:hint="eastAsia" w:ascii="方正小标宋_GBK" w:hAnsi="方正小标宋_GBK" w:eastAsia="方正小标宋_GBK" w:cs="方正小标宋_GBK"/>
          <w:color w:val="auto"/>
          <w:sz w:val="36"/>
          <w:szCs w:val="36"/>
        </w:rPr>
        <w:t>说明及评价等级划分</w:t>
      </w:r>
    </w:p>
    <w:p>
      <w:pPr>
        <w:spacing w:line="300" w:lineRule="exact"/>
        <w:rPr>
          <w:rFonts w:ascii="Times New Roman" w:hAnsi="Times New Roman" w:eastAsia="宋体" w:cs="Times New Roman"/>
          <w:color w:val="auto"/>
          <w:szCs w:val="21"/>
        </w:rPr>
      </w:pPr>
    </w:p>
    <w:p>
      <w:pPr>
        <w:spacing w:line="400" w:lineRule="exact"/>
        <w:ind w:firstLine="640" w:firstLineChars="200"/>
        <w:rPr>
          <w:rFonts w:ascii="方正仿宋_GBK" w:hAnsi="Times New Roman" w:eastAsia="方正仿宋_GBK" w:cs="Times New Roman"/>
          <w:color w:val="auto"/>
          <w:sz w:val="32"/>
          <w:szCs w:val="32"/>
        </w:rPr>
      </w:pPr>
      <w:r>
        <w:rPr>
          <w:rFonts w:hint="eastAsia" w:ascii="方正仿宋_GBK" w:hAnsi="Times New Roman" w:eastAsia="方正仿宋_GBK" w:cs="Times New Roman"/>
          <w:color w:val="auto"/>
          <w:sz w:val="32"/>
          <w:szCs w:val="32"/>
        </w:rPr>
        <w:t>一、装配式建筑的装配率应根据《装配式建筑评分表》中评价项分值按下式计算：</w:t>
      </w:r>
    </w:p>
    <w:p>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 xml:space="preserve">     </w:t>
      </w:r>
      <m:oMath>
        <m:r>
          <m:rPr>
            <m:sty m:val="p"/>
          </m:rPr>
          <w:rPr>
            <w:rFonts w:ascii="Cambria Math" w:hAnsi="Cambria Math" w:eastAsia="宋体" w:cs="Times New Roman"/>
            <w:color w:val="auto"/>
            <w:szCs w:val="21"/>
          </w:rPr>
          <m:t>P=</m:t>
        </m:r>
        <m:f>
          <m:fPr>
            <m:ctrlPr>
              <w:rPr>
                <w:rFonts w:ascii="Cambria Math" w:hAnsi="Cambria Math" w:eastAsia="宋体" w:cs="Times New Roman"/>
                <w:color w:val="auto"/>
                <w:szCs w:val="21"/>
              </w:rPr>
            </m:ctrlPr>
          </m:fPr>
          <m:num>
            <m:sSub>
              <m:sSubPr>
                <m:ctrlPr>
                  <w:rPr>
                    <w:rFonts w:ascii="Cambria Math" w:hAnsi="Cambria Math" w:eastAsia="宋体" w:cs="Times New Roman"/>
                    <w:color w:val="auto"/>
                    <w:szCs w:val="21"/>
                  </w:rPr>
                </m:ctrlPr>
              </m:sSubPr>
              <m:e>
                <m:r>
                  <m:rPr>
                    <m:sty m:val="p"/>
                  </m:rPr>
                  <w:rPr>
                    <w:rFonts w:ascii="Cambria Math" w:hAnsi="Cambria Math" w:eastAsia="宋体" w:cs="Times New Roman"/>
                    <w:color w:val="auto"/>
                    <w:szCs w:val="21"/>
                  </w:rPr>
                  <m:t>Q</m:t>
                </m:r>
                <m:ctrlPr>
                  <w:rPr>
                    <w:rFonts w:ascii="Cambria Math" w:hAnsi="Cambria Math" w:eastAsia="宋体" w:cs="Times New Roman"/>
                    <w:color w:val="auto"/>
                    <w:szCs w:val="21"/>
                  </w:rPr>
                </m:ctrlPr>
              </m:e>
              <m:sub>
                <m:r>
                  <m:rPr>
                    <m:sty m:val="p"/>
                  </m:rPr>
                  <w:rPr>
                    <w:rFonts w:ascii="Cambria Math" w:hAnsi="Cambria Math" w:eastAsia="宋体" w:cs="Times New Roman"/>
                    <w:color w:val="auto"/>
                    <w:szCs w:val="21"/>
                  </w:rPr>
                  <m:t>1</m:t>
                </m:r>
                <m:ctrlPr>
                  <w:rPr>
                    <w:rFonts w:ascii="Cambria Math" w:hAnsi="Cambria Math" w:eastAsia="宋体" w:cs="Times New Roman"/>
                    <w:color w:val="auto"/>
                    <w:szCs w:val="21"/>
                  </w:rPr>
                </m:ctrlPr>
              </m:sub>
            </m:sSub>
            <m:r>
              <m:rPr>
                <m:sty m:val="p"/>
              </m:rPr>
              <w:rPr>
                <w:rFonts w:ascii="Cambria Math" w:hAnsi="Cambria Math" w:eastAsia="宋体" w:cs="Times New Roman"/>
                <w:color w:val="auto"/>
                <w:szCs w:val="21"/>
              </w:rPr>
              <m:t>+</m:t>
            </m:r>
            <m:sSub>
              <m:sSubPr>
                <m:ctrlPr>
                  <w:rPr>
                    <w:rFonts w:ascii="Cambria Math" w:hAnsi="Cambria Math" w:eastAsia="宋体" w:cs="Times New Roman"/>
                    <w:color w:val="auto"/>
                    <w:szCs w:val="21"/>
                  </w:rPr>
                </m:ctrlPr>
              </m:sSubPr>
              <m:e>
                <m:r>
                  <m:rPr>
                    <m:sty m:val="p"/>
                  </m:rPr>
                  <w:rPr>
                    <w:rFonts w:ascii="Cambria Math" w:hAnsi="Cambria Math" w:eastAsia="宋体" w:cs="Times New Roman"/>
                    <w:color w:val="auto"/>
                    <w:szCs w:val="21"/>
                  </w:rPr>
                  <m:t>Q</m:t>
                </m:r>
                <m:ctrlPr>
                  <w:rPr>
                    <w:rFonts w:ascii="Cambria Math" w:hAnsi="Cambria Math" w:eastAsia="宋体" w:cs="Times New Roman"/>
                    <w:color w:val="auto"/>
                    <w:szCs w:val="21"/>
                  </w:rPr>
                </m:ctrlPr>
              </m:e>
              <m:sub>
                <m:r>
                  <m:rPr>
                    <m:sty m:val="p"/>
                  </m:rPr>
                  <w:rPr>
                    <w:rFonts w:ascii="Cambria Math" w:hAnsi="Cambria Math" w:eastAsia="宋体" w:cs="Times New Roman"/>
                    <w:color w:val="auto"/>
                    <w:szCs w:val="21"/>
                  </w:rPr>
                  <m:t>2</m:t>
                </m:r>
                <m:ctrlPr>
                  <w:rPr>
                    <w:rFonts w:ascii="Cambria Math" w:hAnsi="Cambria Math" w:eastAsia="宋体" w:cs="Times New Roman"/>
                    <w:color w:val="auto"/>
                    <w:szCs w:val="21"/>
                  </w:rPr>
                </m:ctrlPr>
              </m:sub>
            </m:sSub>
            <m:r>
              <m:rPr>
                <m:sty m:val="p"/>
              </m:rPr>
              <w:rPr>
                <w:rFonts w:ascii="Cambria Math" w:hAnsi="Cambria Math" w:eastAsia="宋体" w:cs="Times New Roman"/>
                <w:color w:val="auto"/>
                <w:szCs w:val="21"/>
              </w:rPr>
              <m:t>+</m:t>
            </m:r>
            <m:sSub>
              <m:sSubPr>
                <m:ctrlPr>
                  <w:rPr>
                    <w:rFonts w:ascii="Cambria Math" w:hAnsi="Cambria Math" w:eastAsia="宋体" w:cs="Times New Roman"/>
                    <w:color w:val="auto"/>
                    <w:szCs w:val="21"/>
                  </w:rPr>
                </m:ctrlPr>
              </m:sSubPr>
              <m:e>
                <m:r>
                  <m:rPr>
                    <m:sty m:val="p"/>
                  </m:rPr>
                  <w:rPr>
                    <w:rFonts w:ascii="Cambria Math" w:hAnsi="Cambria Math" w:eastAsia="宋体" w:cs="Times New Roman"/>
                    <w:color w:val="auto"/>
                    <w:szCs w:val="21"/>
                  </w:rPr>
                  <m:t>Q</m:t>
                </m:r>
                <m:ctrlPr>
                  <w:rPr>
                    <w:rFonts w:ascii="Cambria Math" w:hAnsi="Cambria Math" w:eastAsia="宋体" w:cs="Times New Roman"/>
                    <w:color w:val="auto"/>
                    <w:szCs w:val="21"/>
                  </w:rPr>
                </m:ctrlPr>
              </m:e>
              <m:sub>
                <m:r>
                  <m:rPr>
                    <m:sty m:val="p"/>
                  </m:rPr>
                  <w:rPr>
                    <w:rFonts w:ascii="Cambria Math" w:hAnsi="Cambria Math" w:eastAsia="宋体" w:cs="Times New Roman"/>
                    <w:color w:val="auto"/>
                    <w:szCs w:val="21"/>
                  </w:rPr>
                  <m:t>3</m:t>
                </m:r>
                <m:ctrlPr>
                  <w:rPr>
                    <w:rFonts w:ascii="Cambria Math" w:hAnsi="Cambria Math" w:eastAsia="宋体" w:cs="Times New Roman"/>
                    <w:color w:val="auto"/>
                    <w:szCs w:val="21"/>
                  </w:rPr>
                </m:ctrlPr>
              </m:sub>
            </m:sSub>
            <m:r>
              <m:rPr>
                <m:sty m:val="p"/>
              </m:rPr>
              <w:rPr>
                <w:rFonts w:ascii="Cambria Math" w:hAnsi="Cambria Math" w:eastAsia="宋体" w:cs="Times New Roman"/>
                <w:color w:val="auto"/>
                <w:szCs w:val="21"/>
              </w:rPr>
              <m:t xml:space="preserve">    </m:t>
            </m:r>
            <m:ctrlPr>
              <w:rPr>
                <w:rFonts w:ascii="Cambria Math" w:hAnsi="Cambria Math" w:eastAsia="宋体" w:cs="Times New Roman"/>
                <w:color w:val="auto"/>
                <w:szCs w:val="21"/>
              </w:rPr>
            </m:ctrlPr>
          </m:num>
          <m:den>
            <m:r>
              <m:rPr>
                <m:sty m:val="p"/>
              </m:rPr>
              <w:rPr>
                <w:rFonts w:ascii="Cambria Math" w:hAnsi="Cambria Math" w:eastAsia="宋体" w:cs="Times New Roman"/>
                <w:color w:val="auto"/>
                <w:szCs w:val="21"/>
              </w:rPr>
              <m:t>100−</m:t>
            </m:r>
            <m:sSub>
              <m:sSubPr>
                <m:ctrlPr>
                  <w:rPr>
                    <w:rFonts w:ascii="Cambria Math" w:hAnsi="Cambria Math" w:eastAsia="宋体" w:cs="Times New Roman"/>
                    <w:color w:val="auto"/>
                    <w:szCs w:val="21"/>
                  </w:rPr>
                </m:ctrlPr>
              </m:sSubPr>
              <m:e>
                <m:r>
                  <m:rPr>
                    <m:sty m:val="p"/>
                  </m:rPr>
                  <w:rPr>
                    <w:rFonts w:ascii="Cambria Math" w:hAnsi="Cambria Math" w:eastAsia="宋体" w:cs="Times New Roman"/>
                    <w:color w:val="auto"/>
                    <w:szCs w:val="21"/>
                  </w:rPr>
                  <m:t>Q</m:t>
                </m:r>
                <m:ctrlPr>
                  <w:rPr>
                    <w:rFonts w:ascii="Cambria Math" w:hAnsi="Cambria Math" w:eastAsia="宋体" w:cs="Times New Roman"/>
                    <w:color w:val="auto"/>
                    <w:szCs w:val="21"/>
                  </w:rPr>
                </m:ctrlPr>
              </m:e>
              <m:sub>
                <m:r>
                  <m:rPr>
                    <m:sty m:val="p"/>
                  </m:rPr>
                  <w:rPr>
                    <w:rFonts w:ascii="Cambria Math" w:hAnsi="Cambria Math" w:eastAsia="宋体" w:cs="Times New Roman"/>
                    <w:color w:val="auto"/>
                    <w:szCs w:val="21"/>
                  </w:rPr>
                  <m:t>4</m:t>
                </m:r>
                <m:ctrlPr>
                  <w:rPr>
                    <w:rFonts w:ascii="Cambria Math" w:hAnsi="Cambria Math" w:eastAsia="宋体" w:cs="Times New Roman"/>
                    <w:color w:val="auto"/>
                    <w:szCs w:val="21"/>
                  </w:rPr>
                </m:ctrlPr>
              </m:sub>
            </m:sSub>
            <m:ctrlPr>
              <w:rPr>
                <w:rFonts w:ascii="Cambria Math" w:hAnsi="Cambria Math" w:eastAsia="宋体" w:cs="Times New Roman"/>
                <w:color w:val="auto"/>
                <w:szCs w:val="21"/>
              </w:rPr>
            </m:ctrlPr>
          </m:den>
        </m:f>
        <m:r>
          <m:rPr>
            <m:sty m:val="p"/>
          </m:rPr>
          <w:rPr>
            <w:rFonts w:ascii="Cambria Math" w:hAnsi="Cambria Math" w:eastAsia="宋体" w:cs="Times New Roman"/>
            <w:color w:val="auto"/>
            <w:szCs w:val="21"/>
          </w:rPr>
          <m:t>×100%+</m:t>
        </m:r>
        <m:f>
          <m:fPr>
            <m:ctrlPr>
              <w:rPr>
                <w:rFonts w:ascii="Cambria Math" w:hAnsi="Cambria Math" w:eastAsia="宋体" w:cs="Times New Roman"/>
                <w:color w:val="auto"/>
                <w:szCs w:val="21"/>
              </w:rPr>
            </m:ctrlPr>
          </m:fPr>
          <m:num>
            <m:sSub>
              <m:sSubPr>
                <m:ctrlPr>
                  <w:rPr>
                    <w:rFonts w:ascii="Cambria Math" w:hAnsi="Cambria Math" w:eastAsia="宋体" w:cs="Times New Roman"/>
                    <w:color w:val="auto"/>
                    <w:szCs w:val="21"/>
                  </w:rPr>
                </m:ctrlPr>
              </m:sSubPr>
              <m:e>
                <m:r>
                  <m:rPr>
                    <m:sty m:val="p"/>
                  </m:rPr>
                  <w:rPr>
                    <w:rFonts w:ascii="Cambria Math" w:hAnsi="Cambria Math" w:eastAsia="宋体" w:cs="Times New Roman"/>
                    <w:color w:val="auto"/>
                    <w:szCs w:val="21"/>
                  </w:rPr>
                  <m:t>Q</m:t>
                </m:r>
                <m:ctrlPr>
                  <w:rPr>
                    <w:rFonts w:ascii="Cambria Math" w:hAnsi="Cambria Math" w:eastAsia="宋体" w:cs="Times New Roman"/>
                    <w:color w:val="auto"/>
                    <w:szCs w:val="21"/>
                  </w:rPr>
                </m:ctrlPr>
              </m:e>
              <m:sub>
                <m:r>
                  <m:rPr>
                    <m:sty m:val="p"/>
                  </m:rPr>
                  <w:rPr>
                    <w:rFonts w:ascii="Cambria Math" w:hAnsi="Cambria Math" w:eastAsia="宋体" w:cs="Times New Roman"/>
                    <w:color w:val="auto"/>
                    <w:szCs w:val="21"/>
                  </w:rPr>
                  <m:t>5</m:t>
                </m:r>
                <m:ctrlPr>
                  <w:rPr>
                    <w:rFonts w:ascii="Cambria Math" w:hAnsi="Cambria Math" w:eastAsia="宋体" w:cs="Times New Roman"/>
                    <w:color w:val="auto"/>
                    <w:szCs w:val="21"/>
                  </w:rPr>
                </m:ctrlPr>
              </m:sub>
            </m:sSub>
            <m:r>
              <m:rPr>
                <m:sty m:val="p"/>
              </m:rPr>
              <w:rPr>
                <w:rFonts w:ascii="Cambria Math" w:hAnsi="Cambria Math" w:eastAsia="宋体" w:cs="Times New Roman"/>
                <w:color w:val="auto"/>
                <w:szCs w:val="21"/>
              </w:rPr>
              <m:t xml:space="preserve">  </m:t>
            </m:r>
            <m:ctrlPr>
              <w:rPr>
                <w:rFonts w:ascii="Cambria Math" w:hAnsi="Cambria Math" w:eastAsia="宋体" w:cs="Times New Roman"/>
                <w:color w:val="auto"/>
                <w:szCs w:val="21"/>
              </w:rPr>
            </m:ctrlPr>
          </m:num>
          <m:den>
            <m:r>
              <m:rPr>
                <m:sty m:val="p"/>
              </m:rPr>
              <w:rPr>
                <w:rFonts w:ascii="Cambria Math" w:hAnsi="Cambria Math" w:eastAsia="宋体" w:cs="Times New Roman"/>
                <w:color w:val="auto"/>
                <w:szCs w:val="21"/>
              </w:rPr>
              <m:t>100</m:t>
            </m:r>
            <m:ctrlPr>
              <w:rPr>
                <w:rFonts w:ascii="Cambria Math" w:hAnsi="Cambria Math" w:eastAsia="宋体" w:cs="Times New Roman"/>
                <w:color w:val="auto"/>
                <w:szCs w:val="21"/>
              </w:rPr>
            </m:ctrlPr>
          </m:den>
        </m:f>
        <m:r>
          <m:rPr>
            <m:sty m:val="p"/>
          </m:rPr>
          <w:rPr>
            <w:rFonts w:ascii="Cambria Math" w:hAnsi="Cambria Math" w:eastAsia="宋体" w:cs="Times New Roman"/>
            <w:color w:val="auto"/>
            <w:szCs w:val="21"/>
          </w:rPr>
          <m:t>×100%</m:t>
        </m:r>
      </m:oMath>
    </w:p>
    <w:p>
      <w:pPr>
        <w:adjustRightInd w:val="0"/>
        <w:spacing w:line="400" w:lineRule="exact"/>
        <w:ind w:left="1119" w:leftChars="333" w:hanging="420" w:hangingChars="150"/>
        <w:jc w:val="left"/>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式中：P──装配率；</w:t>
      </w:r>
    </w:p>
    <w:p>
      <w:pPr>
        <w:spacing w:line="400" w:lineRule="exact"/>
        <w:ind w:firstLine="1540" w:firstLineChars="550"/>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Q1──主体结构指标实际得分值；</w:t>
      </w:r>
    </w:p>
    <w:p>
      <w:pPr>
        <w:spacing w:line="400" w:lineRule="exact"/>
        <w:ind w:firstLine="1540" w:firstLineChars="550"/>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Q2──围护墙和内隔墙指标实际得分值；</w:t>
      </w:r>
    </w:p>
    <w:p>
      <w:pPr>
        <w:spacing w:line="400" w:lineRule="exact"/>
        <w:ind w:firstLine="1540" w:firstLineChars="550"/>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Q3──装修与设备管线指标实际得分值；</w:t>
      </w:r>
    </w:p>
    <w:p>
      <w:pPr>
        <w:spacing w:line="400" w:lineRule="exact"/>
        <w:ind w:firstLine="1540" w:firstLineChars="550"/>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Q4──评价项目中缺少的评价项分值总和；</w:t>
      </w:r>
    </w:p>
    <w:p>
      <w:pPr>
        <w:spacing w:line="400" w:lineRule="exact"/>
        <w:ind w:firstLine="1540" w:firstLineChars="550"/>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Q5──加分项指标实际得分值。</w:t>
      </w:r>
    </w:p>
    <w:p>
      <w:pPr>
        <w:spacing w:line="320" w:lineRule="exact"/>
        <w:ind w:firstLine="1400" w:firstLineChars="500"/>
        <w:rPr>
          <w:rFonts w:ascii="Times New Roman" w:hAnsi="Times New Roman" w:eastAsia="宋体" w:cs="Times New Roman"/>
          <w:color w:val="auto"/>
          <w:sz w:val="28"/>
          <w:szCs w:val="28"/>
        </w:rPr>
      </w:pPr>
    </w:p>
    <w:p>
      <w:pPr>
        <w:spacing w:line="320" w:lineRule="exact"/>
        <w:jc w:val="center"/>
        <w:rPr>
          <w:rFonts w:ascii="Times New Roman" w:hAnsi="Times New Roman" w:eastAsia="黑体" w:cs="Times New Roman"/>
          <w:bCs/>
          <w:color w:val="auto"/>
          <w:sz w:val="28"/>
          <w:szCs w:val="28"/>
        </w:rPr>
      </w:pPr>
      <w:r>
        <w:rPr>
          <w:rFonts w:ascii="Times New Roman" w:hAnsi="Times New Roman" w:eastAsia="黑体" w:cs="Times New Roman"/>
          <w:bCs/>
          <w:color w:val="auto"/>
          <w:sz w:val="28"/>
          <w:szCs w:val="28"/>
        </w:rPr>
        <w:t xml:space="preserve"> 装配式建筑评分表</w:t>
      </w:r>
    </w:p>
    <w:tbl>
      <w:tblPr>
        <w:tblStyle w:val="5"/>
        <w:tblW w:w="8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930"/>
        <w:gridCol w:w="1045"/>
        <w:gridCol w:w="1232"/>
        <w:gridCol w:w="567"/>
        <w:gridCol w:w="1675"/>
        <w:gridCol w:w="495"/>
        <w:gridCol w:w="63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序号</w:t>
            </w:r>
          </w:p>
        </w:tc>
        <w:tc>
          <w:tcPr>
            <w:tcW w:w="320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评价项</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权重分值</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评价要求</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评价分值</w:t>
            </w:r>
          </w:p>
        </w:tc>
        <w:tc>
          <w:tcPr>
            <w:tcW w:w="1157" w:type="dxa"/>
            <w:tcBorders>
              <w:top w:val="single" w:color="auto" w:sz="4" w:space="0"/>
              <w:left w:val="single" w:color="auto" w:sz="4" w:space="0"/>
              <w:bottom w:val="single" w:color="auto" w:sz="4" w:space="0"/>
              <w:right w:val="single" w:color="auto" w:sz="4" w:space="0"/>
            </w:tcBorders>
            <w:vAlign w:val="center"/>
          </w:tcPr>
          <w:p>
            <w:pPr>
              <w:spacing w:line="240" w:lineRule="exact"/>
              <w:ind w:right="414" w:rightChars="197"/>
              <w:jc w:val="center"/>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 xml:space="preserve"> </w:t>
            </w:r>
            <w:r>
              <w:rPr>
                <w:rFonts w:ascii="Times New Roman" w:hAnsi="Times New Roman" w:eastAsia="宋体" w:cs="Times New Roman"/>
                <w:b/>
                <w:color w:val="auto"/>
                <w:szCs w:val="21"/>
              </w:rPr>
              <w:t>最低分值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7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93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主体结构（</w:t>
            </w:r>
            <w:r>
              <w:rPr>
                <w:rFonts w:ascii="Times New Roman" w:hAnsi="Times New Roman" w:eastAsia="宋体" w:cs="Times New Roman"/>
                <w:i/>
                <w:color w:val="auto"/>
                <w:szCs w:val="21"/>
              </w:rPr>
              <w:t>Q</w:t>
            </w:r>
            <w:r>
              <w:rPr>
                <w:rFonts w:ascii="Times New Roman" w:hAnsi="Times New Roman" w:eastAsia="宋体" w:cs="Times New Roman"/>
                <w:i/>
                <w:color w:val="auto"/>
                <w:szCs w:val="21"/>
                <w:vertAlign w:val="subscript"/>
              </w:rPr>
              <w:t>1</w:t>
            </w:r>
            <w:r>
              <w:rPr>
                <w:rFonts w:ascii="Times New Roman" w:hAnsi="Times New Roman" w:eastAsia="宋体" w:cs="Times New Roman"/>
                <w:color w:val="auto"/>
                <w:szCs w:val="21"/>
              </w:rPr>
              <w:t>）</w:t>
            </w:r>
          </w:p>
        </w:tc>
        <w:tc>
          <w:tcPr>
            <w:tcW w:w="2277"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柱、支撑、承重墙</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、延性墙板等竖向构件</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(采用高精度模板施工工艺)</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35%≤比例≤80%</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（比例＜90%）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20~30</w:t>
            </w:r>
            <w:r>
              <w:rPr>
                <w:rFonts w:ascii="Times New Roman" w:hAnsi="Times New Roman" w:eastAsia="宋体" w:cs="Times New Roman"/>
                <w:color w:val="auto"/>
                <w:szCs w:val="21"/>
                <w:vertAlign w:val="superscript"/>
              </w:rPr>
              <w:t>*</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(0)</w:t>
            </w:r>
          </w:p>
        </w:tc>
        <w:tc>
          <w:tcPr>
            <w:tcW w:w="1157"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（比例≥90%）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（24）</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梁、板、楼梯、阳台、空调板等构件</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70%≤比例≤80%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10~20</w:t>
            </w:r>
            <w:r>
              <w:rPr>
                <w:rFonts w:ascii="Times New Roman" w:hAnsi="Times New Roman" w:eastAsia="宋体" w:cs="Times New Roman"/>
                <w:color w:val="auto"/>
                <w:szCs w:val="21"/>
                <w:vertAlign w:val="superscript"/>
              </w:rPr>
              <w:t>*</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w:t>
            </w:r>
          </w:p>
        </w:tc>
        <w:tc>
          <w:tcPr>
            <w:tcW w:w="1157"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w:t>
            </w:r>
          </w:p>
        </w:tc>
        <w:tc>
          <w:tcPr>
            <w:tcW w:w="930"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围护墙和内隔墙（</w:t>
            </w:r>
            <w:r>
              <w:rPr>
                <w:rFonts w:ascii="Times New Roman" w:hAnsi="Times New Roman" w:eastAsia="宋体" w:cs="Times New Roman"/>
                <w:i/>
                <w:color w:val="auto"/>
                <w:szCs w:val="21"/>
              </w:rPr>
              <w:t>Q</w:t>
            </w:r>
            <w:r>
              <w:rPr>
                <w:rFonts w:ascii="Times New Roman" w:hAnsi="Times New Roman" w:eastAsia="宋体" w:cs="Times New Roman"/>
                <w:i/>
                <w:color w:val="auto"/>
                <w:szCs w:val="21"/>
                <w:vertAlign w:val="subscript"/>
              </w:rPr>
              <w:t>2</w:t>
            </w:r>
            <w:r>
              <w:rPr>
                <w:rFonts w:ascii="Times New Roman" w:hAnsi="Times New Roman" w:eastAsia="宋体" w:cs="Times New Roman"/>
                <w:color w:val="auto"/>
                <w:szCs w:val="21"/>
              </w:rPr>
              <w:t>）</w:t>
            </w:r>
          </w:p>
        </w:tc>
        <w:tc>
          <w:tcPr>
            <w:tcW w:w="2277" w:type="dxa"/>
            <w:gridSpan w:val="2"/>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非承重围护墙非砌筑</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157"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780"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w:t>
            </w: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045" w:type="dxa"/>
            <w:vMerge w:val="restart"/>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rPr>
              <w:t>围护墙体一体化</w:t>
            </w:r>
          </w:p>
        </w:tc>
        <w:tc>
          <w:tcPr>
            <w:tcW w:w="1232" w:type="dxa"/>
            <w:vMerge w:val="restart"/>
            <w:tcBorders>
              <w:top w:val="single" w:color="auto" w:sz="4" w:space="0"/>
              <w:left w:val="single" w:color="auto" w:sz="4" w:space="0"/>
              <w:right w:val="single" w:color="auto" w:sz="4" w:space="0"/>
            </w:tcBorders>
            <w:vAlign w:val="center"/>
          </w:tcPr>
          <w:p>
            <w:pPr>
              <w:tabs>
                <w:tab w:val="left" w:pos="709"/>
              </w:tabs>
              <w:spacing w:line="240" w:lineRule="exact"/>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围护墙体与保温、隔热一体化</w:t>
            </w:r>
          </w:p>
        </w:tc>
        <w:tc>
          <w:tcPr>
            <w:tcW w:w="567"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50%≤比例≤80%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1~3</w:t>
            </w:r>
            <w:r>
              <w:rPr>
                <w:rFonts w:ascii="Times New Roman" w:hAnsi="Times New Roman" w:eastAsia="宋体" w:cs="Times New Roman"/>
                <w:color w:val="auto"/>
                <w:szCs w:val="21"/>
                <w:vertAlign w:val="superscript"/>
              </w:rPr>
              <w:t>*</w:t>
            </w:r>
          </w:p>
        </w:tc>
        <w:tc>
          <w:tcPr>
            <w:tcW w:w="630"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jc w:val="center"/>
        </w:trPr>
        <w:tc>
          <w:tcPr>
            <w:tcW w:w="780" w:type="dxa"/>
            <w:vMerge w:val="continue"/>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045"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kern w:val="0"/>
                <w:szCs w:val="21"/>
              </w:rPr>
            </w:pPr>
          </w:p>
        </w:tc>
        <w:tc>
          <w:tcPr>
            <w:tcW w:w="1232" w:type="dxa"/>
            <w:vMerge w:val="continue"/>
            <w:tcBorders>
              <w:left w:val="single" w:color="auto" w:sz="4" w:space="0"/>
              <w:bottom w:val="single" w:color="auto" w:sz="4" w:space="0"/>
              <w:right w:val="single" w:color="auto" w:sz="4" w:space="0"/>
            </w:tcBorders>
            <w:vAlign w:val="center"/>
          </w:tcPr>
          <w:p>
            <w:pPr>
              <w:tabs>
                <w:tab w:val="left" w:pos="709"/>
              </w:tabs>
              <w:spacing w:line="240" w:lineRule="exact"/>
              <w:jc w:val="center"/>
              <w:rPr>
                <w:rFonts w:ascii="Times New Roman" w:hAnsi="Times New Roman" w:eastAsia="宋体" w:cs="Times New Roman"/>
                <w:color w:val="auto"/>
                <w:kern w:val="0"/>
                <w:szCs w:val="21"/>
              </w:rPr>
            </w:pPr>
          </w:p>
        </w:tc>
        <w:tc>
          <w:tcPr>
            <w:tcW w:w="567" w:type="dxa"/>
            <w:vMerge w:val="continue"/>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tc>
        <w:tc>
          <w:tcPr>
            <w:tcW w:w="49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w:t>
            </w:r>
          </w:p>
        </w:tc>
        <w:tc>
          <w:tcPr>
            <w:tcW w:w="630" w:type="dxa"/>
            <w:vMerge w:val="continue"/>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8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045"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232"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rPr>
              <w:t>围护墙体与保温、隔热、装饰一体化</w:t>
            </w:r>
          </w:p>
        </w:tc>
        <w:tc>
          <w:tcPr>
            <w:tcW w:w="56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50%≤比例≤80%</w:t>
            </w:r>
          </w:p>
        </w:tc>
        <w:tc>
          <w:tcPr>
            <w:tcW w:w="495" w:type="dxa"/>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2~5</w:t>
            </w:r>
            <w:r>
              <w:rPr>
                <w:rFonts w:ascii="Times New Roman" w:hAnsi="Times New Roman" w:eastAsia="宋体" w:cs="Times New Roman"/>
                <w:color w:val="auto"/>
                <w:szCs w:val="21"/>
                <w:vertAlign w:val="superscript"/>
              </w:rPr>
              <w:t>*</w:t>
            </w:r>
          </w:p>
        </w:tc>
        <w:tc>
          <w:tcPr>
            <w:tcW w:w="6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80"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045"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232"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kern w:val="0"/>
                <w:szCs w:val="21"/>
              </w:rPr>
            </w:pPr>
          </w:p>
        </w:tc>
        <w:tc>
          <w:tcPr>
            <w:tcW w:w="567"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tc>
        <w:tc>
          <w:tcPr>
            <w:tcW w:w="495" w:type="dxa"/>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630"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内隔墙非砌筑</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比例≥50%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vMerge w:val="restart"/>
            <w:tcBorders>
              <w:top w:val="single" w:color="auto" w:sz="4" w:space="0"/>
              <w:left w:val="single" w:color="auto" w:sz="4" w:space="0"/>
              <w:right w:val="single" w:color="auto" w:sz="4" w:space="0"/>
            </w:tcBorders>
            <w:vAlign w:val="center"/>
          </w:tcPr>
          <w:p>
            <w:pPr>
              <w:tabs>
                <w:tab w:val="left" w:pos="709"/>
              </w:tabs>
              <w:spacing w:line="240" w:lineRule="exact"/>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内隔墙与管线、装修一体化</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50%≤比例≤80%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2~5</w:t>
            </w:r>
            <w:r>
              <w:rPr>
                <w:rFonts w:ascii="Times New Roman" w:hAnsi="Times New Roman" w:eastAsia="宋体" w:cs="Times New Roman"/>
                <w:color w:val="auto"/>
                <w:szCs w:val="21"/>
                <w:vertAlign w:val="superscript"/>
              </w:rPr>
              <w:t>*</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比例＞80%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w:t>
            </w:r>
          </w:p>
        </w:tc>
        <w:tc>
          <w:tcPr>
            <w:tcW w:w="1157" w:type="dxa"/>
            <w:vMerge w:val="continue"/>
            <w:tcBorders>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w:t>
            </w:r>
          </w:p>
        </w:tc>
        <w:tc>
          <w:tcPr>
            <w:tcW w:w="93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装修和设备管线（</w:t>
            </w:r>
            <w:r>
              <w:rPr>
                <w:rFonts w:ascii="Times New Roman" w:hAnsi="Times New Roman" w:eastAsia="宋体" w:cs="Times New Roman"/>
                <w:i/>
                <w:color w:val="auto"/>
                <w:szCs w:val="21"/>
              </w:rPr>
              <w:t>Q</w:t>
            </w:r>
            <w:r>
              <w:rPr>
                <w:rFonts w:ascii="Times New Roman" w:hAnsi="Times New Roman" w:eastAsia="宋体" w:cs="Times New Roman"/>
                <w:i/>
                <w:color w:val="auto"/>
                <w:szCs w:val="21"/>
                <w:vertAlign w:val="subscript"/>
              </w:rPr>
              <w:t>3</w:t>
            </w:r>
            <w:r>
              <w:rPr>
                <w:rFonts w:ascii="Times New Roman" w:hAnsi="Times New Roman" w:eastAsia="宋体" w:cs="Times New Roman"/>
                <w:color w:val="auto"/>
                <w:szCs w:val="21"/>
              </w:rPr>
              <w:t>）</w:t>
            </w: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全装修</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15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8</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干式工法楼面、地面</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比例≥70%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157"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9</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集成卫生间</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70%≤比例≤90%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3~6</w:t>
            </w:r>
            <w:r>
              <w:rPr>
                <w:rFonts w:ascii="Times New Roman" w:hAnsi="Times New Roman" w:eastAsia="宋体" w:cs="Times New Roman"/>
                <w:color w:val="auto"/>
                <w:szCs w:val="21"/>
                <w:vertAlign w:val="superscript"/>
              </w:rPr>
              <w:t>*</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集成厨房</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70%≤比例≤90%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3~6</w:t>
            </w:r>
            <w:r>
              <w:rPr>
                <w:rFonts w:ascii="Times New Roman" w:hAnsi="Times New Roman" w:eastAsia="宋体" w:cs="Times New Roman"/>
                <w:color w:val="auto"/>
                <w:szCs w:val="21"/>
                <w:vertAlign w:val="superscript"/>
              </w:rPr>
              <w:t>*</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11</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管线分离</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50%≤比例≤70%</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4~6</w:t>
            </w:r>
            <w:r>
              <w:rPr>
                <w:rFonts w:ascii="Times New Roman" w:hAnsi="Times New Roman" w:eastAsia="宋体" w:cs="Times New Roman"/>
                <w:color w:val="auto"/>
                <w:szCs w:val="21"/>
                <w:vertAlign w:val="superscript"/>
              </w:rPr>
              <w:t>*</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80"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12</w:t>
            </w:r>
          </w:p>
        </w:tc>
        <w:tc>
          <w:tcPr>
            <w:tcW w:w="930" w:type="dxa"/>
            <w:vMerge w:val="restart"/>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加分项</w:t>
            </w:r>
          </w:p>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ascii="Times New Roman" w:hAnsi="Times New Roman" w:eastAsia="宋体" w:cs="Times New Roman"/>
                <w:i/>
                <w:color w:val="auto"/>
                <w:szCs w:val="21"/>
              </w:rPr>
              <w:t>Q</w:t>
            </w:r>
            <w:r>
              <w:rPr>
                <w:rFonts w:ascii="Times New Roman" w:hAnsi="Times New Roman" w:eastAsia="宋体" w:cs="Times New Roman"/>
                <w:i/>
                <w:color w:val="auto"/>
                <w:szCs w:val="21"/>
                <w:vertAlign w:val="subscript"/>
              </w:rPr>
              <w:t>5</w:t>
            </w:r>
            <w:r>
              <w:rPr>
                <w:rFonts w:ascii="Times New Roman" w:hAnsi="Times New Roman" w:eastAsia="宋体" w:cs="Times New Roman"/>
                <w:color w:val="auto"/>
                <w:szCs w:val="21"/>
              </w:rPr>
              <w:t>）</w:t>
            </w: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新技术应用</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0.5~2</w:t>
            </w:r>
          </w:p>
        </w:tc>
        <w:tc>
          <w:tcPr>
            <w:tcW w:w="1157" w:type="dxa"/>
            <w:vMerge w:val="restart"/>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80" w:type="dxa"/>
            <w:vMerge w:val="continue"/>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新材料应用</w:t>
            </w:r>
          </w:p>
        </w:tc>
        <w:tc>
          <w:tcPr>
            <w:tcW w:w="56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6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1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0.5~2</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930"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c>
          <w:tcPr>
            <w:tcW w:w="2277" w:type="dxa"/>
            <w:gridSpan w:val="2"/>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信息化（BIM）技术</w:t>
            </w:r>
          </w:p>
        </w:tc>
        <w:tc>
          <w:tcPr>
            <w:tcW w:w="567" w:type="dxa"/>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675" w:type="dxa"/>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125" w:type="dxa"/>
            <w:gridSpan w:val="2"/>
            <w:tcBorders>
              <w:top w:val="single" w:color="auto" w:sz="4" w:space="0"/>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0.5~2</w:t>
            </w:r>
          </w:p>
        </w:tc>
        <w:tc>
          <w:tcPr>
            <w:tcW w:w="1157" w:type="dxa"/>
            <w:vMerge w:val="continue"/>
            <w:tcBorders>
              <w:left w:val="single" w:color="auto" w:sz="4" w:space="0"/>
              <w:right w:val="single" w:color="auto" w:sz="4" w:space="0"/>
            </w:tcBorders>
            <w:vAlign w:val="center"/>
          </w:tcPr>
          <w:p>
            <w:pPr>
              <w:spacing w:line="24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511" w:type="dxa"/>
            <w:gridSpan w:val="9"/>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注：（1）表中带“*”项的分值采用“内插法”计算，计算结果取小数点后一位。</w:t>
            </w:r>
          </w:p>
          <w:p>
            <w:pPr>
              <w:spacing w:line="30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（2）建筑功能中缺少的评价项分值计入装配率公式中的Q4中。</w:t>
            </w:r>
          </w:p>
          <w:p>
            <w:pPr>
              <w:spacing w:line="30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（3）当主体结构竖向承重构件采用“（ ）”内的高精度模板施工工艺且达到规定评价要求时，评价分值应采用对应“（ ）”内的分值。≥90%时最高分得24分；＜90%不得分。且主体结构水平构件的分值不应低于10分。</w:t>
            </w:r>
          </w:p>
          <w:p>
            <w:pPr>
              <w:spacing w:line="32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4）加分项中新技术应用，每采用一项增加0.5分，累计加分不得超过2分；新材料应用，每采用一种增加0.5分，累计加分不得超过2分；信息化（BIM）技术应用，满足设计阶段、生产阶段、施工阶段、运维阶段任何一阶段的要求时均可得0.5分，累计加分不得超过2分。</w:t>
            </w:r>
          </w:p>
        </w:tc>
      </w:tr>
    </w:tbl>
    <w:p>
      <w:pPr>
        <w:spacing w:line="48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二、装配式建筑评价应划分为A级、AA级、AAA级，并应符合下列规定：</w:t>
      </w:r>
    </w:p>
    <w:p>
      <w:pPr>
        <w:pStyle w:val="10"/>
        <w:spacing w:line="52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（一）装配率为60%～75%时，评价为A级装配式建筑；</w:t>
      </w:r>
    </w:p>
    <w:p>
      <w:pPr>
        <w:pStyle w:val="10"/>
        <w:spacing w:line="52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（二）装配率为76%～90%时，评价为AA级装配式建筑；</w:t>
      </w:r>
    </w:p>
    <w:p>
      <w:pPr>
        <w:pStyle w:val="10"/>
        <w:spacing w:line="520" w:lineRule="exact"/>
        <w:ind w:firstLine="480" w:firstLineChars="1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（三）</w:t>
      </w:r>
      <w:r>
        <w:rPr>
          <w:rFonts w:hint="eastAsia" w:ascii="Times New Roman" w:hAnsi="Times New Roman" w:eastAsia="方正仿宋_GBK" w:cs="Times New Roman"/>
          <w:color w:val="auto"/>
          <w:sz w:val="32"/>
          <w:szCs w:val="32"/>
        </w:rPr>
        <w:t xml:space="preserve"> </w:t>
      </w:r>
      <w:r>
        <w:rPr>
          <w:rFonts w:ascii="Times New Roman" w:hAnsi="Times New Roman" w:eastAsia="方正仿宋_GBK" w:cs="Times New Roman"/>
          <w:color w:val="auto"/>
          <w:sz w:val="32"/>
          <w:szCs w:val="32"/>
        </w:rPr>
        <w:t>装配率为91%及以上时，评价为AAA级装配式建筑；</w:t>
      </w:r>
    </w:p>
    <w:p>
      <w:pPr>
        <w:spacing w:line="48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三、具体内容</w:t>
      </w:r>
      <w:r>
        <w:rPr>
          <w:rFonts w:ascii="Times New Roman" w:hAnsi="Times New Roman" w:eastAsia="方正仿宋_GBK" w:cs="Times New Roman"/>
          <w:color w:val="auto"/>
          <w:sz w:val="32"/>
          <w:szCs w:val="32"/>
        </w:rPr>
        <w:t>详见新疆地方标准《装配式建筑评价标准》（XJJ116—2019）</w:t>
      </w:r>
    </w:p>
    <w:bookmarkEnd w:id="2"/>
    <w:sectPr>
      <w:footerReference r:id="rId3" w:type="default"/>
      <w:footerReference r:id="rId4" w:type="even"/>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Times New Roman" w:hAnsi="Times New Roman"/>
        <w:sz w:val="28"/>
        <w:szCs w:val="28"/>
      </w:rPr>
    </w:sdtEndPr>
    <w:sdtContent>
      <w:p>
        <w:pPr>
          <w:pStyle w:val="3"/>
          <w:wordWrap w:val="0"/>
          <w:jc w:val="right"/>
          <w:rPr>
            <w:rFonts w:ascii="Times New Roman" w:hAnsi="Times New Roman"/>
            <w:sz w:val="28"/>
            <w:szCs w:val="28"/>
          </w:rPr>
        </w:pP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10</w:t>
        </w:r>
        <w:r>
          <w:rPr>
            <w:rFonts w:ascii="Times New Roman" w:hAnsi="Times New Roman"/>
            <w:sz w:val="28"/>
            <w:szCs w:val="28"/>
          </w:rPr>
          <w:fldChar w:fldCharType="end"/>
        </w:r>
        <w:r>
          <w:rPr>
            <w:rFonts w:hint="eastAsia" w:ascii="Times New Roman" w:hAnsi="Times New Roman"/>
            <w:sz w:val="28"/>
            <w:szCs w:val="28"/>
          </w:rPr>
          <w:t xml:space="preserve"> —</w:t>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Times New Roman" w:hAnsi="Times New Roman"/>
        <w:sz w:val="28"/>
        <w:szCs w:val="28"/>
      </w:rPr>
    </w:sdtEndPr>
    <w:sdtContent>
      <w:p>
        <w:pPr>
          <w:pStyle w:val="3"/>
          <w:rPr>
            <w:rFonts w:ascii="Times New Roman" w:hAnsi="Times New Roman"/>
            <w:sz w:val="28"/>
            <w:szCs w:val="28"/>
          </w:rPr>
        </w:pP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10</w:t>
        </w:r>
        <w:r>
          <w:rPr>
            <w:rFonts w:ascii="Times New Roman" w:hAnsi="Times New Roman"/>
            <w:sz w:val="28"/>
            <w:szCs w:val="28"/>
          </w:rPr>
          <w:fldChar w:fldCharType="end"/>
        </w:r>
        <w:r>
          <w:rPr>
            <w:rFonts w:hint="eastAsia" w:ascii="Times New Roman" w:hAnsi="Times New Roman"/>
            <w:sz w:val="28"/>
            <w:szCs w:val="28"/>
          </w:rPr>
          <w:t xml:space="preserve"> —</w:t>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AF75BD"/>
    <w:multiLevelType w:val="multilevel"/>
    <w:tmpl w:val="24AF75BD"/>
    <w:lvl w:ilvl="0" w:tentative="0">
      <w:start w:val="3"/>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1" w:cryptProviderType="rsaFull" w:cryptAlgorithmClass="hash" w:cryptAlgorithmType="typeAny" w:cryptAlgorithmSid="4" w:cryptSpinCount="0" w:hash="Z+EEPbonoA5moo0ogOQrKYsfLRw=" w:salt="Nl+Y6j8vKsj0RbTjGI5pJ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81C"/>
    <w:rsid w:val="00047FF9"/>
    <w:rsid w:val="00074FEC"/>
    <w:rsid w:val="0008751F"/>
    <w:rsid w:val="00092C5D"/>
    <w:rsid w:val="000D78F5"/>
    <w:rsid w:val="000E1AD9"/>
    <w:rsid w:val="00112A1A"/>
    <w:rsid w:val="00153CA6"/>
    <w:rsid w:val="0017062C"/>
    <w:rsid w:val="001A3E3C"/>
    <w:rsid w:val="00226323"/>
    <w:rsid w:val="002445F7"/>
    <w:rsid w:val="0025432D"/>
    <w:rsid w:val="00264DC2"/>
    <w:rsid w:val="002B0320"/>
    <w:rsid w:val="002D7BEA"/>
    <w:rsid w:val="002E7365"/>
    <w:rsid w:val="00336776"/>
    <w:rsid w:val="00343CF2"/>
    <w:rsid w:val="00351149"/>
    <w:rsid w:val="003821C8"/>
    <w:rsid w:val="003B0026"/>
    <w:rsid w:val="003D5D27"/>
    <w:rsid w:val="003F7F76"/>
    <w:rsid w:val="004531DC"/>
    <w:rsid w:val="0046281C"/>
    <w:rsid w:val="004C79EC"/>
    <w:rsid w:val="00526A18"/>
    <w:rsid w:val="0057398D"/>
    <w:rsid w:val="00583EA9"/>
    <w:rsid w:val="00594161"/>
    <w:rsid w:val="005B68D0"/>
    <w:rsid w:val="006307FE"/>
    <w:rsid w:val="006362F0"/>
    <w:rsid w:val="006513F0"/>
    <w:rsid w:val="00700542"/>
    <w:rsid w:val="00714D39"/>
    <w:rsid w:val="00790A41"/>
    <w:rsid w:val="007B00A5"/>
    <w:rsid w:val="007C5F71"/>
    <w:rsid w:val="007D04D0"/>
    <w:rsid w:val="00836600"/>
    <w:rsid w:val="008631EC"/>
    <w:rsid w:val="00891E59"/>
    <w:rsid w:val="008A3C2B"/>
    <w:rsid w:val="008B72A7"/>
    <w:rsid w:val="0092753B"/>
    <w:rsid w:val="009D4934"/>
    <w:rsid w:val="00A26070"/>
    <w:rsid w:val="00A4283C"/>
    <w:rsid w:val="00A611CC"/>
    <w:rsid w:val="00AE5784"/>
    <w:rsid w:val="00B66FEA"/>
    <w:rsid w:val="00B90252"/>
    <w:rsid w:val="00C26881"/>
    <w:rsid w:val="00D760FE"/>
    <w:rsid w:val="00D8069D"/>
    <w:rsid w:val="00DA465D"/>
    <w:rsid w:val="00DC1DE8"/>
    <w:rsid w:val="00DC2971"/>
    <w:rsid w:val="00DD13C2"/>
    <w:rsid w:val="00E02360"/>
    <w:rsid w:val="00E804E0"/>
    <w:rsid w:val="00E86383"/>
    <w:rsid w:val="00EC506E"/>
    <w:rsid w:val="00EC7DEF"/>
    <w:rsid w:val="00EF36BA"/>
    <w:rsid w:val="00F20BCF"/>
    <w:rsid w:val="00FC5622"/>
    <w:rsid w:val="040417DD"/>
    <w:rsid w:val="04E975F4"/>
    <w:rsid w:val="064C007F"/>
    <w:rsid w:val="08B804D1"/>
    <w:rsid w:val="0B0417FD"/>
    <w:rsid w:val="115C40DA"/>
    <w:rsid w:val="11B4505A"/>
    <w:rsid w:val="13EA1EE7"/>
    <w:rsid w:val="15F930CC"/>
    <w:rsid w:val="211C5748"/>
    <w:rsid w:val="253E11F4"/>
    <w:rsid w:val="2A325951"/>
    <w:rsid w:val="2D635378"/>
    <w:rsid w:val="300B37B3"/>
    <w:rsid w:val="38BC7889"/>
    <w:rsid w:val="3EFD7EEB"/>
    <w:rsid w:val="434F458C"/>
    <w:rsid w:val="43D50743"/>
    <w:rsid w:val="44FD3D3E"/>
    <w:rsid w:val="473B6D1B"/>
    <w:rsid w:val="480D448D"/>
    <w:rsid w:val="49CF083F"/>
    <w:rsid w:val="49D67607"/>
    <w:rsid w:val="4E0F739C"/>
    <w:rsid w:val="4E8C2CFC"/>
    <w:rsid w:val="50896817"/>
    <w:rsid w:val="52D34AC3"/>
    <w:rsid w:val="54C77052"/>
    <w:rsid w:val="641D1283"/>
    <w:rsid w:val="65744E00"/>
    <w:rsid w:val="66AD589F"/>
    <w:rsid w:val="67451287"/>
    <w:rsid w:val="677D1033"/>
    <w:rsid w:val="69B6672C"/>
    <w:rsid w:val="6C1B16EF"/>
    <w:rsid w:val="6DD974F0"/>
    <w:rsid w:val="6E6041D3"/>
    <w:rsid w:val="6F0A0AE3"/>
    <w:rsid w:val="6F8819D3"/>
    <w:rsid w:val="750130F5"/>
    <w:rsid w:val="793006CE"/>
    <w:rsid w:val="7A3800CD"/>
    <w:rsid w:val="F65F0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sz w:val="18"/>
      <w:szCs w:val="18"/>
    </w:rPr>
  </w:style>
  <w:style w:type="paragraph" w:styleId="1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b:Sources xmlns:b="http://schemas.openxmlformats.org/officeDocument/2006/bibliography" SelectedStyle="\APA.XSL" xmlns:b="http://schemas.openxmlformats.org/officeDocument/2006/bibliography" StyleName="APA"/>

</file>

<file path=customXml/itemProps1.xml><?xml version="1.0" encoding="utf-8"?>
<ds:datastoreItem xmlns:ds="http://schemas.openxmlformats.org/officeDocument/2006/customXml" ds:itemID="{AC08BAF1-28EC-4A76-B577-6AA5A5CAE34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702</Words>
  <Characters>4008</Characters>
  <Lines>33</Lines>
  <Paragraphs>9</Paragraphs>
  <TotalTime>2</TotalTime>
  <ScaleCrop>false</ScaleCrop>
  <LinksUpToDate>false</LinksUpToDate>
  <CharactersWithSpaces>4701</CharactersWithSpaces>
  <Application>WPS Office_12.8.2.17008_F1E327BC-269C-435d-A152-05C5408002CA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2020-06-03T12:05:00Z</dcterms:created>
  <dc:creator>胡芸</dc:creator>
  <cp:lastModifiedBy>user</cp:lastModifiedBy>
  <dcterms:modified xsi:type="dcterms:W3CDTF">2026-10-12T17:40:25Z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2052-12.8.2.17008</vt:lpwstr>
  </property>
  <property fmtid="{D5CDD505-2E9C-101B-9397-08002B2CF9AE}" pid="3" name="ICV">
    <vt:lpwstr>2AD01166CFE0E40A09ABCC6A0BD2BB38_42</vt:lpwstr>
  </property>
</Properties>
</file>