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3420"/>
        </w:tabs>
        <w:kinsoku/>
        <w:wordWrap/>
        <w:overflowPunct/>
        <w:topLinePunct w:val="0"/>
        <w:autoSpaceDE/>
        <w:autoSpaceDN/>
        <w:bidi w:val="0"/>
        <w:spacing w:line="578" w:lineRule="exact"/>
        <w:jc w:val="left"/>
        <w:textAlignment w:val="auto"/>
        <w:rPr>
          <w:rFonts w:hint="eastAsia"/>
          <w:szCs w:val="32"/>
          <w:lang w:val="en-US" w:eastAsia="zh-CN"/>
        </w:rPr>
      </w:pPr>
      <w:r>
        <w:rPr>
          <w:rFonts w:hint="eastAsia" w:ascii="方正黑体_GBK" w:hAnsi="方正黑体_GBK" w:eastAsia="方正黑体_GBK" w:cs="方正黑体_GBK"/>
          <w:szCs w:val="32"/>
          <w:lang w:eastAsia="zh-CN"/>
        </w:rPr>
        <w:t>附件</w:t>
      </w:r>
      <w:r>
        <w:rPr>
          <w:rFonts w:hint="default" w:ascii="Times New Roman" w:hAnsi="Times New Roman" w:eastAsia="方正黑体_GBK" w:cs="Times New Roman"/>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关于《乌鲁木齐市商品房预售资金监管办法》起草情况的说明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乌鲁木齐市商品房预售资金监督管理办法》（以下简称《办法》）于2017年8月19日以市人民政府令第139号公布，2021年12月18日以市人民政府令第146号修订，至今已实施近5年。《办法》共二十三条，涵盖适用范围、职责分工、监管系统、监管银行、重点监管资金标准及支取、违规处罚等内容，在保障房地产项目竣工交付、维护购房人合法权益、促进房地产市场平稳健康发展等方面发挥了重要作用。</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1月29日，住房和城乡建设部、人民银行、银保监会联合印发《关于规范商品房预售资金监管的意见》（建房〔2022〕16号，以下简称《意见》），对全国商品房预售资金监管作出统一规范。同时，根据《乌鲁木齐市人民政府关于向区县和国家级开发区赋予一批行政职权事项的决定》（市人民政府令第155号），我市已将商品房预售资金监管职权委托至各区（县）、开发区管委会实施。对照上位法要求、职权下放实际及我市监管现状，现行《办法》与国家政策、监管体制、工作实际存在不一致，亟需修改完善。现将有关情况论证如下：</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一、修改的必要性</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（一）贯彻落实国家政策、确保法制统一的需要</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意见》明确商品房预售资金应当全部直接存入监管账户，实行全额入账、专款专用，并按照确保项目竣工交付所需的资金核定监管额度，监管账户内的资金达到监管额度后，超出监管额度的资金可由房地产开发企业提取使用，先进后出的监管模式。我市现行《办法》实行</w:t>
      </w:r>
      <w:r>
        <w:rPr>
          <w:rFonts w:hint="eastAsia" w:cs="Times New Roman"/>
          <w:sz w:val="32"/>
          <w:szCs w:val="32"/>
          <w:lang w:eastAsia="zh-CN"/>
        </w:rPr>
        <w:t>“</w:t>
      </w:r>
      <w:r>
        <w:rPr>
          <w:rFonts w:hint="default" w:ascii="Times New Roman" w:hAnsi="Times New Roman" w:eastAsia="方正仿宋_GBK" w:cs="Times New Roman"/>
          <w:sz w:val="32"/>
          <w:szCs w:val="32"/>
        </w:rPr>
        <w:t>边进边出</w:t>
      </w:r>
      <w:r>
        <w:rPr>
          <w:rFonts w:hint="eastAsia" w:cs="Times New Roman"/>
          <w:sz w:val="32"/>
          <w:szCs w:val="32"/>
          <w:lang w:eastAsia="zh-CN"/>
        </w:rPr>
        <w:t>”</w:t>
      </w:r>
      <w:r>
        <w:rPr>
          <w:rFonts w:hint="default" w:ascii="Times New Roman" w:hAnsi="Times New Roman" w:eastAsia="方正仿宋_GBK" w:cs="Times New Roman"/>
          <w:sz w:val="32"/>
          <w:szCs w:val="32"/>
        </w:rPr>
        <w:t>、按比例监管模式，与国家政策</w:t>
      </w:r>
      <w:r>
        <w:rPr>
          <w:rFonts w:hint="eastAsia" w:cs="Times New Roman"/>
          <w:sz w:val="32"/>
          <w:szCs w:val="32"/>
          <w:lang w:eastAsia="zh-CN"/>
        </w:rPr>
        <w:t>“</w:t>
      </w:r>
      <w:r>
        <w:rPr>
          <w:rFonts w:hint="default" w:ascii="Times New Roman" w:hAnsi="Times New Roman" w:eastAsia="方正仿宋_GBK" w:cs="Times New Roman"/>
          <w:sz w:val="32"/>
          <w:szCs w:val="32"/>
        </w:rPr>
        <w:t>先进后出</w:t>
      </w:r>
      <w:r>
        <w:rPr>
          <w:rFonts w:hint="eastAsia" w:cs="Times New Roman"/>
          <w:sz w:val="32"/>
          <w:szCs w:val="32"/>
          <w:lang w:eastAsia="zh-CN"/>
        </w:rPr>
        <w:t>”</w:t>
      </w:r>
      <w:r>
        <w:rPr>
          <w:rFonts w:hint="default" w:ascii="Times New Roman" w:hAnsi="Times New Roman" w:eastAsia="方正仿宋_GBK" w:cs="Times New Roman"/>
          <w:sz w:val="32"/>
          <w:szCs w:val="32"/>
        </w:rPr>
        <w:t>要求不一致。按照下位法服从上位法原则，必须对《办法》进行修改，确保与国家政策同频同步、无缝衔接。</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（二）适应监管职权下放、健全监管体制的需要</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市人民政府令第155号，我市已将预售资金监管职权委托至各区（县）、开发区管委会行使，原市级统一监管体制已发生重大调整。现行《办法》关于监管主体、职责划分、实施机制的条款与职权下放后的分级监管体制不匹配，亟需通过修法明确市与各区（县）、开发区管委会两级住建部门职责边界、委托管理、业务流程等内容，构建权责清晰、运转高效、风险可控的分级监管体系。</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（三）解决突出问题、防范化解风险的需要</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一是</w:t>
      </w:r>
      <w:r>
        <w:rPr>
          <w:rFonts w:hint="default" w:ascii="Times New Roman" w:hAnsi="Times New Roman" w:eastAsia="方正仿宋_GBK" w:cs="Times New Roman"/>
          <w:sz w:val="32"/>
          <w:szCs w:val="32"/>
        </w:rPr>
        <w:t>重点监管资金保障不足。我市原按比例监管，重点监管资金比例偏低，存在资金过度释放问题，部分项目监管资金难以覆盖竣工交付需求。</w:t>
      </w:r>
      <w:r>
        <w:rPr>
          <w:rFonts w:hint="default" w:ascii="方正楷体_GBK" w:hAnsi="方正楷体_GBK" w:eastAsia="方正楷体_GBK" w:cs="方正楷体_GBK"/>
          <w:sz w:val="32"/>
          <w:szCs w:val="32"/>
        </w:rPr>
        <w:t>二是</w:t>
      </w:r>
      <w:r>
        <w:rPr>
          <w:rFonts w:hint="default" w:ascii="Times New Roman" w:hAnsi="Times New Roman" w:eastAsia="方正仿宋_GBK" w:cs="Times New Roman"/>
          <w:sz w:val="32"/>
          <w:szCs w:val="32"/>
        </w:rPr>
        <w:t>逾期交付风险上升。因资金监管不足，部分项目出现停工、延期交付，引发信访投诉和舆情风险，涉稳压力加大。</w:t>
      </w:r>
      <w:r>
        <w:rPr>
          <w:rFonts w:hint="default" w:ascii="方正楷体_GBK" w:hAnsi="方正楷体_GBK" w:eastAsia="方正楷体_GBK" w:cs="方正楷体_GBK"/>
          <w:sz w:val="32"/>
          <w:szCs w:val="32"/>
        </w:rPr>
        <w:t>三是</w:t>
      </w:r>
      <w:r>
        <w:rPr>
          <w:rFonts w:hint="default" w:ascii="Times New Roman" w:hAnsi="Times New Roman" w:eastAsia="方正仿宋_GBK" w:cs="Times New Roman"/>
          <w:sz w:val="32"/>
          <w:szCs w:val="32"/>
        </w:rPr>
        <w:t>制度供给存在短板。现行《办法》未明确保函置换、账户解除、违规情形细化等关键条款，监管手段不足、刚性约束不强。亟需通过修订补齐制度短板，守住</w:t>
      </w:r>
      <w:r>
        <w:rPr>
          <w:rFonts w:hint="eastAsia" w:cs="Times New Roman"/>
          <w:sz w:val="32"/>
          <w:szCs w:val="32"/>
          <w:lang w:eastAsia="zh-CN"/>
        </w:rPr>
        <w:t>“</w:t>
      </w:r>
      <w:r>
        <w:rPr>
          <w:rFonts w:hint="default" w:ascii="Times New Roman" w:hAnsi="Times New Roman" w:eastAsia="方正仿宋_GBK" w:cs="Times New Roman"/>
          <w:sz w:val="32"/>
          <w:szCs w:val="32"/>
        </w:rPr>
        <w:t>保交楼、保民生、保稳定</w:t>
      </w:r>
      <w:r>
        <w:rPr>
          <w:rFonts w:hint="eastAsia" w:cs="Times New Roman"/>
          <w:sz w:val="32"/>
          <w:szCs w:val="32"/>
          <w:lang w:eastAsia="zh-CN"/>
        </w:rPr>
        <w:t>”</w:t>
      </w:r>
      <w:r>
        <w:rPr>
          <w:rFonts w:hint="default" w:ascii="Times New Roman" w:hAnsi="Times New Roman" w:eastAsia="方正仿宋_GBK" w:cs="Times New Roman"/>
          <w:sz w:val="32"/>
          <w:szCs w:val="32"/>
        </w:rPr>
        <w:t>底线。</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（四）优化营商环境、支持企业合理融资的需要</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《中国银保监会办公厅 住房和城乡建设部办公厅 中国人民银行办公厅关于商业银行出具保函置换预售监管资金有关工作的通知》（银保监办发〔2022〕104号）允许以银行保函等额替换重点监管资金，有利于盘活沉淀资金、减轻企业资金压力。我市现行《办法》未设置保函置换条款，不利于企业盘活资产、降低财务成本。通过修订增加保函、额度动态调整等市场化便利化措施，既能守住安全底线，又能提升资金使用效率，促进房地产市场良性循环和平稳健康发展。</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二、修改的法律政策依据</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1.《中华人民共和国城市房地产管理法》</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2.《城市商品房预售管理办法》（建设部令第95号）</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3.《住房和城乡建设部 人民银行 银保监会关于规范商品房预售资金监管的意见》（建房〔2022〕16号）</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4.《最高人民法院 住房和城乡建设部 中国人民银行关于规范人民法院保全执行措施确保商品房预售资金用于项目建设的通知》（法〔2022〕12号）</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5.《中国银保监会办公厅 住房和城乡建设部办公厅 中国人民银行办公厅关于商业银行出具保函置换预售监管资金有关工作的通知》（银保监办发〔2022〕104号）</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6.《乌鲁木齐市人民政府关于向区县和国家级开发区赋予一批行政职权事项的决定》（市人民政府令第155号）</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在修改过程中，我市对预售资金监管现状、问题、成因开展专题调研，借鉴成都、合肥、武汉、厦门、烟台等城市成熟经验，结合职权下放实际，形成本</w:t>
      </w:r>
      <w:r>
        <w:rPr>
          <w:rFonts w:hint="eastAsia" w:cs="Times New Roman"/>
          <w:sz w:val="32"/>
          <w:szCs w:val="32"/>
          <w:lang w:eastAsia="zh-CN"/>
        </w:rPr>
        <w:t>征求意见稿</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三、修改的总体思路</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坚持以人民为中心，坚守保交楼、保民生、保稳定底线，对标国家16号文要求，衔接市政府155号令职权下放安排，实行监管额度</w:t>
      </w:r>
      <w:r>
        <w:rPr>
          <w:rFonts w:hint="eastAsia" w:ascii="Times New Roman" w:hAnsi="Times New Roman" w:eastAsia="方正仿宋_GBK" w:cs="Times New Roman"/>
          <w:sz w:val="32"/>
          <w:szCs w:val="32"/>
          <w:lang w:val="en-US" w:eastAsia="zh-CN"/>
        </w:rPr>
        <w:t>内资金重点管控</w:t>
      </w:r>
      <w:r>
        <w:rPr>
          <w:rFonts w:hint="default" w:ascii="Times New Roman" w:hAnsi="Times New Roman" w:eastAsia="方正仿宋_GBK" w:cs="Times New Roman"/>
          <w:sz w:val="32"/>
          <w:szCs w:val="32"/>
        </w:rPr>
        <w:t>、按工程节点拨付、权责分级负责，构建更规范、更高效、更安全的监管体系，实现</w:t>
      </w:r>
      <w:r>
        <w:rPr>
          <w:rFonts w:hint="eastAsia" w:cs="Times New Roman"/>
          <w:sz w:val="32"/>
          <w:szCs w:val="32"/>
          <w:lang w:eastAsia="zh-CN"/>
        </w:rPr>
        <w:t>“</w:t>
      </w:r>
      <w:r>
        <w:rPr>
          <w:rFonts w:hint="default" w:ascii="Times New Roman" w:hAnsi="Times New Roman" w:eastAsia="方正仿宋_GBK" w:cs="Times New Roman"/>
          <w:sz w:val="32"/>
          <w:szCs w:val="32"/>
        </w:rPr>
        <w:t>监管到位、风险可控、服务高效、企业便利</w:t>
      </w:r>
      <w:r>
        <w:rPr>
          <w:rFonts w:hint="eastAsia" w:cs="Times New Roman"/>
          <w:sz w:val="32"/>
          <w:szCs w:val="32"/>
          <w:lang w:eastAsia="zh-CN"/>
        </w:rPr>
        <w:t>”</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四、主要修改内容</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w:t>
      </w:r>
      <w:r>
        <w:rPr>
          <w:rFonts w:hint="eastAsia" w:cs="Times New Roman"/>
          <w:sz w:val="32"/>
          <w:szCs w:val="32"/>
          <w:lang w:eastAsia="zh-CN"/>
        </w:rPr>
        <w:t>修订稿</w:t>
      </w:r>
      <w:r>
        <w:rPr>
          <w:rFonts w:hint="default" w:ascii="Times New Roman" w:hAnsi="Times New Roman" w:eastAsia="方正仿宋_GBK" w:cs="Times New Roman"/>
          <w:sz w:val="32"/>
          <w:szCs w:val="32"/>
        </w:rPr>
        <w:t>共二十</w:t>
      </w: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rPr>
        <w:t>条，在原二十三条基础上修订、完善、新增条款，重点修改内容如下：</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（一）完善监管职责体系，适应职权下放</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明确市住房和城乡建设局为主管部门，负责政策制定、细则完善、统筹指导、监督考核。明确各区（县）、开发区管委会住建部门依据委托实施属地日常监管，负责账户管理、协议签订、资金审核、节点核验、风险处置。明确人民银行、金融监管部门按职责指导监管银行、监督合规运行，构建各司其职、协同联动的监管格局。</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（二）确立全额全程监管，调整监管模式</w:t>
      </w:r>
    </w:p>
    <w:p>
      <w:pPr>
        <w:keepNext w:val="0"/>
        <w:keepLines w:val="0"/>
        <w:pageBreakBefore w:val="0"/>
        <w:widowControl/>
        <w:kinsoku/>
        <w:wordWrap/>
        <w:overflowPunct/>
        <w:topLinePunct w:val="0"/>
        <w:autoSpaceDE/>
        <w:autoSpaceDN/>
        <w:bidi w:val="0"/>
        <w:adjustRightInd/>
        <w:snapToGrid/>
        <w:spacing w:line="578" w:lineRule="exact"/>
        <w:ind w:left="0"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将原</w:t>
      </w:r>
      <w:r>
        <w:rPr>
          <w:rFonts w:hint="eastAsia" w:cs="Times New Roman"/>
          <w:sz w:val="32"/>
          <w:szCs w:val="32"/>
          <w:lang w:eastAsia="zh-CN"/>
        </w:rPr>
        <w:t>“</w:t>
      </w:r>
      <w:r>
        <w:rPr>
          <w:rFonts w:hint="default" w:ascii="Times New Roman" w:hAnsi="Times New Roman" w:eastAsia="方正仿宋_GBK" w:cs="Times New Roman"/>
          <w:sz w:val="32"/>
          <w:szCs w:val="32"/>
        </w:rPr>
        <w:t>边进边出</w:t>
      </w:r>
      <w:r>
        <w:rPr>
          <w:rFonts w:hint="eastAsia" w:cs="Times New Roman"/>
          <w:sz w:val="32"/>
          <w:szCs w:val="32"/>
          <w:lang w:eastAsia="zh-CN"/>
        </w:rPr>
        <w:t>”</w:t>
      </w:r>
      <w:r>
        <w:rPr>
          <w:rFonts w:hint="default" w:ascii="Times New Roman" w:hAnsi="Times New Roman" w:eastAsia="方正仿宋_GBK" w:cs="Times New Roman"/>
          <w:sz w:val="32"/>
          <w:szCs w:val="32"/>
        </w:rPr>
        <w:t>调整为</w:t>
      </w:r>
      <w:r>
        <w:rPr>
          <w:rFonts w:hint="eastAsia" w:cs="Times New Roman"/>
          <w:sz w:val="32"/>
          <w:szCs w:val="32"/>
          <w:lang w:eastAsia="zh-CN"/>
        </w:rPr>
        <w:t>“</w:t>
      </w:r>
      <w:r>
        <w:rPr>
          <w:rFonts w:hint="default" w:ascii="Times New Roman" w:hAnsi="Times New Roman" w:eastAsia="方正仿宋_GBK" w:cs="Times New Roman"/>
          <w:sz w:val="32"/>
          <w:szCs w:val="32"/>
        </w:rPr>
        <w:t>先进后出</w:t>
      </w:r>
      <w:r>
        <w:rPr>
          <w:rFonts w:hint="eastAsia" w:cs="Times New Roman"/>
          <w:sz w:val="32"/>
          <w:szCs w:val="32"/>
          <w:lang w:eastAsia="zh-CN"/>
        </w:rPr>
        <w:t>”</w:t>
      </w:r>
      <w:r>
        <w:rPr>
          <w:rFonts w:hint="default" w:ascii="Times New Roman" w:hAnsi="Times New Roman" w:eastAsia="方正仿宋_GBK" w:cs="Times New Roman"/>
          <w:sz w:val="32"/>
          <w:szCs w:val="32"/>
        </w:rPr>
        <w:t>，实行全额入账、专户专存、额度管理。明确预售资金分为额度内资金和额度外监管资金。额度内资金为确保项目竣工交付所需额度，</w:t>
      </w:r>
      <w:r>
        <w:rPr>
          <w:rFonts w:hint="eastAsia" w:ascii="Times New Roman" w:hAnsi="Times New Roman" w:eastAsia="方正仿宋_GBK"/>
          <w:sz w:val="32"/>
          <w:szCs w:val="32"/>
        </w:rPr>
        <w:t>根据商品房项目建设工程造价、施工合同金额以及项目交付使用条件等因素确定</w:t>
      </w:r>
      <w:r>
        <w:rPr>
          <w:rFonts w:hint="default" w:ascii="Times New Roman" w:hAnsi="Times New Roman" w:eastAsia="方正仿宋_GBK" w:cs="Times New Roman"/>
          <w:sz w:val="32"/>
          <w:szCs w:val="32"/>
        </w:rPr>
        <w:t>，</w:t>
      </w:r>
      <w:r>
        <w:rPr>
          <w:rFonts w:ascii="方正仿宋_GBK" w:hAnsi="方正仿宋_GBK" w:eastAsia="方正仿宋_GBK" w:cs="方正仿宋_GBK"/>
          <w:kern w:val="0"/>
          <w:sz w:val="31"/>
          <w:szCs w:val="31"/>
          <w:lang w:bidi="ar"/>
        </w:rPr>
        <w:t>专款专用，</w:t>
      </w:r>
      <w:r>
        <w:rPr>
          <w:rFonts w:hint="eastAsia" w:ascii="Times New Roman" w:hAnsi="Times New Roman" w:eastAsia="方正仿宋_GBK" w:cs="Times New Roman"/>
          <w:sz w:val="32"/>
          <w:szCs w:val="32"/>
        </w:rPr>
        <w:t>必须用于有关的工程建设，包括项目建设必须的建筑材料、设备和施工进度款等相关支出。</w:t>
      </w:r>
      <w:r>
        <w:rPr>
          <w:rFonts w:hint="default" w:ascii="Times New Roman" w:hAnsi="Times New Roman" w:eastAsia="方正仿宋_GBK" w:cs="Times New Roman"/>
          <w:sz w:val="32"/>
          <w:szCs w:val="32"/>
        </w:rPr>
        <w:t>额度内资金在满足监管额度后，可由企业依规提取使用，实现安全与效率统一。</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val="en-US" w:eastAsia="zh-CN"/>
        </w:rPr>
        <w:t>规范</w:t>
      </w:r>
      <w:r>
        <w:rPr>
          <w:rFonts w:hint="default" w:ascii="方正楷体_GBK" w:hAnsi="方正楷体_GBK" w:eastAsia="方正楷体_GBK" w:cs="方正楷体_GBK"/>
          <w:sz w:val="32"/>
          <w:szCs w:val="32"/>
        </w:rPr>
        <w:t>监管账户管理，强化闭环运行</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一是</w:t>
      </w:r>
      <w:r>
        <w:rPr>
          <w:rFonts w:hint="default" w:ascii="Times New Roman" w:hAnsi="Times New Roman" w:eastAsia="方正仿宋_GBK" w:cs="Times New Roman"/>
          <w:sz w:val="32"/>
          <w:szCs w:val="32"/>
        </w:rPr>
        <w:t>严格执行</w:t>
      </w:r>
      <w:r>
        <w:rPr>
          <w:rFonts w:hint="eastAsia" w:ascii="Times New Roman" w:hAnsi="Times New Roman" w:eastAsia="方正仿宋_GBK"/>
          <w:sz w:val="32"/>
          <w:szCs w:val="32"/>
        </w:rPr>
        <w:t>一次</w:t>
      </w:r>
      <w:r>
        <w:rPr>
          <w:rFonts w:hint="eastAsia" w:ascii="Times New Roman" w:hAnsi="Times New Roman" w:eastAsia="方正仿宋_GBK"/>
          <w:sz w:val="32"/>
          <w:szCs w:val="32"/>
          <w:shd w:val="clear" w:color="auto" w:fill="FFFFFF"/>
        </w:rPr>
        <w:t>预售许可对应一个监管账户的原则，</w:t>
      </w:r>
      <w:r>
        <w:rPr>
          <w:rFonts w:hint="default" w:ascii="Times New Roman" w:hAnsi="Times New Roman" w:eastAsia="方正仿宋_GBK" w:cs="Times New Roman"/>
          <w:sz w:val="32"/>
          <w:szCs w:val="32"/>
        </w:rPr>
        <w:t>全面推行三方监管协议。监管账户信息在预售许可证、商品房买卖合同、销售现场</w:t>
      </w:r>
      <w:r>
        <w:rPr>
          <w:rFonts w:hint="eastAsia" w:ascii="Times New Roman" w:hAnsi="Times New Roman" w:eastAsia="方正仿宋_GBK" w:cs="Times New Roman"/>
          <w:sz w:val="32"/>
          <w:szCs w:val="32"/>
          <w:lang w:val="en-US" w:eastAsia="zh-CN"/>
        </w:rPr>
        <w:t>等</w:t>
      </w:r>
      <w:r>
        <w:rPr>
          <w:rFonts w:hint="default" w:ascii="Times New Roman" w:hAnsi="Times New Roman" w:eastAsia="方正仿宋_GBK" w:cs="Times New Roman"/>
          <w:sz w:val="32"/>
          <w:szCs w:val="32"/>
        </w:rPr>
        <w:t>公示。</w:t>
      </w:r>
      <w:r>
        <w:rPr>
          <w:rFonts w:hint="eastAsia" w:ascii="Times New Roman" w:hAnsi="Times New Roman" w:eastAsia="方正仿宋_GBK" w:cs="Times New Roman"/>
          <w:sz w:val="32"/>
          <w:szCs w:val="32"/>
          <w:lang w:val="en-US" w:eastAsia="zh-CN"/>
        </w:rPr>
        <w:t>二是</w:t>
      </w:r>
      <w:r>
        <w:rPr>
          <w:rFonts w:hint="default" w:ascii="Times New Roman" w:hAnsi="Times New Roman" w:eastAsia="方正仿宋_GBK" w:cs="Times New Roman"/>
          <w:sz w:val="32"/>
          <w:szCs w:val="32"/>
        </w:rPr>
        <w:t>新增</w:t>
      </w:r>
      <w:r>
        <w:rPr>
          <w:rFonts w:hint="eastAsia" w:ascii="Times New Roman" w:hAnsi="Times New Roman" w:eastAsia="方正仿宋_GBK" w:cs="Times New Roman"/>
          <w:sz w:val="32"/>
          <w:szCs w:val="32"/>
        </w:rPr>
        <w:t>监管期限</w:t>
      </w:r>
      <w:r>
        <w:rPr>
          <w:rFonts w:hint="default" w:ascii="Times New Roman" w:hAnsi="Times New Roman" w:eastAsia="方正仿宋_GBK" w:cs="Times New Roman"/>
          <w:sz w:val="32"/>
          <w:szCs w:val="32"/>
        </w:rPr>
        <w:t>条款：</w:t>
      </w:r>
      <w:r>
        <w:rPr>
          <w:rFonts w:ascii="方正仿宋_GBK" w:hAnsi="方正仿宋_GBK" w:eastAsia="方正仿宋_GBK" w:cs="方正仿宋_GBK"/>
          <w:kern w:val="0"/>
          <w:sz w:val="31"/>
          <w:szCs w:val="31"/>
          <w:lang w:bidi="ar"/>
        </w:rPr>
        <w:t>监管期限自核发《商品房预售许可证》开始，至不动</w:t>
      </w:r>
      <w:r>
        <w:rPr>
          <w:rFonts w:hint="eastAsia" w:ascii="方正仿宋_GBK" w:hAnsi="方正仿宋_GBK" w:eastAsia="方正仿宋_GBK" w:cs="方正仿宋_GBK"/>
          <w:kern w:val="0"/>
          <w:sz w:val="31"/>
          <w:szCs w:val="31"/>
          <w:lang w:bidi="ar"/>
        </w:rPr>
        <w:t>产首次登记</w:t>
      </w:r>
      <w:r>
        <w:rPr>
          <w:rFonts w:hint="eastAsia" w:ascii="方正仿宋_GBK" w:hAnsi="方正仿宋_GBK" w:eastAsia="方正仿宋_GBK" w:cs="方正仿宋_GBK"/>
          <w:kern w:val="0"/>
          <w:sz w:val="31"/>
          <w:szCs w:val="31"/>
          <w:lang w:val="en-US" w:eastAsia="zh-CN" w:bidi="ar"/>
        </w:rPr>
        <w:t>完成时</w:t>
      </w:r>
      <w:r>
        <w:rPr>
          <w:rFonts w:hint="eastAsia" w:ascii="方正仿宋_GBK" w:hAnsi="方正仿宋_GBK" w:eastAsia="方正仿宋_GBK" w:cs="方正仿宋_GBK"/>
          <w:kern w:val="0"/>
          <w:sz w:val="31"/>
          <w:szCs w:val="31"/>
          <w:lang w:bidi="ar"/>
        </w:rPr>
        <w:t>终止。</w:t>
      </w:r>
      <w:r>
        <w:rPr>
          <w:rFonts w:hint="eastAsia" w:ascii="方正仿宋_GBK" w:hAnsi="方正仿宋_GBK" w:eastAsia="方正仿宋_GBK" w:cs="方正仿宋_GBK"/>
          <w:kern w:val="0"/>
          <w:sz w:val="31"/>
          <w:szCs w:val="31"/>
          <w:lang w:val="en-US" w:eastAsia="zh-CN" w:bidi="ar"/>
        </w:rPr>
        <w:t>填补了原办法未明确监管起止时间的空白，有效</w:t>
      </w:r>
      <w:r>
        <w:rPr>
          <w:rFonts w:hint="default" w:ascii="Times New Roman" w:hAnsi="Times New Roman" w:eastAsia="方正仿宋_GBK" w:cs="Times New Roman"/>
          <w:sz w:val="32"/>
          <w:szCs w:val="32"/>
        </w:rPr>
        <w:t>堵塞</w:t>
      </w:r>
      <w:r>
        <w:rPr>
          <w:rFonts w:hint="eastAsia" w:ascii="Times New Roman" w:hAnsi="Times New Roman" w:eastAsia="方正仿宋_GBK" w:cs="Times New Roman"/>
          <w:sz w:val="32"/>
          <w:szCs w:val="32"/>
          <w:lang w:val="en-US" w:eastAsia="zh-CN"/>
        </w:rPr>
        <w:t>了因监管起止节点不清晰、后期监管缺失形成的管理漏洞。三是合规衔接</w:t>
      </w:r>
      <w:r>
        <w:rPr>
          <w:rFonts w:hint="default" w:ascii="Times New Roman" w:hAnsi="Times New Roman" w:eastAsia="方正仿宋_GBK" w:cs="Times New Roman"/>
          <w:sz w:val="32"/>
          <w:szCs w:val="32"/>
        </w:rPr>
        <w:t>法〔2022〕12号文件精神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明确监管账户司法冻结、扣划规则，监管额度内资金优先保障项目建设，竣工交付前原则上不得扣划，</w:t>
      </w:r>
      <w:r>
        <w:rPr>
          <w:rFonts w:hint="eastAsia" w:ascii="Times New Roman" w:hAnsi="Times New Roman" w:eastAsia="方正仿宋_GBK" w:cs="Times New Roman"/>
          <w:sz w:val="32"/>
          <w:szCs w:val="32"/>
          <w:lang w:val="en-US" w:eastAsia="zh-CN"/>
        </w:rPr>
        <w:t>确保专款专用，项目建设不受影响。通过上述完善，实现资金全流程、全环节、全周期闭环管理</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（四）新增保函置换规定，盘活企业资金</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银保监办发〔2022〕104号，明确开发企业可凭商业银行出具的保函等额替换重点监管资金，置换金额最高不超过监管额度的30%，规范置换条件、程序、额度、期限与撤销机制，在保障项目建设前提下，有效盘活资金、降低财务成本。</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（五）完善拨付使用规则，按节点精准管控</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sz w:val="32"/>
          <w:szCs w:val="32"/>
          <w:shd w:val="clear" w:color="auto" w:fill="FFFFFF"/>
        </w:rPr>
        <w:t>根据工程建设进度节点支取额度内资金</w:t>
      </w:r>
      <w:r>
        <w:rPr>
          <w:rFonts w:hint="default" w:ascii="Times New Roman" w:hAnsi="Times New Roman" w:eastAsia="方正仿宋_GBK" w:cs="Times New Roman"/>
          <w:sz w:val="32"/>
          <w:szCs w:val="32"/>
        </w:rPr>
        <w:t>，实行分级审核、线上办理、限时办结，提升监管效率。新增应急支取机制，项目建设受阻影响交付的，经区（县）人民政府、开发区管委会集体研究同意可应急支取资金用于工程建设。对风险项目实施预警、暂停拨付、联动处置，确保资金始终用于本项目建设。</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（六）细化违规情形，强化刚性约束</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完善开发企业、监管银行、承办银行、按揭贷款机构四方违规责任清单，将未按规定入账、未按规定使用、提交虚假材料、变相逃避监管、抽调重点资金等行为明确列入违规情形，强化处罚与信用惩戒，提升监管震慑力。</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五、可行性论证</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1.符合上位法要求：全面对标16号文及配套文件，制度设计合法合规。</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2.符合我市实际：衔接职权下放，适配分级监管体制，可落地、可执行。</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3.风险可控：强化监管额度内资金保障，守住保交楼底线，有利于化解信访维稳压力。</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4.兼顾惠企便民：保函置换、非重点资金灵活使用，有利于减轻企业负担，促进市场平稳。</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5.具备实施基础：我市已建成监管系统，监管银行体系完善，区县（开发区）承接能力具备，可平稳过渡。</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六、结论</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综上所述，为贯彻落实国家政策、衔接职权下放、解决突出问题、防范化解风险、保障项目交付，对《办法》进行修正十分必要。</w:t>
      </w:r>
      <w:r>
        <w:rPr>
          <w:rFonts w:hint="eastAsia" w:cs="Times New Roman"/>
          <w:sz w:val="32"/>
          <w:szCs w:val="32"/>
          <w:lang w:eastAsia="zh-CN"/>
        </w:rPr>
        <w:t>修订稿</w:t>
      </w:r>
      <w:r>
        <w:rPr>
          <w:rFonts w:hint="default" w:ascii="Times New Roman" w:hAnsi="Times New Roman" w:eastAsia="方正仿宋_GBK" w:cs="Times New Roman"/>
          <w:sz w:val="32"/>
          <w:szCs w:val="32"/>
        </w:rPr>
        <w:t>符合法律法规和国家政策要求，符合我市实际，制度设计科学、权责清晰、措施可行，</w:t>
      </w:r>
      <w:r>
        <w:rPr>
          <w:rFonts w:hint="eastAsia" w:cs="Times New Roman"/>
          <w:sz w:val="32"/>
          <w:szCs w:val="32"/>
          <w:lang w:eastAsia="zh-CN"/>
        </w:rPr>
        <w:t>现公开征求意见</w:t>
      </w:r>
      <w:r>
        <w:rPr>
          <w:rFonts w:hint="default" w:ascii="Times New Roman" w:hAnsi="Times New Roman" w:eastAsia="方正仿宋_GBK" w:cs="Times New Roman"/>
          <w:sz w:val="32"/>
          <w:szCs w:val="32"/>
        </w:rPr>
        <w:t>。</w:t>
      </w:r>
    </w:p>
    <w:p>
      <w:pPr>
        <w:pStyle w:val="5"/>
        <w:keepNext w:val="0"/>
        <w:keepLines w:val="0"/>
        <w:pageBreakBefore w:val="0"/>
        <w:widowControl w:val="0"/>
        <w:kinsoku/>
        <w:wordWrap/>
        <w:overflowPunct/>
        <w:topLinePunct w:val="0"/>
        <w:autoSpaceDE/>
        <w:autoSpaceDN/>
        <w:bidi w:val="0"/>
        <w:adjustRightInd/>
        <w:snapToGrid/>
        <w:spacing w:after="0" w:line="578" w:lineRule="exact"/>
        <w:ind w:firstLine="632" w:firstLineChars="200"/>
        <w:textAlignment w:val="auto"/>
        <w:rPr>
          <w:rFonts w:hint="default"/>
          <w:lang w:val="en-US" w:eastAsia="zh-CN"/>
        </w:rPr>
      </w:pPr>
      <w:r>
        <w:rPr>
          <w:rFonts w:hint="default" w:ascii="Times New Roman" w:hAnsi="Times New Roman" w:eastAsia="方正仿宋_GBK" w:cs="Times New Roman"/>
          <w:sz w:val="32"/>
          <w:szCs w:val="32"/>
        </w:rPr>
        <w:t>特此说明。</w:t>
      </w:r>
    </w:p>
    <w:p>
      <w:pPr>
        <w:keepNext w:val="0"/>
        <w:keepLines w:val="0"/>
        <w:pageBreakBefore w:val="0"/>
        <w:tabs>
          <w:tab w:val="left" w:pos="930"/>
        </w:tabs>
        <w:kinsoku/>
        <w:wordWrap/>
        <w:overflowPunct/>
        <w:topLinePunct w:val="0"/>
        <w:autoSpaceDE/>
        <w:autoSpaceDN/>
        <w:bidi w:val="0"/>
        <w:spacing w:line="578" w:lineRule="exact"/>
        <w:textAlignment w:val="auto"/>
        <w:rPr>
          <w:rFonts w:eastAsia="仿宋_GB2312"/>
          <w:szCs w:val="32"/>
        </w:rPr>
      </w:pPr>
    </w:p>
    <w:p>
      <w:pPr>
        <w:keepNext w:val="0"/>
        <w:keepLines w:val="0"/>
        <w:pageBreakBefore w:val="0"/>
        <w:kinsoku/>
        <w:wordWrap/>
        <w:overflowPunct/>
        <w:topLinePunct w:val="0"/>
        <w:autoSpaceDE/>
        <w:autoSpaceDN/>
        <w:bidi w:val="0"/>
        <w:spacing w:line="578" w:lineRule="exact"/>
        <w:textAlignment w:val="auto"/>
      </w:pPr>
    </w:p>
    <w:p>
      <w:bookmarkStart w:id="0" w:name="_GoBack"/>
      <w:bookmarkEnd w:id="0"/>
    </w:p>
    <w:sectPr>
      <w:footerReference r:id="rId5" w:type="default"/>
      <w:footerReference r:id="rId6" w:type="even"/>
      <w:pgSz w:w="11906" w:h="16838"/>
      <w:pgMar w:top="2098" w:right="1474" w:bottom="1869" w:left="1588" w:header="851" w:footer="992" w:gutter="0"/>
      <w:pgNumType w:fmt="decimal"/>
      <w:cols w:space="720" w:num="1"/>
      <w:docGrid w:type="linesAndChars" w:linePitch="585"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path/>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FD427"/>
    <w:rsid w:val="38EFD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8" w:lineRule="exact"/>
      <w:jc w:val="both"/>
    </w:pPr>
    <w:rPr>
      <w:rFonts w:ascii="Times New Roman" w:hAnsi="Times New Roman" w:eastAsia="方正仿宋_GBK" w:cs="Times New Roman"/>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firstLine="600"/>
    </w:pPr>
    <w:rPr>
      <w:rFonts w:ascii="仿宋_GB2312" w:hAnsi="Times New Roman" w:cs="Times New Roman"/>
      <w:sz w:val="30"/>
      <w:szCs w:val="24"/>
    </w:rPr>
  </w:style>
  <w:style w:type="paragraph" w:customStyle="1" w:styleId="4">
    <w:name w:val="Char Char Char"/>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Body Text"/>
    <w:basedOn w:val="1"/>
    <w:next w:val="6"/>
    <w:qFormat/>
    <w:uiPriority w:val="0"/>
    <w:pPr>
      <w:spacing w:after="120" w:line="240" w:lineRule="auto"/>
    </w:pPr>
    <w:rPr>
      <w:rFonts w:ascii="Times New Roman" w:hAnsi="Times New Roman" w:eastAsia="仿宋_GB2312" w:cs="Times New Roman"/>
      <w:szCs w:val="32"/>
    </w:rPr>
  </w:style>
  <w:style w:type="paragraph" w:styleId="6">
    <w:name w:val="Body Text First Indent"/>
    <w:basedOn w:val="5"/>
    <w:qFormat/>
    <w:uiPriority w:val="0"/>
    <w:pPr>
      <w:spacing w:after="120"/>
      <w:ind w:firstLine="420" w:firstLineChars="100"/>
    </w:pPr>
    <w:rPr>
      <w:sz w:val="30"/>
    </w:rPr>
  </w:style>
  <w:style w:type="paragraph" w:styleId="7">
    <w:name w:val="footer"/>
    <w:basedOn w:val="1"/>
    <w:qFormat/>
    <w:uiPriority w:val="0"/>
    <w:pPr>
      <w:tabs>
        <w:tab w:val="center" w:pos="4153"/>
        <w:tab w:val="right" w:pos="8306"/>
      </w:tabs>
      <w:snapToGrid w:val="0"/>
      <w:jc w:val="left"/>
    </w:pPr>
    <w:rPr>
      <w:sz w:val="18"/>
      <w:szCs w:val="18"/>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2026-07-15T16:26:00Z</dcterms:created>
  <dc:creator>user</dc:creator>
  <cp:lastModifiedBy>user</cp:lastModifiedBy>
  <dcterms:modified xsi:type="dcterms:W3CDTF">2026-07-15T16:27:15Z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B89CC2D2BB4574D64044576A6969AEB4_41</vt:lpwstr>
  </property>
</Properties>
</file>