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 New Roman"/>
          <w:lang w:val="en-US" w:eastAsia="zh-CN"/>
        </w:rPr>
      </w:pPr>
      <w:r>
        <w:rPr>
          <w:rFonts w:hint="default" w:ascii="Times New Roman" w:hAnsi="Times New Roman" w:eastAsia="方正黑体_GBK" w:cs="Times New Roman"/>
        </w:rPr>
        <w:t>附件</w:t>
      </w:r>
      <w:r>
        <w:rPr>
          <w:rFonts w:hint="default" w:ascii="Times New Roman" w:hAnsi="Times New Roman" w:eastAsia="方正黑体_GBK" w:cs="Times New Roman"/>
          <w:lang w:val="en-US" w:eastAsia="zh-CN"/>
        </w:rPr>
        <w:t>1</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乌鲁木齐市商品房预售资金监管办法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w:t>
      </w:r>
      <w:r>
        <w:rPr>
          <w:rFonts w:hint="eastAsia" w:ascii="方正小标宋_GBK" w:hAnsi="方正小标宋_GBK" w:eastAsia="方正小标宋_GBK" w:cs="方正小标宋_GBK"/>
          <w:sz w:val="44"/>
          <w:szCs w:val="44"/>
          <w:lang w:val="en-US" w:eastAsia="zh-CN"/>
        </w:rPr>
        <w:t>征求意见</w:t>
      </w:r>
      <w:r>
        <w:rPr>
          <w:rFonts w:hint="eastAsia" w:ascii="方正小标宋_GBK" w:hAnsi="方正小标宋_GBK" w:eastAsia="方正小标宋_GBK" w:cs="方正小标宋_GBK"/>
          <w:sz w:val="44"/>
          <w:szCs w:val="44"/>
        </w:rPr>
        <w:t>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rPr>
      </w:pPr>
      <w:r>
        <w:rPr>
          <w:rFonts w:hint="eastAsia" w:ascii="方正黑体_GBK" w:hAnsi="方正黑体_GBK" w:eastAsia="方正黑体_GBK" w:cs="方正黑体_GBK"/>
        </w:rPr>
        <w:t>第一章 总则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ascii="方正楷体_GBK" w:hAnsi="方正楷体_GBK" w:eastAsia="方正楷体_GBK" w:cs="方正楷体_GBK"/>
        </w:rPr>
        <w:t>第一条（目的依据）</w:t>
      </w:r>
      <w:r>
        <w:t>为加强商品房预售资金管理，维护预售商品房交易双方的合法权益，根据《中华人民共和国城市房地产管理法》等有关法律法规，结合本市实际，制定本办法。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ascii="方正楷体_GBK" w:hAnsi="方正楷体_GBK" w:eastAsia="方正楷体_GBK" w:cs="方正楷体_GBK"/>
        </w:rPr>
        <w:t>第二条（适用范围）</w:t>
      </w:r>
      <w:r>
        <w:t>本市行政区域内商品房预售资金的收存、支出、使用及其监督管理适用本办法。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rPr>
        <w:t>保障性住房、拆迁安置住房、购房人无需向开发企业支付房价款的项目或房源不纳入监管范围。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ascii="方正楷体_GBK" w:hAnsi="方正楷体_GBK" w:eastAsia="方正楷体_GBK" w:cs="方正楷体_GBK"/>
        </w:rPr>
        <w:t>第三条（概念定义）</w:t>
      </w:r>
      <w:r>
        <w:t>本办法所称商品房预售资金，是指房地产开发企业（以下简称开发企业）将已取得《商品房预售许可证》的商品房出售给</w:t>
      </w:r>
      <w:r>
        <w:rPr>
          <w:rFonts w:hint="eastAsia"/>
          <w:lang w:val="en-US" w:eastAsia="zh-CN"/>
        </w:rPr>
        <w:t>购房</w:t>
      </w:r>
      <w:r>
        <w:t>人，</w:t>
      </w:r>
      <w:r>
        <w:rPr>
          <w:rFonts w:hint="eastAsia"/>
          <w:lang w:val="en-US" w:eastAsia="zh-CN"/>
        </w:rPr>
        <w:t>购房人</w:t>
      </w:r>
      <w:r>
        <w:t>所支付的全部购房款。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rPr>
        <w:t>预售资金应当全部直接存入预售资金监管账户（以下简称监管账户）。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ascii="方正楷体_GBK" w:hAnsi="方正楷体_GBK" w:eastAsia="方正楷体_GBK" w:cs="方正楷体_GBK"/>
        </w:rPr>
        <w:t>第四条（监管原则）</w:t>
      </w:r>
      <w:r>
        <w:t>商品房预售资金监督管理</w:t>
      </w:r>
      <w:r>
        <w:rPr>
          <w:rFonts w:hint="eastAsia"/>
        </w:rPr>
        <w:t>，遵循属地负责、企业主责、部门协同、多方监督、专户</w:t>
      </w:r>
      <w:r>
        <w:t>专存</w:t>
      </w:r>
      <w:r>
        <w:rPr>
          <w:rFonts w:hint="eastAsia"/>
        </w:rPr>
        <w:t>、专款专用的原则。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ascii="方正楷体_GBK" w:hAnsi="方正楷体_GBK" w:eastAsia="方正楷体_GBK" w:cs="方正楷体_GBK"/>
        </w:rPr>
        <w:t>第五条（监管期限）</w:t>
      </w:r>
      <w:r>
        <w:t>监管期限自核发《商品房预售许可证》开始，至不动</w:t>
      </w:r>
      <w:r>
        <w:rPr>
          <w:rFonts w:hint="eastAsia"/>
        </w:rPr>
        <w:t>产首次登记</w:t>
      </w:r>
      <w:r>
        <w:rPr>
          <w:rFonts w:hint="eastAsia"/>
          <w:lang w:val="en-US" w:eastAsia="zh-CN"/>
        </w:rPr>
        <w:t>完成后</w:t>
      </w:r>
      <w:r>
        <w:rPr>
          <w:rFonts w:hint="eastAsia"/>
        </w:rPr>
        <w:t>终止。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方正楷体_GBK" w:hAnsi="方正楷体_GBK" w:eastAsia="方正楷体_GBK" w:cs="方正楷体_GBK"/>
        </w:rPr>
        <w:t>第六条（职责分工）</w:t>
      </w:r>
      <w:r>
        <w:t>市住房和城乡建设局（以下简称市住建局）负责制定商品房预售资金监督管理相关政策，建设商品房预售资金监督管理系统（以下简称监管系统），指导全市</w:t>
      </w:r>
      <w:r>
        <w:rPr>
          <w:rFonts w:hint="eastAsia"/>
        </w:rPr>
        <w:t>商品房</w:t>
      </w:r>
      <w:r>
        <w:t>预售资金监督管理工作</w:t>
      </w:r>
      <w:r>
        <w:rPr>
          <w:rFonts w:hint="eastAsia"/>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t>各区（县）人民政府、开发区管委会</w:t>
      </w:r>
      <w:r>
        <w:rPr>
          <w:rFonts w:hint="eastAsia"/>
        </w:rPr>
        <w:t>负责统筹本</w:t>
      </w:r>
      <w:r>
        <w:t>辖区内商品房预售资金监督管理</w:t>
      </w:r>
      <w:r>
        <w:rPr>
          <w:rFonts w:hint="eastAsia"/>
        </w:rPr>
        <w:t>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lang w:val="en-US" w:eastAsia="zh-CN"/>
        </w:rPr>
      </w:pPr>
      <w:r>
        <w:t>各区（县）</w:t>
      </w:r>
      <w:r>
        <w:rPr>
          <w:rFonts w:hint="eastAsia"/>
        </w:rPr>
        <w:t>、</w:t>
      </w:r>
      <w:r>
        <w:t>开发区管委会建设主管部门</w:t>
      </w:r>
      <w:r>
        <w:rPr>
          <w:rFonts w:hint="eastAsia"/>
          <w:lang w:val="en-US" w:eastAsia="zh-CN"/>
        </w:rPr>
        <w:t>系商品房预售资金监管机构（</w:t>
      </w:r>
      <w:r>
        <w:t>以下简称监管机构</w:t>
      </w:r>
      <w:r>
        <w:rPr>
          <w:rFonts w:hint="eastAsia"/>
          <w:lang w:val="en-US" w:eastAsia="zh-CN"/>
        </w:rPr>
        <w:t>），负责落实</w:t>
      </w:r>
      <w:r>
        <w:rPr>
          <w:rFonts w:hint="eastAsia"/>
        </w:rPr>
        <w:t>商品房预售资金</w:t>
      </w:r>
      <w:r>
        <w:rPr>
          <w:rFonts w:hint="eastAsia"/>
          <w:lang w:val="en-US" w:eastAsia="zh-CN"/>
        </w:rPr>
        <w:t>监管业务，受理投诉举报、纠纷调处，查处违法违规行为。</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rPr>
      </w:pPr>
      <w:r>
        <w:rPr>
          <w:rFonts w:hint="eastAsia" w:ascii="方正黑体_GBK" w:hAnsi="方正黑体_GBK" w:eastAsia="方正黑体_GBK" w:cs="方正黑体_GBK"/>
        </w:rPr>
        <w:t>第二章 一般规定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ascii="方正楷体_GBK" w:hAnsi="方正楷体_GBK" w:eastAsia="方正楷体_GBK" w:cs="方正楷体_GBK"/>
        </w:rPr>
        <w:t>第七条（公开招标）</w:t>
      </w:r>
      <w:r>
        <w:rPr>
          <w:rFonts w:hint="eastAsia"/>
        </w:rPr>
        <w:t>市住建局</w:t>
      </w:r>
      <w:r>
        <w:t>会同中国人民银行新疆维吾尔自治区分行（以下简称人民银行新疆分行）</w:t>
      </w:r>
      <w:r>
        <w:rPr>
          <w:rFonts w:hint="eastAsia"/>
        </w:rPr>
        <w:t>、</w:t>
      </w:r>
      <w:r>
        <w:t>国家金融监督管理总局新疆监管局（以下简称新疆金融监管局）</w:t>
      </w:r>
      <w:r>
        <w:rPr>
          <w:rFonts w:hint="eastAsia"/>
        </w:rPr>
        <w:t>通过公开招标方式，综合商业银行资信状况、监管能力、服务水平等因素，确定承接商品房预售资金监管业务的商业银行（以下简称监管银行），并通过市住建局门户网站予以公示。市住建局应当与监管银行签订合作协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ascii="方正楷体_GBK" w:hAnsi="方正楷体_GBK" w:eastAsia="方正楷体_GBK" w:cs="方正楷体_GBK"/>
        </w:rPr>
        <w:t>第八条（监管额度）</w:t>
      </w:r>
      <w:r>
        <w:rPr>
          <w:rFonts w:hint="eastAsia"/>
        </w:rPr>
        <w:t>监管额度是监管账户中确保预售楼栋竣工交付所需的资金额度，由市住建局根据商品房项目建设工程造价、施工合同金额以及项目交付使用条件等因素确定。</w:t>
      </w:r>
      <w:r>
        <w:t>监管账户内的商品房预售资金分</w:t>
      </w:r>
      <w:r>
        <w:rPr>
          <w:rFonts w:hint="eastAsia"/>
        </w:rPr>
        <w:t>为监管额度内资金和监管额度外资金。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rPr>
        <w:t>市住建局</w:t>
      </w:r>
      <w:r>
        <w:t>可根据市场价格变动适时调整监管额度核算标准。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ascii="方正楷体_GBK" w:hAnsi="方正楷体_GBK" w:eastAsia="方正楷体_GBK" w:cs="方正楷体_GBK"/>
        </w:rPr>
        <w:t>第九条（签订协议）</w:t>
      </w:r>
      <w:r>
        <w:rPr>
          <w:rFonts w:hint="eastAsia"/>
        </w:rPr>
        <w:t>开发企业选择一家中标的商业银行作为监管银行，按照一次预售许可对应一个监管账户的原则，由监管机构、开发企业及监管银行下属支行或分行营业部（以下简称承办银行）共同签订预售资金三方监管协议（以下简称监管协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ascii="方正楷体_GBK" w:hAnsi="方正楷体_GBK" w:eastAsia="方正楷体_GBK" w:cs="方正楷体_GBK"/>
        </w:rPr>
        <w:t>第十条（保函置换）</w:t>
      </w:r>
      <w:r>
        <w:rPr>
          <w:rFonts w:hint="eastAsia"/>
        </w:rPr>
        <w:t>监管账户内资金达到监管额度后，开发企业可使用商业银行出具的保函置换监管额度内资金，置换金额最高不超过监管额度的30%。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ascii="方正楷体_GBK" w:hAnsi="方正楷体_GBK" w:eastAsia="方正楷体_GBK" w:cs="方正楷体_GBK"/>
        </w:rPr>
        <w:t>第十</w:t>
      </w:r>
      <w:r>
        <w:rPr>
          <w:rFonts w:hint="eastAsia" w:ascii="方正楷体_GBK" w:hAnsi="方正楷体_GBK" w:eastAsia="方正楷体_GBK" w:cs="方正楷体_GBK"/>
          <w:lang w:val="en-US" w:eastAsia="zh-CN"/>
        </w:rPr>
        <w:t>一</w:t>
      </w:r>
      <w:r>
        <w:rPr>
          <w:rFonts w:hint="eastAsia" w:ascii="方正楷体_GBK" w:hAnsi="方正楷体_GBK" w:eastAsia="方正楷体_GBK" w:cs="方正楷体_GBK"/>
        </w:rPr>
        <w:t>条（信息公示）</w:t>
      </w:r>
      <w:r>
        <w:t>开发企业在取得《商品房预售许可证》后，应当将监管账户在商品房销售场所予以公示。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ascii="方正楷体_GBK" w:hAnsi="方正楷体_GBK" w:eastAsia="方正楷体_GBK" w:cs="方正楷体_GBK"/>
        </w:rPr>
        <w:t>第十</w:t>
      </w:r>
      <w:r>
        <w:rPr>
          <w:rFonts w:hint="eastAsia" w:ascii="方正楷体_GBK" w:hAnsi="方正楷体_GBK" w:eastAsia="方正楷体_GBK" w:cs="方正楷体_GBK"/>
          <w:lang w:val="en-US" w:eastAsia="zh-CN"/>
        </w:rPr>
        <w:t>二</w:t>
      </w:r>
      <w:r>
        <w:rPr>
          <w:rFonts w:hint="eastAsia" w:ascii="方正楷体_GBK" w:hAnsi="方正楷体_GBK" w:eastAsia="方正楷体_GBK" w:cs="方正楷体_GBK"/>
        </w:rPr>
        <w:t>条（资金核验）</w:t>
      </w:r>
      <w:r>
        <w:rPr>
          <w:rFonts w:hint="eastAsia"/>
        </w:rPr>
        <w:t>开发企业在办理商品房买卖合同网签备案时，房屋预售资金应当按要求</w:t>
      </w:r>
      <w:r>
        <w:rPr>
          <w:rFonts w:hint="eastAsia"/>
          <w:lang w:eastAsia="zh-CN"/>
        </w:rPr>
        <w:t>同步</w:t>
      </w:r>
      <w:r>
        <w:rPr>
          <w:rFonts w:hint="eastAsia"/>
        </w:rPr>
        <w:t>存入监管账户，入账金额应当达到个人住房或商业用房贷款最低首付比例。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ascii="方正楷体_GBK" w:hAnsi="方正楷体_GBK" w:eastAsia="方正楷体_GBK" w:cs="方正楷体_GBK"/>
        </w:rPr>
        <w:t>第十</w:t>
      </w:r>
      <w:r>
        <w:rPr>
          <w:rFonts w:hint="eastAsia" w:ascii="方正楷体_GBK" w:hAnsi="方正楷体_GBK" w:eastAsia="方正楷体_GBK" w:cs="方正楷体_GBK"/>
          <w:lang w:val="en-US" w:eastAsia="zh-CN"/>
        </w:rPr>
        <w:t>三</w:t>
      </w:r>
      <w:r>
        <w:rPr>
          <w:rFonts w:hint="eastAsia" w:ascii="方正楷体_GBK" w:hAnsi="方正楷体_GBK" w:eastAsia="方正楷体_GBK" w:cs="方正楷体_GBK"/>
        </w:rPr>
        <w:t>条（账户管理）</w:t>
      </w:r>
      <w:r>
        <w:rPr>
          <w:rFonts w:hint="eastAsia"/>
        </w:rPr>
        <w:t>承办银行应严格按照协议做好监管账户监控，发现开发企业存在违规挪用预售资金问题的，应当停止拨付，并立即告知监管</w:t>
      </w:r>
      <w:r>
        <w:rPr>
          <w:rFonts w:hint="eastAsia"/>
          <w:lang w:val="en-US" w:eastAsia="zh-CN"/>
        </w:rPr>
        <w:t>机构</w:t>
      </w:r>
      <w:r>
        <w:rPr>
          <w:rFonts w:hint="eastAsia"/>
        </w:rPr>
        <w:t>。</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rPr>
      </w:pPr>
      <w:r>
        <w:rPr>
          <w:rFonts w:hint="eastAsia" w:ascii="方正黑体_GBK" w:hAnsi="方正黑体_GBK" w:eastAsia="方正黑体_GBK" w:cs="方正黑体_GBK"/>
        </w:rPr>
        <w:t>第三章</w:t>
      </w:r>
      <w:r>
        <w:rPr>
          <w:rFonts w:hint="eastAsia" w:ascii="方正黑体_GBK" w:hAnsi="方正黑体_GBK" w:eastAsia="方正黑体_GBK" w:cs="方正黑体_GBK"/>
          <w:lang w:val="en-US" w:eastAsia="zh-CN"/>
        </w:rPr>
        <w:t xml:space="preserve"> </w:t>
      </w:r>
      <w:r>
        <w:rPr>
          <w:rFonts w:hint="eastAsia" w:ascii="方正黑体_GBK" w:hAnsi="方正黑体_GBK" w:eastAsia="方正黑体_GBK" w:cs="方正黑体_GBK"/>
        </w:rPr>
        <w:t>预售资金的支取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ascii="方正楷体_GBK" w:hAnsi="方正楷体_GBK" w:eastAsia="方正楷体_GBK" w:cs="方正楷体_GBK"/>
        </w:rPr>
        <w:t>第十</w:t>
      </w:r>
      <w:r>
        <w:rPr>
          <w:rFonts w:hint="eastAsia" w:ascii="方正楷体_GBK" w:hAnsi="方正楷体_GBK" w:eastAsia="方正楷体_GBK" w:cs="方正楷体_GBK"/>
          <w:lang w:val="en-US" w:eastAsia="zh-CN"/>
        </w:rPr>
        <w:t>四</w:t>
      </w:r>
      <w:r>
        <w:rPr>
          <w:rFonts w:hint="eastAsia" w:ascii="方正楷体_GBK" w:hAnsi="方正楷体_GBK" w:eastAsia="方正楷体_GBK" w:cs="方正楷体_GBK"/>
        </w:rPr>
        <w:t>条（一般支取）</w:t>
      </w:r>
      <w:r>
        <w:rPr>
          <w:rFonts w:hint="eastAsia"/>
        </w:rPr>
        <w:t>监管账户内的资金超过工程建设进度节点应保留余额或监管额度的，开发企业可提出资金支取申请，包括额度内资金支取和额度外资金支取。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eastAsia="zh-CN"/>
        </w:rPr>
      </w:pPr>
      <w:r>
        <w:rPr>
          <w:rFonts w:hint="eastAsia"/>
        </w:rPr>
        <w:t>额度内资金应根据工程建设进度节点</w:t>
      </w:r>
      <w:r>
        <w:t>专款专用，</w:t>
      </w:r>
      <w:r>
        <w:rPr>
          <w:rFonts w:hint="eastAsia"/>
        </w:rPr>
        <w:t>必须用于有关的工程建设，包括项目建设必须的建筑材料、设备和施工进度款等相关支出。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rPr>
        <w:t>额度外资金可由开发企业提取使用，应当优先用于本项目建设。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ascii="方正楷体_GBK" w:hAnsi="方正楷体_GBK" w:eastAsia="方正楷体_GBK" w:cs="方正楷体_GBK"/>
        </w:rPr>
        <w:t>第十</w:t>
      </w:r>
      <w:r>
        <w:rPr>
          <w:rFonts w:hint="eastAsia" w:ascii="方正楷体_GBK" w:hAnsi="方正楷体_GBK" w:eastAsia="方正楷体_GBK" w:cs="方正楷体_GBK"/>
          <w:lang w:val="en-US" w:eastAsia="zh-CN"/>
        </w:rPr>
        <w:t>五</w:t>
      </w:r>
      <w:r>
        <w:rPr>
          <w:rFonts w:hint="eastAsia" w:ascii="方正楷体_GBK" w:hAnsi="方正楷体_GBK" w:eastAsia="方正楷体_GBK" w:cs="方正楷体_GBK"/>
        </w:rPr>
        <w:t>条（应急支取）</w:t>
      </w:r>
      <w:r>
        <w:rPr>
          <w:rFonts w:hint="eastAsia"/>
        </w:rPr>
        <w:t>开发企业项目不能顺利建设影响竣工交付，且不能满足一般支取需求，但急需资金用于工程建设，经区（县）人民政府、开发区管委会集体研究同意，可进行应急支取。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ascii="方正楷体_GBK" w:hAnsi="方正楷体_GBK" w:eastAsia="方正楷体_GBK" w:cs="方正楷体_GBK"/>
        </w:rPr>
        <w:t>第十</w:t>
      </w:r>
      <w:r>
        <w:rPr>
          <w:rFonts w:hint="eastAsia" w:ascii="方正楷体_GBK" w:hAnsi="方正楷体_GBK" w:eastAsia="方正楷体_GBK" w:cs="方正楷体_GBK"/>
          <w:lang w:val="en-US" w:eastAsia="zh-CN"/>
        </w:rPr>
        <w:t>六</w:t>
      </w:r>
      <w:r>
        <w:rPr>
          <w:rFonts w:hint="eastAsia" w:ascii="方正楷体_GBK" w:hAnsi="方正楷体_GBK" w:eastAsia="方正楷体_GBK" w:cs="方正楷体_GBK"/>
        </w:rPr>
        <w:t>条（退房退款）</w:t>
      </w:r>
      <w:r>
        <w:rPr>
          <w:rFonts w:hint="eastAsia"/>
        </w:rPr>
        <w:t>监管账户内资金原则上用于工程建设，但监管账户内资金未达到监管额度且未发生过支取的，可直接划转用于退房退款。</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rPr>
      </w:pPr>
      <w:bookmarkStart w:id="0" w:name="_GoBack"/>
      <w:r>
        <w:rPr>
          <w:rFonts w:hint="eastAsia" w:ascii="方正黑体_GBK" w:hAnsi="方正黑体_GBK" w:eastAsia="方正黑体_GBK" w:cs="方正黑体_GBK"/>
        </w:rPr>
        <w:t>第四章 监管措施</w:t>
      </w:r>
    </w:p>
    <w:bookmarkEnd w:id="0"/>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ascii="方正楷体_GBK" w:hAnsi="方正楷体_GBK" w:eastAsia="方正楷体_GBK" w:cs="方正楷体_GBK"/>
        </w:rPr>
        <w:t>第</w:t>
      </w:r>
      <w:r>
        <w:rPr>
          <w:rFonts w:hint="eastAsia" w:ascii="方正楷体_GBK" w:hAnsi="方正楷体_GBK" w:eastAsia="方正楷体_GBK" w:cs="方正楷体_GBK"/>
          <w:lang w:eastAsia="zh-CN"/>
        </w:rPr>
        <w:t>十</w:t>
      </w:r>
      <w:r>
        <w:rPr>
          <w:rFonts w:hint="eastAsia" w:ascii="方正楷体_GBK" w:hAnsi="方正楷体_GBK" w:eastAsia="方正楷体_GBK" w:cs="方正楷体_GBK"/>
          <w:lang w:val="en-US" w:eastAsia="zh-CN"/>
        </w:rPr>
        <w:t>七</w:t>
      </w:r>
      <w:r>
        <w:rPr>
          <w:rFonts w:hint="eastAsia" w:ascii="方正楷体_GBK" w:hAnsi="方正楷体_GBK" w:eastAsia="方正楷体_GBK" w:cs="方正楷体_GBK"/>
        </w:rPr>
        <w:t>条（数据共享）</w:t>
      </w:r>
      <w:r>
        <w:rPr>
          <w:rFonts w:hint="eastAsia"/>
        </w:rPr>
        <w:t>市</w:t>
      </w:r>
      <w:r>
        <w:rPr>
          <w:rFonts w:hint="eastAsia"/>
          <w:lang w:eastAsia="zh-CN"/>
        </w:rPr>
        <w:t>住建局</w:t>
      </w:r>
      <w:r>
        <w:rPr>
          <w:rFonts w:hint="eastAsia"/>
        </w:rPr>
        <w:t>会同</w:t>
      </w:r>
      <w:r>
        <w:t>人民银行新疆分行</w:t>
      </w:r>
      <w:r>
        <w:rPr>
          <w:rFonts w:hint="eastAsia"/>
          <w:lang w:eastAsia="zh-CN"/>
        </w:rPr>
        <w:t>、</w:t>
      </w:r>
      <w:r>
        <w:t>新疆金融监管局</w:t>
      </w:r>
      <w:r>
        <w:rPr>
          <w:rFonts w:hint="eastAsia"/>
          <w:lang w:eastAsia="zh-CN"/>
        </w:rPr>
        <w:t>、</w:t>
      </w:r>
      <w:r>
        <w:rPr>
          <w:rFonts w:hint="eastAsia"/>
        </w:rPr>
        <w:t>市自然资源局、公积金</w:t>
      </w:r>
      <w:r>
        <w:rPr>
          <w:rFonts w:hint="eastAsia"/>
          <w:lang w:eastAsia="zh-CN"/>
        </w:rPr>
        <w:t>管理</w:t>
      </w:r>
      <w:r>
        <w:rPr>
          <w:rFonts w:hint="eastAsia"/>
        </w:rPr>
        <w:t>中心</w:t>
      </w:r>
      <w:r>
        <w:rPr>
          <w:rFonts w:hint="eastAsia"/>
          <w:lang w:eastAsia="zh-CN"/>
        </w:rPr>
        <w:t>、各商业银行等部门推动</w:t>
      </w:r>
      <w:r>
        <w:rPr>
          <w:rFonts w:hint="eastAsia"/>
        </w:rPr>
        <w:t>系统对接，加强数据信息共享。</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eastAsia="zh-CN"/>
        </w:rPr>
      </w:pPr>
      <w:r>
        <w:rPr>
          <w:rFonts w:hint="eastAsia" w:ascii="方正楷体_GBK" w:hAnsi="方正楷体_GBK" w:eastAsia="方正楷体_GBK" w:cs="方正楷体_GBK"/>
        </w:rPr>
        <w:t>第十</w:t>
      </w:r>
      <w:r>
        <w:rPr>
          <w:rFonts w:hint="eastAsia" w:ascii="方正楷体_GBK" w:hAnsi="方正楷体_GBK" w:eastAsia="方正楷体_GBK" w:cs="方正楷体_GBK"/>
          <w:lang w:val="en-US" w:eastAsia="zh-CN"/>
        </w:rPr>
        <w:t>八</w:t>
      </w:r>
      <w:r>
        <w:rPr>
          <w:rFonts w:hint="eastAsia" w:ascii="方正楷体_GBK" w:hAnsi="方正楷体_GBK" w:eastAsia="方正楷体_GBK" w:cs="方正楷体_GBK"/>
        </w:rPr>
        <w:t>条（监督检查）</w:t>
      </w:r>
      <w:r>
        <w:rPr>
          <w:rFonts w:hint="eastAsia"/>
        </w:rPr>
        <w:t>市住建局</w:t>
      </w:r>
      <w:r>
        <w:rPr>
          <w:rFonts w:hint="eastAsia"/>
          <w:lang w:eastAsia="zh-CN"/>
        </w:rPr>
        <w:t>协调</w:t>
      </w:r>
      <w:r>
        <w:t>人民银行新疆分行</w:t>
      </w:r>
      <w:r>
        <w:rPr>
          <w:rFonts w:hint="eastAsia"/>
        </w:rPr>
        <w:t>、</w:t>
      </w:r>
      <w:r>
        <w:t>新疆金融监管局</w:t>
      </w:r>
      <w:r>
        <w:rPr>
          <w:rFonts w:hint="eastAsia"/>
        </w:rPr>
        <w:t>按职责分工对预售资金监管工作</w:t>
      </w:r>
      <w:r>
        <w:rPr>
          <w:rFonts w:hint="eastAsia"/>
          <w:lang w:eastAsia="zh-CN"/>
        </w:rPr>
        <w:t>进行指</w:t>
      </w:r>
      <w:r>
        <w:rPr>
          <w:rFonts w:hint="eastAsia"/>
        </w:rPr>
        <w:t>导、抽查</w:t>
      </w:r>
      <w:r>
        <w:rPr>
          <w:rFonts w:hint="eastAsia"/>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t>人民银行新疆分行</w:t>
      </w:r>
      <w:r>
        <w:rPr>
          <w:rFonts w:hint="eastAsia"/>
          <w:lang w:eastAsia="zh-CN"/>
        </w:rPr>
        <w:t>负责</w:t>
      </w:r>
      <w:r>
        <w:t>指导商业银行做好监管账户管理工作</w:t>
      </w:r>
      <w:r>
        <w:rPr>
          <w:rFonts w:hint="eastAsia"/>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eastAsia="zh-CN"/>
        </w:rPr>
      </w:pPr>
      <w:r>
        <w:t>新疆金融监管局</w:t>
      </w:r>
      <w:r>
        <w:rPr>
          <w:rFonts w:hint="eastAsia"/>
          <w:lang w:eastAsia="zh-CN"/>
        </w:rPr>
        <w:t>负责</w:t>
      </w:r>
      <w:r>
        <w:t>对商业银行预售资金监管的操作风险和合规性进行监督。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rPr>
        <w:t>监管机构负责对开发企业</w:t>
      </w:r>
      <w:r>
        <w:t>收存、支出、使用</w:t>
      </w:r>
      <w:r>
        <w:rPr>
          <w:rFonts w:hint="eastAsia"/>
        </w:rPr>
        <w:t>商品房预售资金等行为进行全过程监督管理。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ascii="方正楷体_GBK" w:hAnsi="方正楷体_GBK" w:eastAsia="方正楷体_GBK" w:cs="方正楷体_GBK"/>
        </w:rPr>
        <w:t>第十</w:t>
      </w:r>
      <w:r>
        <w:rPr>
          <w:rFonts w:hint="eastAsia" w:ascii="方正楷体_GBK" w:hAnsi="方正楷体_GBK" w:eastAsia="方正楷体_GBK" w:cs="方正楷体_GBK"/>
          <w:lang w:val="en-US" w:eastAsia="zh-CN"/>
        </w:rPr>
        <w:t>九</w:t>
      </w:r>
      <w:r>
        <w:rPr>
          <w:rFonts w:hint="eastAsia" w:ascii="方正楷体_GBK" w:hAnsi="方正楷体_GBK" w:eastAsia="方正楷体_GBK" w:cs="方正楷体_GBK"/>
        </w:rPr>
        <w:t>条（开发企业违规责任）</w:t>
      </w:r>
      <w:r>
        <w:rPr>
          <w:rFonts w:hint="eastAsia"/>
          <w:lang w:eastAsia="zh-CN"/>
        </w:rPr>
        <w:t>开发企业</w:t>
      </w:r>
      <w:r>
        <w:rPr>
          <w:rFonts w:hint="eastAsia"/>
        </w:rPr>
        <w:t>违反本办法规定，有下列情形之一的，由监管机构责令其限期整改，逾期未整改的，</w:t>
      </w:r>
      <w:r>
        <w:rPr>
          <w:rFonts w:hint="eastAsia"/>
          <w:lang w:eastAsia="zh-CN"/>
        </w:rPr>
        <w:t>可</w:t>
      </w:r>
      <w:r>
        <w:rPr>
          <w:rFonts w:hint="eastAsia"/>
        </w:rPr>
        <w:t>暂停与其签订新的三方监管协议</w:t>
      </w:r>
      <w:r>
        <w:rPr>
          <w:rFonts w:hint="eastAsia"/>
          <w:lang w:eastAsia="zh-CN"/>
        </w:rPr>
        <w:t>、</w:t>
      </w:r>
      <w:r>
        <w:rPr>
          <w:rFonts w:hint="eastAsia"/>
        </w:rPr>
        <w:t>暂停其支取预售资金</w:t>
      </w:r>
      <w:r>
        <w:rPr>
          <w:rFonts w:hint="eastAsia"/>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lang w:eastAsia="zh-CN"/>
        </w:rPr>
        <w:t>（一）</w:t>
      </w:r>
      <w:r>
        <w:rPr>
          <w:rFonts w:hint="eastAsia"/>
        </w:rPr>
        <w:t>未按规定收存、支取或使用预售资金</w:t>
      </w:r>
      <w:r>
        <w:rPr>
          <w:rFonts w:hint="eastAsia"/>
          <w:lang w:eastAsia="zh-CN"/>
        </w:rPr>
        <w:t>的</w:t>
      </w:r>
      <w:r>
        <w:rPr>
          <w:rFonts w:hint="eastAsia"/>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rPr>
        <w:t>（二）违规挪用、抽逃预售资金的；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rPr>
        <w:t>（</w:t>
      </w:r>
      <w:r>
        <w:rPr>
          <w:rFonts w:hint="eastAsia"/>
          <w:lang w:eastAsia="zh-CN"/>
        </w:rPr>
        <w:t>三</w:t>
      </w:r>
      <w:r>
        <w:rPr>
          <w:rFonts w:hint="eastAsia"/>
        </w:rPr>
        <w:t>）未按要求公示监管</w:t>
      </w:r>
      <w:r>
        <w:rPr>
          <w:rFonts w:hint="eastAsia"/>
          <w:lang w:eastAsia="zh-CN"/>
        </w:rPr>
        <w:t>账户等相关</w:t>
      </w:r>
      <w:r>
        <w:rPr>
          <w:rFonts w:hint="eastAsia"/>
        </w:rPr>
        <w:t>信息</w:t>
      </w:r>
      <w:r>
        <w:rPr>
          <w:rFonts w:hint="eastAsia"/>
          <w:lang w:eastAsia="zh-CN"/>
        </w:rPr>
        <w:t>的</w:t>
      </w:r>
      <w:r>
        <w:rPr>
          <w:rFonts w:hint="eastAsia"/>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rPr>
        <w:t>（</w:t>
      </w:r>
      <w:r>
        <w:rPr>
          <w:rFonts w:hint="eastAsia"/>
          <w:lang w:eastAsia="zh-CN"/>
        </w:rPr>
        <w:t>四</w:t>
      </w:r>
      <w:r>
        <w:rPr>
          <w:rFonts w:hint="eastAsia"/>
        </w:rPr>
        <w:t>）提供虚假材料</w:t>
      </w:r>
      <w:r>
        <w:rPr>
          <w:rFonts w:hint="eastAsia"/>
          <w:lang w:eastAsia="zh-CN"/>
        </w:rPr>
        <w:t>的</w:t>
      </w:r>
      <w:r>
        <w:rPr>
          <w:rFonts w:hint="eastAsia"/>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lang w:val="en-US" w:eastAsia="zh-CN"/>
        </w:rPr>
        <w:t>（五）</w:t>
      </w:r>
      <w:r>
        <w:rPr>
          <w:rFonts w:hint="eastAsia"/>
        </w:rPr>
        <w:t>其他</w:t>
      </w:r>
      <w:r>
        <w:rPr>
          <w:rFonts w:hint="eastAsia"/>
          <w:lang w:eastAsia="zh-CN"/>
        </w:rPr>
        <w:t>违反预售资金监管规定的行</w:t>
      </w:r>
      <w:r>
        <w:rPr>
          <w:rFonts w:hint="eastAsia"/>
        </w:rPr>
        <w:t>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eastAsia="zh-CN"/>
        </w:rPr>
      </w:pPr>
      <w:r>
        <w:rPr>
          <w:rFonts w:hint="eastAsia" w:ascii="方正楷体_GBK" w:hAnsi="方正楷体_GBK" w:eastAsia="方正楷体_GBK" w:cs="方正楷体_GBK"/>
        </w:rPr>
        <w:t>第二十条（监管银行、承办银行违规责任）</w:t>
      </w:r>
      <w:r>
        <w:rPr>
          <w:rFonts w:hint="eastAsia"/>
        </w:rPr>
        <w:t>监管银行、承办银行</w:t>
      </w:r>
      <w:r>
        <w:rPr>
          <w:rFonts w:hint="eastAsia"/>
          <w:lang w:eastAsia="zh-CN"/>
        </w:rPr>
        <w:t>存在下列行为之一的，</w:t>
      </w:r>
      <w:r>
        <w:rPr>
          <w:rFonts w:hint="eastAsia"/>
          <w:lang w:val="en-US" w:eastAsia="zh-CN"/>
        </w:rPr>
        <w:t>由</w:t>
      </w:r>
      <w:r>
        <w:rPr>
          <w:rFonts w:hint="eastAsia"/>
          <w:lang w:eastAsia="zh-CN"/>
        </w:rPr>
        <w:t>监管机构责令其限期整改，</w:t>
      </w:r>
      <w:r>
        <w:rPr>
          <w:rFonts w:hint="eastAsia"/>
        </w:rPr>
        <w:t>逾期未整改的，</w:t>
      </w:r>
      <w:r>
        <w:rPr>
          <w:rFonts w:hint="eastAsia"/>
          <w:lang w:val="en-US" w:eastAsia="zh-CN"/>
        </w:rPr>
        <w:t>报市住建局</w:t>
      </w:r>
      <w:r>
        <w:rPr>
          <w:rFonts w:hint="eastAsia"/>
          <w:lang w:eastAsia="zh-CN"/>
        </w:rPr>
        <w:t>可暂停其新承接商品房预售资金监管业务资格；情节严重的，取消监管银行资格、不得出具保函。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eastAsia="zh-CN"/>
        </w:rPr>
      </w:pPr>
      <w:r>
        <w:rPr>
          <w:rFonts w:hint="eastAsia"/>
          <w:lang w:eastAsia="zh-CN"/>
        </w:rPr>
        <w:t>（</w:t>
      </w:r>
      <w:r>
        <w:rPr>
          <w:rFonts w:hint="eastAsia"/>
          <w:lang w:val="en-US" w:eastAsia="zh-CN"/>
        </w:rPr>
        <w:t>一</w:t>
      </w:r>
      <w:r>
        <w:rPr>
          <w:rFonts w:hint="eastAsia"/>
          <w:lang w:eastAsia="zh-CN"/>
        </w:rPr>
        <w:t>）未按照本规定或相关协议约定及时将按揭贷款直接发放至监管账户的；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eastAsia="zh-CN"/>
        </w:rPr>
      </w:pPr>
      <w:r>
        <w:rPr>
          <w:rFonts w:hint="eastAsia"/>
          <w:lang w:eastAsia="zh-CN"/>
        </w:rPr>
        <w:t>（</w:t>
      </w:r>
      <w:r>
        <w:rPr>
          <w:rFonts w:hint="eastAsia"/>
          <w:lang w:val="en-US" w:eastAsia="zh-CN"/>
        </w:rPr>
        <w:t>二</w:t>
      </w:r>
      <w:r>
        <w:rPr>
          <w:rFonts w:hint="eastAsia"/>
          <w:lang w:eastAsia="zh-CN"/>
        </w:rPr>
        <w:t>）未及时拨付预售资金的；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eastAsia="zh-CN"/>
        </w:rPr>
      </w:pPr>
      <w:r>
        <w:rPr>
          <w:rFonts w:hint="eastAsia"/>
          <w:lang w:eastAsia="zh-CN"/>
        </w:rPr>
        <w:t>（</w:t>
      </w:r>
      <w:r>
        <w:rPr>
          <w:rFonts w:hint="eastAsia"/>
          <w:lang w:val="en-US" w:eastAsia="zh-CN"/>
        </w:rPr>
        <w:t>三</w:t>
      </w:r>
      <w:r>
        <w:rPr>
          <w:rFonts w:hint="eastAsia"/>
          <w:lang w:eastAsia="zh-CN"/>
        </w:rPr>
        <w:t>）擅自扣划、</w:t>
      </w:r>
      <w:r>
        <w:rPr>
          <w:rFonts w:hint="eastAsia"/>
          <w:lang w:val="en-US" w:eastAsia="zh-CN"/>
        </w:rPr>
        <w:t>拨付</w:t>
      </w:r>
      <w:r>
        <w:rPr>
          <w:rFonts w:hint="eastAsia"/>
          <w:lang w:eastAsia="zh-CN"/>
        </w:rPr>
        <w:t>预售资金的；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eastAsia="zh-CN"/>
        </w:rPr>
      </w:pPr>
      <w:r>
        <w:rPr>
          <w:rFonts w:hint="eastAsia"/>
          <w:lang w:eastAsia="zh-CN"/>
        </w:rPr>
        <w:t>（</w:t>
      </w:r>
      <w:r>
        <w:rPr>
          <w:rFonts w:hint="eastAsia"/>
          <w:lang w:val="en-US" w:eastAsia="zh-CN"/>
        </w:rPr>
        <w:t>四</w:t>
      </w:r>
      <w:r>
        <w:rPr>
          <w:rFonts w:hint="eastAsia"/>
          <w:lang w:eastAsia="zh-CN"/>
        </w:rPr>
        <w:t>）额度内资金用以归还开发贷款；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lang w:val="en-US" w:eastAsia="zh-CN"/>
        </w:rPr>
      </w:pPr>
      <w:r>
        <w:rPr>
          <w:rFonts w:hint="eastAsia"/>
          <w:lang w:eastAsia="zh-CN"/>
        </w:rPr>
        <w:t>（</w:t>
      </w:r>
      <w:r>
        <w:rPr>
          <w:rFonts w:hint="eastAsia"/>
          <w:lang w:val="en-US" w:eastAsia="zh-CN"/>
        </w:rPr>
        <w:t>五</w:t>
      </w:r>
      <w:r>
        <w:rPr>
          <w:rFonts w:hint="eastAsia"/>
          <w:lang w:eastAsia="zh-CN"/>
        </w:rPr>
        <w:t>）存在其他违规行为的。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lang w:val="en-US" w:eastAsia="zh-CN"/>
        </w:rPr>
      </w:pPr>
      <w:r>
        <w:rPr>
          <w:rFonts w:hint="eastAsia"/>
          <w:lang w:eastAsia="zh-CN"/>
        </w:rPr>
        <w:t>未经监管机构核实同意，擅自拨付监管资金的，应当负责追回资金，无法追回的依法承担相应</w:t>
      </w:r>
      <w:r>
        <w:rPr>
          <w:rFonts w:hint="eastAsia"/>
          <w:lang w:val="en-US" w:eastAsia="zh-CN"/>
        </w:rPr>
        <w:t>赔偿责任。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ascii="方正楷体_GBK" w:hAnsi="方正楷体_GBK" w:eastAsia="方正楷体_GBK" w:cs="方正楷体_GBK"/>
        </w:rPr>
        <w:t>第二十</w:t>
      </w:r>
      <w:r>
        <w:rPr>
          <w:rFonts w:hint="eastAsia" w:ascii="方正楷体_GBK" w:hAnsi="方正楷体_GBK" w:eastAsia="方正楷体_GBK" w:cs="方正楷体_GBK"/>
          <w:lang w:val="en-US" w:eastAsia="zh-CN"/>
        </w:rPr>
        <w:t>一</w:t>
      </w:r>
      <w:r>
        <w:rPr>
          <w:rFonts w:hint="eastAsia" w:ascii="方正楷体_GBK" w:hAnsi="方正楷体_GBK" w:eastAsia="方正楷体_GBK" w:cs="方正楷体_GBK"/>
        </w:rPr>
        <w:t>条（按揭贷款机构违约责任）</w:t>
      </w:r>
      <w:r>
        <w:rPr>
          <w:rFonts w:hint="eastAsia"/>
        </w:rPr>
        <w:t>开发企业与购房贷款机构（包括商业银行</w:t>
      </w:r>
      <w:r>
        <w:rPr>
          <w:rFonts w:hint="eastAsia"/>
          <w:lang w:eastAsia="zh-CN"/>
        </w:rPr>
        <w:t>、</w:t>
      </w:r>
      <w:r>
        <w:rPr>
          <w:rFonts w:hint="eastAsia"/>
        </w:rPr>
        <w:t>住房公积金管理机构</w:t>
      </w:r>
      <w:r>
        <w:rPr>
          <w:rFonts w:hint="eastAsia"/>
          <w:lang w:val="en-US" w:eastAsia="zh-CN"/>
        </w:rPr>
        <w:t>等</w:t>
      </w:r>
      <w:r>
        <w:rPr>
          <w:rFonts w:hint="eastAsia"/>
        </w:rPr>
        <w:t>）签订贷款合作协议，应在协议中约定将贷款全部直接划入监管账户。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rPr>
        <w:t>购房贷款机构擅自或协助开发企业将购房人的按揭贷款发放至其他账户的，应当负责追回资金，无法追回的，依法承担相应赔偿责任。购房贷款机构存在违规行为的，由市住建局协商新疆金融监管局核实处理，直至暂停其按揭贷款业务合作资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ascii="方正楷体_GBK" w:hAnsi="方正楷体_GBK" w:eastAsia="方正楷体_GBK" w:cs="方正楷体_GBK"/>
        </w:rPr>
        <w:t>第二十</w:t>
      </w:r>
      <w:r>
        <w:rPr>
          <w:rFonts w:hint="eastAsia" w:ascii="方正楷体_GBK" w:hAnsi="方正楷体_GBK" w:eastAsia="方正楷体_GBK" w:cs="方正楷体_GBK"/>
          <w:lang w:val="en-US" w:eastAsia="zh-CN"/>
        </w:rPr>
        <w:t>二</w:t>
      </w:r>
      <w:r>
        <w:rPr>
          <w:rFonts w:hint="eastAsia" w:ascii="方正楷体_GBK" w:hAnsi="方正楷体_GBK" w:eastAsia="方正楷体_GBK" w:cs="方正楷体_GBK"/>
        </w:rPr>
        <w:t>条（责任追究）</w:t>
      </w:r>
      <w:r>
        <w:rPr>
          <w:rFonts w:hint="eastAsia"/>
        </w:rPr>
        <w:t>在预售资金监管过程中，相关单位、人员违法</w:t>
      </w:r>
      <w:r>
        <w:rPr>
          <w:rFonts w:hint="eastAsia"/>
          <w:lang w:eastAsia="zh-CN"/>
        </w:rPr>
        <w:t>违规</w:t>
      </w:r>
      <w:r>
        <w:rPr>
          <w:rFonts w:hint="eastAsia"/>
        </w:rPr>
        <w:t>的，依法追究法律责任。</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rPr>
      </w:pPr>
      <w:r>
        <w:rPr>
          <w:rFonts w:hint="eastAsia" w:ascii="方正黑体_GBK" w:hAnsi="方正黑体_GBK" w:eastAsia="方正黑体_GBK" w:cs="方正黑体_GBK"/>
        </w:rPr>
        <w:t>第五章</w:t>
      </w:r>
      <w:r>
        <w:rPr>
          <w:rFonts w:hint="eastAsia" w:ascii="方正黑体_GBK" w:hAnsi="方正黑体_GBK" w:eastAsia="方正黑体_GBK" w:cs="方正黑体_GBK"/>
          <w:lang w:val="en-US" w:eastAsia="zh-CN"/>
        </w:rPr>
        <w:t xml:space="preserve"> </w:t>
      </w:r>
      <w:r>
        <w:rPr>
          <w:rFonts w:hint="eastAsia" w:ascii="方正黑体_GBK" w:hAnsi="方正黑体_GBK" w:eastAsia="方正黑体_GBK" w:cs="方正黑体_GBK"/>
        </w:rPr>
        <w:t>附</w:t>
      </w:r>
      <w:r>
        <w:rPr>
          <w:rFonts w:hint="eastAsia" w:ascii="方正黑体_GBK" w:hAnsi="方正黑体_GBK" w:eastAsia="方正黑体_GBK" w:cs="方正黑体_GBK"/>
          <w:lang w:val="en-US" w:eastAsia="zh-CN"/>
        </w:rPr>
        <w:t xml:space="preserve"> </w:t>
      </w:r>
      <w:r>
        <w:rPr>
          <w:rFonts w:hint="eastAsia" w:ascii="方正黑体_GBK" w:hAnsi="方正黑体_GBK" w:eastAsia="方正黑体_GBK" w:cs="方正黑体_GBK"/>
        </w:rPr>
        <w:t>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ascii="方正楷体_GBK" w:hAnsi="方正楷体_GBK" w:eastAsia="方正楷体_GBK" w:cs="方正楷体_GBK"/>
        </w:rPr>
        <w:t>第二十</w:t>
      </w:r>
      <w:r>
        <w:rPr>
          <w:rFonts w:hint="eastAsia" w:ascii="方正楷体_GBK" w:hAnsi="方正楷体_GBK" w:eastAsia="方正楷体_GBK" w:cs="方正楷体_GBK"/>
          <w:lang w:val="en-US" w:eastAsia="zh-CN"/>
        </w:rPr>
        <w:t>三</w:t>
      </w:r>
      <w:r>
        <w:rPr>
          <w:rFonts w:hint="eastAsia" w:ascii="方正楷体_GBK" w:hAnsi="方正楷体_GBK" w:eastAsia="方正楷体_GBK" w:cs="方正楷体_GBK"/>
        </w:rPr>
        <w:t>条（政策解释）</w:t>
      </w:r>
      <w:r>
        <w:rPr>
          <w:rFonts w:hint="eastAsia"/>
        </w:rPr>
        <w:t>本办法由市住建局负责解释。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eastAsia="zh-CN"/>
        </w:rPr>
      </w:pPr>
      <w:r>
        <w:rPr>
          <w:rFonts w:hint="eastAsia" w:ascii="方正楷体_GBK" w:hAnsi="方正楷体_GBK" w:eastAsia="方正楷体_GBK" w:cs="方正楷体_GBK"/>
        </w:rPr>
        <w:t>第二十</w:t>
      </w:r>
      <w:r>
        <w:rPr>
          <w:rFonts w:hint="eastAsia" w:ascii="方正楷体_GBK" w:hAnsi="方正楷体_GBK" w:eastAsia="方正楷体_GBK" w:cs="方正楷体_GBK"/>
          <w:lang w:val="en-US" w:eastAsia="zh-CN"/>
        </w:rPr>
        <w:t>四</w:t>
      </w:r>
      <w:r>
        <w:rPr>
          <w:rFonts w:hint="eastAsia" w:ascii="方正楷体_GBK" w:hAnsi="方正楷体_GBK" w:eastAsia="方正楷体_GBK" w:cs="方正楷体_GBK"/>
        </w:rPr>
        <w:t>条（施行日期）</w:t>
      </w:r>
      <w:r>
        <w:rPr>
          <w:rFonts w:hint="eastAsia"/>
        </w:rPr>
        <w:t>本办法自202X年X月X日起施行，有效期5年。本办法施行前已取得预售许可的房地产开发项目的预售资金监管工作按照原有规定执行。国家、</w:t>
      </w:r>
      <w:r>
        <w:rPr>
          <w:rFonts w:hint="eastAsia"/>
          <w:lang w:eastAsia="zh-CN"/>
        </w:rPr>
        <w:t>自治区</w:t>
      </w:r>
      <w:r>
        <w:rPr>
          <w:rFonts w:hint="eastAsia"/>
        </w:rPr>
        <w:t>有新规定的，按新规定执行。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仿宋_GB2312">
    <w:altName w:val="方正仿宋_GBK"/>
    <w:panose1 w:val="02010609030101010101"/>
    <w:charset w:val="00"/>
    <w:family w:val="auto"/>
    <w:pitch w:val="default"/>
    <w:sig w:usb0="00000000" w:usb1="00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国标黑体">
    <w:panose1 w:val="02000500000000000000"/>
    <w:charset w:val="86"/>
    <w:family w:val="auto"/>
    <w:pitch w:val="default"/>
    <w:sig w:usb0="00000001" w:usb1="08000000" w:usb2="00000000" w:usb3="00000000" w:csb0="00060007" w:csb1="00000000"/>
  </w:font>
  <w:font w:name="国标楷体">
    <w:panose1 w:val="02000500000000000000"/>
    <w:charset w:val="86"/>
    <w:family w:val="auto"/>
    <w:pitch w:val="default"/>
    <w:sig w:usb0="00000001" w:usb1="08000000" w:usb2="00000000" w:usb3="00000000" w:csb0="00060007" w:csb1="00000000"/>
  </w:font>
  <w:font w:name="方正隶书_GBK">
    <w:panose1 w:val="02000000000000000000"/>
    <w:charset w:val="86"/>
    <w:family w:val="auto"/>
    <w:pitch w:val="default"/>
    <w:sig w:usb0="00000001" w:usb1="08000000" w:usb2="00000000" w:usb3="00000000" w:csb0="00040000" w:csb1="00000000"/>
  </w:font>
  <w:font w:name="CESI宋体-GB2312">
    <w:panose1 w:val="02000500000000000000"/>
    <w:charset w:val="86"/>
    <w:family w:val="auto"/>
    <w:pitch w:val="default"/>
    <w:sig w:usb0="800002AF" w:usb1="08476CF8" w:usb2="00000010" w:usb3="00000000" w:csb0="0004000F" w:csb1="00000000"/>
  </w:font>
  <w:font w:name="Symbol">
    <w:panose1 w:val="02000609000000000000"/>
    <w:charset w:val="00"/>
    <w:family w:val="auto"/>
    <w:pitch w:val="default"/>
    <w:sig w:usb0="800000AF" w:usb1="4000204A" w:usb2="00000000" w:usb3="00000000" w:csb0="20000000" w:csb1="00000000"/>
  </w:font>
  <w:font w:name="Unifont">
    <w:panose1 w:val="02000604000000000000"/>
    <w:charset w:val="86"/>
    <w:family w:val="auto"/>
    <w:pitch w:val="default"/>
    <w:sig w:usb0="FFFFFFFF" w:usb1="EBFFFFFF" w:usb2="E817FFFF" w:usb3="007F001F"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FCD849"/>
    <w:rsid w:val="73FCD8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78" w:lineRule="exact"/>
      <w:jc w:val="both"/>
    </w:pPr>
    <w:rPr>
      <w:rFonts w:ascii="Times New Roman" w:hAnsi="Times New Roman" w:eastAsia="方正仿宋_GBK" w:cs="Times New Roman"/>
      <w:kern w:val="2"/>
      <w:sz w:val="32"/>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ind w:firstLine="600"/>
    </w:pPr>
    <w:rPr>
      <w:rFonts w:ascii="仿宋_GB2312" w:hAnsi="Times New Roman" w:cs="Times New Roman"/>
      <w:sz w:val="30"/>
      <w:szCs w:val="24"/>
    </w:rPr>
  </w:style>
  <w:style w:type="paragraph" w:customStyle="1" w:styleId="4">
    <w:name w:val="Char Char Char"/>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Body Text"/>
    <w:basedOn w:val="1"/>
    <w:next w:val="6"/>
    <w:qFormat/>
    <w:uiPriority w:val="0"/>
    <w:pPr>
      <w:spacing w:after="120" w:line="240" w:lineRule="auto"/>
    </w:pPr>
    <w:rPr>
      <w:rFonts w:ascii="Times New Roman" w:hAnsi="Times New Roman" w:eastAsia="仿宋_GB2312" w:cs="Times New Roman"/>
      <w:szCs w:val="32"/>
    </w:rPr>
  </w:style>
  <w:style w:type="paragraph" w:styleId="6">
    <w:name w:val="Body Text First Indent"/>
    <w:basedOn w:val="5"/>
    <w:qFormat/>
    <w:uiPriority w:val="0"/>
    <w:pPr>
      <w:spacing w:after="120"/>
      <w:ind w:firstLine="420" w:firstLineChars="100"/>
    </w:pPr>
    <w:rPr>
      <w:sz w:val="3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2</TotalTime>
  <ScaleCrop>false</ScaleCrop>
  <LinksUpToDate>false</LinksUpToDate>
  <CharactersWithSpaces>0</CharactersWithSpaces>
  <Application>WPS Office_12.8.2.17008_F1E327BC-269C-435d-A152-05C5408002CA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2026-07-15T16:22:00Z</dcterms:created>
  <dc:creator>user</dc:creator>
  <cp:lastModifiedBy>user</cp:lastModifiedBy>
  <dcterms:modified xsi:type="dcterms:W3CDTF">2026-07-15T16:26:26Z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2052-12.8.2.17008</vt:lpwstr>
  </property>
  <property fmtid="{D5CDD505-2E9C-101B-9397-08002B2CF9AE}" pid="3" name="ICV">
    <vt:lpwstr>2F3561594F2F93CF4743576A00C8ADC2_41</vt:lpwstr>
  </property>
</Properties>
</file>