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乌鲁木齐职业大学</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bookmarkStart w:id="0" w:name="_GoBack"/>
      <w:bookmarkEnd w:id="0"/>
      <w:r>
        <w:rPr>
          <w:rFonts w:hint="eastAsia" w:ascii="方正小标宋_GBK" w:hAnsi="宋体" w:eastAsia="方正小标宋_GBK"/>
          <w:sz w:val="44"/>
          <w:szCs w:val="44"/>
        </w:rPr>
        <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部门概况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r>
        <w:br w:type="page"/>
      </w:r>
    </w:p>
    <w:p>
      <w:pPr>
        <w:spacing w:line="640" w:lineRule="exact"/>
        <w:jc w:val="center"/>
        <w:outlineLvl w:val="1"/>
      </w:pPr>
      <w:r>
        <w:rPr>
          <w:rFonts w:ascii="黑体" w:hAnsi="黑体" w:eastAsia="黑体"/>
          <w:sz w:val="32"/>
        </w:rPr>
        <w:t>第一部分 部门概况</w:t>
      </w:r>
    </w:p>
    <w:p>
      <w:pPr>
        <w:spacing w:line="640" w:lineRule="exact"/>
        <w:ind w:firstLine="640"/>
        <w:jc w:val="both"/>
        <w:outlineLvl w:val="2"/>
      </w:pPr>
      <w:r>
        <w:rPr>
          <w:rFonts w:ascii="黑体" w:hAnsi="黑体" w:eastAsia="黑体"/>
          <w:sz w:val="32"/>
        </w:rPr>
        <w:t>一、主要职能</w:t>
      </w:r>
    </w:p>
    <w:p>
      <w:pPr>
        <w:spacing w:line="580" w:lineRule="exact"/>
        <w:ind w:firstLine="640"/>
        <w:jc w:val="both"/>
      </w:pPr>
      <w:r>
        <w:rPr>
          <w:rFonts w:ascii="仿宋_GB2312" w:hAnsi="仿宋_GB2312" w:eastAsia="仿宋_GB2312"/>
          <w:sz w:val="32"/>
        </w:rPr>
        <w:t>乌鲁木齐职业大学位于新疆维吾尔自治区乌鲁木齐市，是一所公办本科层次职业大学，为“国家示范性高等职业院校建设计划”骨干高职院校、自治区示范性高职院校、自治区优质高等职业学院，同时设有乌鲁木齐开放大学。乌鲁木齐职业大学成立于1985年，是新疆改革开放后成立的第一所高等职业院校。2007年经自治区人民政府批准，原乌鲁木齐职业大学与乌鲁木齐成人教育学院合并组建了新的乌鲁木齐职业大学。2025年2月21日，学校升格为本科层次的职业技术大学。截至2025年5月，学校整体呈现“两区一园三基地”功能布局，校园总占地面积1485.77亩，教学科研仪器设备总值1.3亿元，图书馆各类藏书（含电子图书）117.56万册；设教学机构17个，开设专科专业51个，4个职业本科专业；有专任教师648人，全日制高职在校生11400余人；学校全日制在校生规模暂定为12000人。</w:t>
      </w:r>
    </w:p>
    <w:p>
      <w:pPr>
        <w:spacing w:line="640" w:lineRule="exact"/>
        <w:ind w:firstLine="640"/>
        <w:jc w:val="both"/>
        <w:outlineLvl w:val="2"/>
      </w:pPr>
      <w:r>
        <w:rPr>
          <w:rFonts w:ascii="黑体" w:hAnsi="黑体" w:eastAsia="黑体"/>
          <w:sz w:val="32"/>
        </w:rPr>
        <w:t>二、机构设置</w:t>
      </w:r>
    </w:p>
    <w:p>
      <w:pPr>
        <w:spacing w:line="580" w:lineRule="exact"/>
        <w:ind w:firstLine="640"/>
        <w:jc w:val="both"/>
      </w:pPr>
      <w:r>
        <w:rPr>
          <w:rFonts w:ascii="仿宋_GB2312" w:hAnsi="仿宋_GB2312" w:eastAsia="仿宋_GB2312"/>
          <w:sz w:val="32"/>
        </w:rPr>
        <w:t>乌鲁木齐职业大学无下属预算单位。</w:t>
      </w:r>
    </w:p>
    <w:p>
      <w:r>
        <w:br w:type="page"/>
      </w:r>
    </w:p>
    <w:p>
      <w:pPr>
        <w:spacing w:line="240" w:lineRule="auto"/>
        <w:jc w:val="center"/>
        <w:outlineLvl w:val="1"/>
      </w:pPr>
      <w:r>
        <w:rPr>
          <w:rFonts w:ascii="黑体" w:hAnsi="黑体" w:eastAsia="黑体"/>
          <w:sz w:val="32"/>
        </w:rPr>
        <w:t>第二部分 部门决算情况说明</w:t>
      </w:r>
    </w:p>
    <w:p>
      <w:pPr>
        <w:spacing w:line="640" w:lineRule="exact"/>
        <w:ind w:firstLine="640"/>
        <w:jc w:val="both"/>
        <w:outlineLvl w:val="2"/>
      </w:pPr>
      <w:r>
        <w:rPr>
          <w:rFonts w:ascii="黑体" w:hAnsi="黑体" w:eastAsia="黑体"/>
          <w:sz w:val="32"/>
        </w:rPr>
        <w:t>一、收入支出决算总体情况说明</w:t>
      </w:r>
    </w:p>
    <w:p>
      <w:pPr>
        <w:spacing w:line="580" w:lineRule="exact"/>
        <w:ind w:firstLine="640"/>
        <w:jc w:val="both"/>
      </w:pPr>
      <w:r>
        <w:rPr>
          <w:rFonts w:ascii="仿宋_GB2312" w:hAnsi="仿宋_GB2312" w:eastAsia="仿宋_GB2312"/>
          <w:b/>
          <w:sz w:val="32"/>
        </w:rPr>
        <w:t>2025年度收入总计54,459.39万元，</w:t>
      </w:r>
      <w:r>
        <w:rPr>
          <w:rFonts w:ascii="仿宋_GB2312" w:hAnsi="仿宋_GB2312" w:eastAsia="仿宋_GB2312"/>
          <w:b w:val="0"/>
          <w:sz w:val="32"/>
        </w:rPr>
        <w:t>其中：本年收入合计53,921.82万元，使用非财政拨款结余（含专用结余）144.23万元，年初结转和结余393.35万元。</w:t>
      </w:r>
    </w:p>
    <w:p>
      <w:pPr>
        <w:spacing w:line="580" w:lineRule="exact"/>
        <w:ind w:firstLine="640"/>
        <w:jc w:val="both"/>
      </w:pPr>
      <w:r>
        <w:rPr>
          <w:rFonts w:ascii="仿宋_GB2312" w:hAnsi="仿宋_GB2312" w:eastAsia="仿宋_GB2312"/>
          <w:b/>
          <w:sz w:val="32"/>
        </w:rPr>
        <w:t>2025年度支出总计54,459.39万元，</w:t>
      </w:r>
      <w:r>
        <w:rPr>
          <w:rFonts w:ascii="仿宋_GB2312" w:hAnsi="仿宋_GB2312" w:eastAsia="仿宋_GB2312"/>
          <w:b w:val="0"/>
          <w:sz w:val="32"/>
        </w:rPr>
        <w:t>其中：本年支出合计53,354.62万元，结余分配0.00万元，年末结转和结余1,104.77万元。</w:t>
      </w:r>
    </w:p>
    <w:p>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增加19,706.56万元，增长56.70%，主要原因是：本年增加乌职大本科层次丝路国际交流中心（留学生楼）项目、乌职大本科层次图书馆、体育馆及大门建设经费、新疆维吾尔自治区职业教育学会拨付2025年新疆职业院校技能大赛补助资金、中华人民共和国教育部拨来鲁班工坊建设资金、人力资源和社会保障厅拨付中华人民共和国第三届职业技能大赛经费。</w:t>
      </w:r>
    </w:p>
    <w:p>
      <w:pPr>
        <w:spacing w:line="640" w:lineRule="exact"/>
        <w:ind w:firstLine="640"/>
        <w:jc w:val="both"/>
        <w:outlineLvl w:val="2"/>
      </w:pPr>
      <w:r>
        <w:rPr>
          <w:rFonts w:ascii="黑体" w:hAnsi="黑体" w:eastAsia="黑体"/>
          <w:sz w:val="32"/>
        </w:rPr>
        <w:t>二、收入决算情况说明</w:t>
      </w:r>
    </w:p>
    <w:p>
      <w:pPr>
        <w:spacing w:line="580" w:lineRule="exact"/>
        <w:ind w:firstLine="640"/>
        <w:jc w:val="both"/>
      </w:pPr>
      <w:r>
        <w:rPr>
          <w:rFonts w:ascii="仿宋_GB2312" w:hAnsi="仿宋_GB2312" w:eastAsia="仿宋_GB2312"/>
          <w:b/>
          <w:sz w:val="32"/>
        </w:rPr>
        <w:t>本年收入53,921.82万元，</w:t>
      </w:r>
      <w:r>
        <w:rPr>
          <w:rFonts w:ascii="仿宋_GB2312" w:hAnsi="仿宋_GB2312" w:eastAsia="仿宋_GB2312"/>
          <w:b w:val="0"/>
          <w:sz w:val="32"/>
        </w:rPr>
        <w:t>其中：财政拨款收入41,148.43万元，占76.31%；上级补助收入0.00万元，占0.00%；事业收入11,461.18万元，占21.26%；经营收入0.00万元，占0.00%；附属单位上缴收入0.00万元，占0.00%；其他收入1,312.20万元，占2.43%。</w:t>
      </w:r>
    </w:p>
    <w:p>
      <w:pPr>
        <w:spacing w:line="640" w:lineRule="exact"/>
        <w:ind w:firstLine="640"/>
        <w:jc w:val="both"/>
        <w:outlineLvl w:val="2"/>
      </w:pPr>
      <w:r>
        <w:rPr>
          <w:rFonts w:ascii="黑体" w:hAnsi="黑体" w:eastAsia="黑体"/>
          <w:sz w:val="32"/>
        </w:rPr>
        <w:t>三、支出决算情况说明</w:t>
      </w:r>
    </w:p>
    <w:p>
      <w:pPr>
        <w:spacing w:line="580" w:lineRule="exact"/>
        <w:ind w:firstLine="640"/>
        <w:jc w:val="both"/>
      </w:pPr>
      <w:r>
        <w:rPr>
          <w:rFonts w:ascii="仿宋_GB2312" w:hAnsi="仿宋_GB2312" w:eastAsia="仿宋_GB2312"/>
          <w:b/>
          <w:sz w:val="32"/>
        </w:rPr>
        <w:t>本年支出53,354.62万元，</w:t>
      </w:r>
      <w:r>
        <w:rPr>
          <w:rFonts w:ascii="仿宋_GB2312" w:hAnsi="仿宋_GB2312" w:eastAsia="仿宋_GB2312"/>
          <w:b w:val="0"/>
          <w:sz w:val="32"/>
        </w:rPr>
        <w:t>其中：基本支出23,066.67万元，占43.23%；项目支出30,287.95万元，占56.77%；上缴上级支出0.00万元，占0.00%；经营支出0.00万元，占0.00%；对附属单位补助支出0.00万元，占0.00%。</w:t>
      </w:r>
    </w:p>
    <w:p>
      <w:pPr>
        <w:spacing w:line="640" w:lineRule="exact"/>
        <w:ind w:firstLine="640"/>
        <w:jc w:val="both"/>
        <w:outlineLvl w:val="2"/>
      </w:pPr>
      <w:r>
        <w:rPr>
          <w:rFonts w:ascii="黑体" w:hAnsi="黑体" w:eastAsia="黑体"/>
          <w:sz w:val="32"/>
        </w:rPr>
        <w:t>四、财政拨款收入支出决算总体情况说明</w:t>
      </w:r>
    </w:p>
    <w:p>
      <w:pPr>
        <w:spacing w:line="580" w:lineRule="exact"/>
        <w:ind w:firstLine="640"/>
        <w:jc w:val="both"/>
      </w:pPr>
      <w:r>
        <w:rPr>
          <w:rFonts w:ascii="仿宋_GB2312" w:hAnsi="仿宋_GB2312" w:eastAsia="仿宋_GB2312"/>
          <w:b/>
          <w:sz w:val="32"/>
        </w:rPr>
        <w:t>2025年度财政拨款收入总计41,148.43万元，</w:t>
      </w:r>
      <w:r>
        <w:rPr>
          <w:rFonts w:ascii="仿宋_GB2312" w:hAnsi="仿宋_GB2312" w:eastAsia="仿宋_GB2312"/>
          <w:b w:val="0"/>
          <w:sz w:val="32"/>
        </w:rPr>
        <w:t>其中：年初财政拨款结转和结余0.00万元，本年财政拨款收入41,148.43万元。</w:t>
      </w:r>
      <w:r>
        <w:rPr>
          <w:rFonts w:ascii="仿宋_GB2312" w:hAnsi="仿宋_GB2312" w:eastAsia="仿宋_GB2312"/>
          <w:b/>
          <w:sz w:val="32"/>
        </w:rPr>
        <w:t>财政拨款支出总计41,148.43万元，</w:t>
      </w:r>
      <w:r>
        <w:rPr>
          <w:rFonts w:ascii="仿宋_GB2312" w:hAnsi="仿宋_GB2312" w:eastAsia="仿宋_GB2312"/>
          <w:b w:val="0"/>
          <w:sz w:val="32"/>
        </w:rPr>
        <w:t>其中：年末财政拨款结转和结余0.00万元，本年财政拨款支出41,148.43万元。</w:t>
      </w:r>
    </w:p>
    <w:p>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增加13,662.37万元，增长49.71%，主要原因是：本年增加乌职大本科层次丝路国际交流中心（留学生楼）项目、乌职大本科层次图书馆、体育馆及大门建设经费。</w:t>
      </w:r>
      <w:r>
        <w:rPr>
          <w:rFonts w:ascii="仿宋_GB2312" w:hAnsi="仿宋_GB2312" w:eastAsia="仿宋_GB2312"/>
          <w:b/>
          <w:sz w:val="32"/>
        </w:rPr>
        <w:t>与年初预算相比，</w:t>
      </w:r>
      <w:r>
        <w:rPr>
          <w:rFonts w:ascii="仿宋_GB2312" w:hAnsi="仿宋_GB2312" w:eastAsia="仿宋_GB2312"/>
          <w:b w:val="0"/>
          <w:sz w:val="32"/>
        </w:rPr>
        <w:t>年初预算数24,329.77万元，决算数41,148.43万元，预决算差异率69.13%，主要原因是：年中追加乌职大本科层次丝路国际交流中心（留学生楼）项目、乌职大本科层次图书馆、体育馆及大门建设经费，导致预决算存在差异。</w:t>
      </w:r>
    </w:p>
    <w:p>
      <w:pPr>
        <w:spacing w:line="640" w:lineRule="exact"/>
        <w:ind w:firstLine="640"/>
        <w:jc w:val="both"/>
        <w:outlineLvl w:val="2"/>
      </w:pPr>
      <w:r>
        <w:rPr>
          <w:rFonts w:ascii="黑体" w:hAnsi="黑体" w:eastAsia="黑体"/>
          <w:sz w:val="32"/>
        </w:rPr>
        <w:t>五、一般公共预算财政拨款支出决算情况说明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事业发展等重点支出，体现在有关支出科目中。</w:t>
      </w:r>
    </w:p>
    <w:p>
      <w:pPr>
        <w:spacing w:line="580" w:lineRule="exact"/>
        <w:ind w:firstLine="640"/>
        <w:jc w:val="both"/>
      </w:pPr>
      <w:r>
        <w:rPr>
          <w:rFonts w:ascii="仿宋_GB2312" w:hAnsi="仿宋_GB2312" w:eastAsia="仿宋_GB2312"/>
          <w:b w:val="0"/>
          <w:sz w:val="32"/>
        </w:rPr>
        <w:t>按照支出功能分类，教育支出（类）职业教育（款）高等职业教育（项）的支出占本年财政拨款支出总额的比重最高，2025年度决算数为24,524.40万元，占比59.60%，主要用于2025年中央学生资助补助经费-国家助学金、新校区二期（祥云校区5、6号宿舍楼工程款等费用。</w:t>
      </w:r>
    </w:p>
    <w:p>
      <w:pPr>
        <w:spacing w:line="640" w:lineRule="exact"/>
        <w:ind w:firstLine="640"/>
        <w:jc w:val="both"/>
        <w:outlineLvl w:val="3"/>
      </w:pPr>
      <w:r>
        <w:rPr>
          <w:rFonts w:ascii="楷体_GB2312" w:hAnsi="楷体_GB2312" w:eastAsia="楷体_GB2312"/>
          <w:b/>
          <w:sz w:val="32"/>
        </w:rPr>
        <w:t>（一）一般公共预算财政拨款支出决算总体情况</w:t>
      </w:r>
    </w:p>
    <w:p>
      <w:pPr>
        <w:spacing w:line="580" w:lineRule="exact"/>
        <w:ind w:firstLine="640"/>
        <w:jc w:val="both"/>
      </w:pPr>
      <w:r>
        <w:rPr>
          <w:rFonts w:ascii="仿宋_GB2312" w:hAnsi="仿宋_GB2312" w:eastAsia="仿宋_GB2312"/>
          <w:b/>
          <w:sz w:val="32"/>
        </w:rPr>
        <w:t>2025年度一般公共预算财政拨款支出25,021.98万元，</w:t>
      </w:r>
      <w:r>
        <w:rPr>
          <w:rFonts w:ascii="仿宋_GB2312" w:hAnsi="仿宋_GB2312" w:eastAsia="仿宋_GB2312"/>
          <w:b w:val="0"/>
          <w:sz w:val="32"/>
        </w:rPr>
        <w:t>占本年支出合计的46.90%。</w:t>
      </w:r>
      <w:r>
        <w:rPr>
          <w:rFonts w:ascii="仿宋_GB2312" w:hAnsi="仿宋_GB2312" w:eastAsia="仿宋_GB2312"/>
          <w:b/>
          <w:sz w:val="32"/>
        </w:rPr>
        <w:t>与上年相比，</w:t>
      </w:r>
      <w:r>
        <w:rPr>
          <w:rFonts w:ascii="仿宋_GB2312" w:hAnsi="仿宋_GB2312" w:eastAsia="仿宋_GB2312"/>
          <w:b w:val="0"/>
          <w:sz w:val="32"/>
        </w:rPr>
        <w:t>减少2,464.08万元，下降8.96%，主要原因是：本年度经费保障结构调整，公用经费由一般公共预算保障调整为财政专户-学费收入资金保障，经费较上年大幅下降。本年减少校园维修及设备购置和新校区二期建设项目资金、产教融合人才培养专项经费、往年项目质保金项目经费。</w:t>
      </w:r>
      <w:r>
        <w:rPr>
          <w:rFonts w:ascii="仿宋_GB2312" w:hAnsi="仿宋_GB2312" w:eastAsia="仿宋_GB2312"/>
          <w:b/>
          <w:sz w:val="32"/>
        </w:rPr>
        <w:t>与年初预算相比，</w:t>
      </w:r>
      <w:r>
        <w:rPr>
          <w:rFonts w:ascii="仿宋_GB2312" w:hAnsi="仿宋_GB2312" w:eastAsia="仿宋_GB2312"/>
          <w:b w:val="0"/>
          <w:sz w:val="32"/>
        </w:rPr>
        <w:t>年初预算数24,329.77万元，决算数25,021.98万元，预决算差异率2.85%，主要原因是：年中追加现代职业教育质量提升专项资金、职业教育专项经费、本科层次建设项目专项建设经费等，导致预决算存在差异。</w:t>
      </w:r>
    </w:p>
    <w:p>
      <w:pPr>
        <w:spacing w:line="640" w:lineRule="exact"/>
        <w:ind w:firstLine="640"/>
        <w:jc w:val="both"/>
        <w:outlineLvl w:val="3"/>
      </w:pPr>
      <w:r>
        <w:rPr>
          <w:rFonts w:ascii="楷体_GB2312" w:hAnsi="楷体_GB2312" w:eastAsia="楷体_GB2312"/>
          <w:b/>
          <w:sz w:val="32"/>
        </w:rPr>
        <w:t>（二）一般公共预算财政拨款支出决算结构情况</w:t>
      </w:r>
    </w:p>
    <w:p>
      <w:pPr>
        <w:spacing w:line="580" w:lineRule="exact"/>
        <w:ind w:firstLine="640"/>
        <w:jc w:val="both"/>
      </w:pPr>
      <w:r>
        <w:rPr>
          <w:rFonts w:ascii="仿宋_GB2312" w:hAnsi="仿宋_GB2312" w:eastAsia="仿宋_GB2312"/>
          <w:b w:val="0"/>
          <w:sz w:val="32"/>
        </w:rPr>
        <w:t>1.一般公共服务支出（类）0.26万元，占0.001%。</w:t>
      </w:r>
    </w:p>
    <w:p>
      <w:pPr>
        <w:spacing w:line="580" w:lineRule="exact"/>
        <w:ind w:firstLine="640"/>
        <w:jc w:val="both"/>
      </w:pPr>
      <w:r>
        <w:rPr>
          <w:rFonts w:ascii="仿宋_GB2312" w:hAnsi="仿宋_GB2312" w:eastAsia="仿宋_GB2312"/>
          <w:b w:val="0"/>
          <w:sz w:val="32"/>
        </w:rPr>
        <w:t>2.教育支出（类）25,021.72万元，占100.00%。</w:t>
      </w:r>
    </w:p>
    <w:p>
      <w:pPr>
        <w:spacing w:line="640" w:lineRule="exact"/>
        <w:ind w:firstLine="640"/>
        <w:jc w:val="both"/>
        <w:outlineLvl w:val="3"/>
      </w:pPr>
      <w:r>
        <w:rPr>
          <w:rFonts w:ascii="楷体_GB2312" w:hAnsi="楷体_GB2312" w:eastAsia="楷体_GB2312"/>
          <w:b/>
          <w:sz w:val="32"/>
        </w:rPr>
        <w:t>（三）一般公共预算财政拨款支出决算具体情况</w:t>
      </w:r>
    </w:p>
    <w:p>
      <w:pPr>
        <w:spacing w:line="580" w:lineRule="exact"/>
        <w:ind w:firstLine="640"/>
        <w:jc w:val="both"/>
      </w:pPr>
      <w:r>
        <w:rPr>
          <w:rFonts w:ascii="仿宋_GB2312" w:hAnsi="仿宋_GB2312" w:eastAsia="仿宋_GB2312"/>
          <w:b w:val="0"/>
          <w:sz w:val="32"/>
        </w:rPr>
        <w:t>1.一般公共服务支出（类）发展与改革事务（款）其他发展与改革事务支出（项）：支出决算数为0.26万元，比上年决算减少349.48万元，下降99.93%，主要原因是：本年度减少乌鲁木齐职业大学本科层次学校建设项目经费。</w:t>
      </w:r>
    </w:p>
    <w:p>
      <w:pPr>
        <w:spacing w:line="580" w:lineRule="exact"/>
        <w:ind w:firstLine="640"/>
        <w:jc w:val="both"/>
      </w:pPr>
      <w:r>
        <w:rPr>
          <w:rFonts w:ascii="仿宋_GB2312" w:hAnsi="仿宋_GB2312" w:eastAsia="仿宋_GB2312"/>
          <w:b w:val="0"/>
          <w:sz w:val="32"/>
        </w:rPr>
        <w:t>2.教育支出（类）普通教育（款）高等教育（项）：支出决算数为2.87万元，比上年决算增加2.87万元，增长100.00%，主要原因是：本年新增2025年教育补助项目经费-汉语国际推广中亚基地建设项目。</w:t>
      </w:r>
    </w:p>
    <w:p>
      <w:pPr>
        <w:spacing w:line="580" w:lineRule="exact"/>
        <w:ind w:firstLine="640"/>
        <w:jc w:val="both"/>
      </w:pPr>
      <w:r>
        <w:rPr>
          <w:rFonts w:ascii="仿宋_GB2312" w:hAnsi="仿宋_GB2312" w:eastAsia="仿宋_GB2312"/>
          <w:b w:val="0"/>
          <w:sz w:val="32"/>
        </w:rPr>
        <w:t>3.教育支出（类）普通教育（款）其他普通教育支出（项）：支出决算数为0.00万元，比上年决算减少40.00万元，下降100.00%，主要原因是：本年减少中小学幼儿园教师国家级培训计划专项资金。</w:t>
      </w:r>
    </w:p>
    <w:p>
      <w:pPr>
        <w:spacing w:line="580" w:lineRule="exact"/>
        <w:ind w:firstLine="640"/>
        <w:jc w:val="both"/>
      </w:pPr>
      <w:r>
        <w:rPr>
          <w:rFonts w:ascii="仿宋_GB2312" w:hAnsi="仿宋_GB2312" w:eastAsia="仿宋_GB2312"/>
          <w:b w:val="0"/>
          <w:sz w:val="32"/>
        </w:rPr>
        <w:t>4.教育支出（类）职业教育（款）中等职业教育（项）：支出决算数为435.59万元，比上年决算增加96.33万元，增长28.39%，主要原因是：本年中等职业教育项目免学费和助学金项目资金较上年增加。</w:t>
      </w:r>
    </w:p>
    <w:p>
      <w:pPr>
        <w:spacing w:line="580" w:lineRule="exact"/>
        <w:ind w:firstLine="640"/>
        <w:jc w:val="both"/>
      </w:pPr>
      <w:r>
        <w:rPr>
          <w:rFonts w:ascii="仿宋_GB2312" w:hAnsi="仿宋_GB2312" w:eastAsia="仿宋_GB2312"/>
          <w:b w:val="0"/>
          <w:sz w:val="32"/>
        </w:rPr>
        <w:t>5.教育支出（类）职业教育（款）高等职业教育（项）：支出决算数为24,524.40万元，比上年决算减少1,043.74万元，下降4.08%，主要原因是：本年度经费保障结构调整，公用经费由一般公共预算保障调整为财政专户-学费收入资金保障，经费较上年大幅下降。</w:t>
      </w:r>
    </w:p>
    <w:p>
      <w:pPr>
        <w:spacing w:line="580" w:lineRule="exact"/>
        <w:ind w:firstLine="640"/>
        <w:jc w:val="both"/>
      </w:pPr>
      <w:r>
        <w:rPr>
          <w:rFonts w:ascii="仿宋_GB2312" w:hAnsi="仿宋_GB2312" w:eastAsia="仿宋_GB2312"/>
          <w:b w:val="0"/>
          <w:sz w:val="32"/>
        </w:rPr>
        <w:t>6.教育支出（类）职业教育（款）其他职业教育支出（项）：支出决算数为0.00万元，比上年决算减少533.09万元，下降100.00%，主要原因是：本年功能科目调整，现代职业教育质量提升计划资金项目经费由其他职业教育支出科目调整至高等职业教育科目列支，经费较上年减少。</w:t>
      </w:r>
    </w:p>
    <w:p>
      <w:pPr>
        <w:spacing w:line="580" w:lineRule="exact"/>
        <w:ind w:firstLine="640"/>
        <w:jc w:val="both"/>
      </w:pPr>
      <w:r>
        <w:rPr>
          <w:rFonts w:ascii="仿宋_GB2312" w:hAnsi="仿宋_GB2312" w:eastAsia="仿宋_GB2312"/>
          <w:b w:val="0"/>
          <w:sz w:val="32"/>
        </w:rPr>
        <w:t>7.教育支出（类）留学教育（款）来华留学教育（项）：支出决算数为58.85万元，比上年决算增加55.12万元，增长1,477.75%，主要原因是：本年增加自治区人民政府接收周边国家留学生奖学金及地方公派出国留学项目经费。</w:t>
      </w:r>
    </w:p>
    <w:p>
      <w:pPr>
        <w:spacing w:line="580" w:lineRule="exact"/>
        <w:ind w:firstLine="640"/>
        <w:jc w:val="both"/>
      </w:pPr>
      <w:r>
        <w:rPr>
          <w:rFonts w:ascii="仿宋_GB2312" w:hAnsi="仿宋_GB2312" w:eastAsia="仿宋_GB2312"/>
          <w:b w:val="0"/>
          <w:sz w:val="32"/>
        </w:rPr>
        <w:t>8.教育支出（类）教育费附加安排的支出（款）中等职业学校教学设施（项）：支出决算数为0.00万元，比上年决算减少457.61万元，下降100.00%，主要原因是：本年减少校园维修及设备购置和新校区二期建设项目资金。</w:t>
      </w:r>
    </w:p>
    <w:p>
      <w:pPr>
        <w:spacing w:line="580" w:lineRule="exact"/>
        <w:ind w:firstLine="640"/>
        <w:jc w:val="both"/>
      </w:pPr>
      <w:r>
        <w:rPr>
          <w:rFonts w:ascii="仿宋_GB2312" w:hAnsi="仿宋_GB2312" w:eastAsia="仿宋_GB2312"/>
          <w:b w:val="0"/>
          <w:sz w:val="32"/>
        </w:rPr>
        <w:t>9.教育支出（类）教育费附加安排的支出（款）其他教育费附加安排的支出（项）：支出决算数为0.00万元，比上年决算减少115.53万元，下降100.00%，主要原因是：本年减少产教融合人才培养专项经费和往年项目质保金项目经费。</w:t>
      </w:r>
    </w:p>
    <w:p>
      <w:pPr>
        <w:spacing w:line="580" w:lineRule="exact"/>
        <w:ind w:firstLine="640"/>
        <w:jc w:val="both"/>
      </w:pPr>
      <w:r>
        <w:rPr>
          <w:rFonts w:ascii="仿宋_GB2312" w:hAnsi="仿宋_GB2312" w:eastAsia="仿宋_GB2312"/>
          <w:b w:val="0"/>
          <w:sz w:val="32"/>
        </w:rPr>
        <w:t>10.教育支出（类）其他教育支出（款）其他教育支出（项）：支出决算数为0.00万元，比上年决算减少56.66万元，下降100.00%，主要原因是：本年功能科目调整，自治区人民政府高校励志奖学金、助学金、高校伙食补助、自治区大学生实习支教计划、自治区高校班主任、辅导员补贴项目由其他教育支出科目调整至高等职业教育科目列支，经费较上年减少。</w:t>
      </w:r>
    </w:p>
    <w:p>
      <w:pPr>
        <w:spacing w:line="580" w:lineRule="exact"/>
        <w:ind w:firstLine="640"/>
        <w:jc w:val="both"/>
      </w:pPr>
      <w:r>
        <w:rPr>
          <w:rFonts w:ascii="仿宋_GB2312" w:hAnsi="仿宋_GB2312" w:eastAsia="仿宋_GB2312"/>
          <w:b w:val="0"/>
          <w:sz w:val="32"/>
        </w:rPr>
        <w:t>11.科学技术支出（类）其他科学技术支出（款）其他科学技术支出（项）：支出决算数为0.00万元，比上年决算减少20.80万元，下降100.00%，主要原因是：本年减少信创计算机工作经费。</w:t>
      </w:r>
    </w:p>
    <w:p>
      <w:pPr>
        <w:spacing w:line="580" w:lineRule="exact"/>
        <w:ind w:firstLine="640"/>
        <w:jc w:val="both"/>
      </w:pPr>
      <w:r>
        <w:rPr>
          <w:rFonts w:ascii="仿宋_GB2312" w:hAnsi="仿宋_GB2312" w:eastAsia="仿宋_GB2312"/>
          <w:b w:val="0"/>
          <w:sz w:val="32"/>
        </w:rPr>
        <w:t>12.文化旅游体育与传媒支出（类）文化和旅游（款）文化创作与保护（项）：支出决算数为0.00万元，比上年决算减少1.50万元，下降100.00%，主要原因是：本年减少2023年自治区文艺扶持激励项目经费。</w:t>
      </w:r>
    </w:p>
    <w:p>
      <w:pPr>
        <w:spacing w:line="640" w:lineRule="exact"/>
        <w:ind w:firstLine="640"/>
        <w:jc w:val="both"/>
        <w:outlineLvl w:val="2"/>
      </w:pPr>
      <w:r>
        <w:rPr>
          <w:rFonts w:ascii="黑体" w:hAnsi="黑体" w:eastAsia="黑体"/>
          <w:sz w:val="32"/>
        </w:rPr>
        <w:t>六、一般公共预算财政拨款基本支出决算情况说明</w:t>
      </w:r>
    </w:p>
    <w:p>
      <w:pPr>
        <w:spacing w:line="580" w:lineRule="exact"/>
        <w:ind w:firstLine="640"/>
        <w:jc w:val="both"/>
      </w:pPr>
      <w:r>
        <w:rPr>
          <w:rFonts w:ascii="仿宋_GB2312" w:hAnsi="仿宋_GB2312" w:eastAsia="仿宋_GB2312"/>
          <w:b w:val="0"/>
          <w:sz w:val="32"/>
        </w:rPr>
        <w:t>2025年度一般公共预算财政拨款基本支出18,653.27万元，其中：</w:t>
      </w:r>
      <w:r>
        <w:rPr>
          <w:rFonts w:ascii="仿宋_GB2312" w:hAnsi="仿宋_GB2312" w:eastAsia="仿宋_GB2312"/>
          <w:b/>
          <w:sz w:val="32"/>
        </w:rPr>
        <w:t>人员经费18,653.27万元，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住房公积金、其他工资福利支出、退休费、生活补助、助学金、其他对个人和家庭的补助。</w:t>
      </w:r>
    </w:p>
    <w:p>
      <w:pPr>
        <w:spacing w:line="580" w:lineRule="exact"/>
        <w:ind w:firstLine="640"/>
        <w:jc w:val="both"/>
      </w:pPr>
      <w:r>
        <w:rPr>
          <w:rFonts w:ascii="仿宋_GB2312" w:hAnsi="仿宋_GB2312" w:eastAsia="仿宋_GB2312"/>
          <w:b/>
          <w:sz w:val="32"/>
        </w:rPr>
        <w:t>公用经费0.00万元，</w:t>
      </w:r>
      <w:r>
        <w:rPr>
          <w:rFonts w:ascii="仿宋_GB2312" w:hAnsi="仿宋_GB2312" w:eastAsia="仿宋_GB2312"/>
          <w:b w:val="0"/>
          <w:sz w:val="32"/>
        </w:rPr>
        <w:t>包括：无公用经费。</w:t>
      </w:r>
    </w:p>
    <w:p>
      <w:pPr>
        <w:spacing w:line="640" w:lineRule="exact"/>
        <w:ind w:firstLine="640"/>
        <w:jc w:val="both"/>
        <w:outlineLvl w:val="2"/>
      </w:pPr>
      <w:r>
        <w:rPr>
          <w:rFonts w:ascii="黑体" w:hAnsi="黑体" w:eastAsia="黑体"/>
          <w:sz w:val="32"/>
        </w:rPr>
        <w:t>七、政府性基金预算财政拨款收入支出决算情况说明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乌职大本科层次丝路国际交流中心（留学生楼）项目、乌职大本科层次图书馆、体育馆及大门建设经费等重点支出，体现在有关支出科目中。</w:t>
      </w:r>
    </w:p>
    <w:p>
      <w:pPr>
        <w:spacing w:line="580" w:lineRule="exact"/>
        <w:ind w:firstLine="640"/>
        <w:jc w:val="both"/>
      </w:pPr>
      <w:r>
        <w:rPr>
          <w:rFonts w:ascii="仿宋_GB2312" w:hAnsi="仿宋_GB2312" w:eastAsia="仿宋_GB2312"/>
          <w:b/>
          <w:sz w:val="32"/>
        </w:rPr>
        <w:t>2025年度政府性基金预算财政拨款收入总计16,126.46万元，</w:t>
      </w:r>
      <w:r>
        <w:rPr>
          <w:rFonts w:ascii="仿宋_GB2312" w:hAnsi="仿宋_GB2312" w:eastAsia="仿宋_GB2312"/>
          <w:b w:val="0"/>
          <w:sz w:val="32"/>
        </w:rPr>
        <w:t>其中：年初结转和结余0.00万元，本年收入16,126.46万元。</w:t>
      </w:r>
      <w:r>
        <w:rPr>
          <w:rFonts w:ascii="仿宋_GB2312" w:hAnsi="仿宋_GB2312" w:eastAsia="仿宋_GB2312"/>
          <w:b/>
          <w:sz w:val="32"/>
        </w:rPr>
        <w:t>政府性基金预算财政拨款支出总计16,126.46万元，</w:t>
      </w:r>
      <w:r>
        <w:rPr>
          <w:rFonts w:ascii="仿宋_GB2312" w:hAnsi="仿宋_GB2312" w:eastAsia="仿宋_GB2312"/>
          <w:b w:val="0"/>
          <w:sz w:val="32"/>
        </w:rPr>
        <w:t>其中：年末结转和结余0.00万元，本年支出16,126.46万元。</w:t>
      </w:r>
    </w:p>
    <w:p>
      <w:pPr>
        <w:spacing w:line="580" w:lineRule="exact"/>
        <w:ind w:firstLine="640"/>
        <w:jc w:val="both"/>
      </w:pPr>
      <w:r>
        <w:rPr>
          <w:rFonts w:ascii="仿宋_GB2312" w:hAnsi="仿宋_GB2312" w:eastAsia="仿宋_GB2312"/>
          <w:b/>
          <w:sz w:val="32"/>
        </w:rPr>
        <w:t>政府性基金预算财政拨款收入支出总体与上年相比，</w:t>
      </w:r>
      <w:r>
        <w:rPr>
          <w:rFonts w:ascii="仿宋_GB2312" w:hAnsi="仿宋_GB2312" w:eastAsia="仿宋_GB2312"/>
          <w:b w:val="0"/>
          <w:sz w:val="32"/>
        </w:rPr>
        <w:t>增加16,126.46万元，增长100.00%，主要原因是：本年增加乌职大本科层次丝路国际交流中心（留学生楼）项目、乌职大本科层次图书馆、体育馆及大门建设经费。</w:t>
      </w:r>
      <w:r>
        <w:rPr>
          <w:rFonts w:ascii="仿宋_GB2312" w:hAnsi="仿宋_GB2312" w:eastAsia="仿宋_GB2312"/>
          <w:b/>
          <w:sz w:val="32"/>
        </w:rPr>
        <w:t>与年初预算相比，</w:t>
      </w:r>
      <w:r>
        <w:rPr>
          <w:rFonts w:ascii="仿宋_GB2312" w:hAnsi="仿宋_GB2312" w:eastAsia="仿宋_GB2312"/>
          <w:b w:val="0"/>
          <w:sz w:val="32"/>
        </w:rPr>
        <w:t>年初预算数0.00万元，决算数16,126.46万元，预决算差异率100.00%，主要原因是：年中追加乌职大本科层次丝路国际交流中心（留学生楼）项目、乌职大本科层次图书馆、体育馆及大门建设经费，导致预决算存在差异。</w:t>
      </w:r>
    </w:p>
    <w:p>
      <w:pPr>
        <w:spacing w:line="580" w:lineRule="exact"/>
        <w:ind w:firstLine="640"/>
        <w:jc w:val="both"/>
      </w:pPr>
      <w:r>
        <w:rPr>
          <w:rFonts w:ascii="仿宋_GB2312" w:hAnsi="仿宋_GB2312" w:eastAsia="仿宋_GB2312"/>
          <w:b w:val="0"/>
          <w:sz w:val="32"/>
        </w:rPr>
        <w:t>政府性基金预算财政拨款本年支出16,126.46万元。具体情况如下：</w:t>
      </w:r>
    </w:p>
    <w:p>
      <w:pPr>
        <w:spacing w:line="580" w:lineRule="exact"/>
        <w:ind w:firstLine="640"/>
        <w:jc w:val="both"/>
      </w:pPr>
      <w:r>
        <w:rPr>
          <w:rFonts w:ascii="仿宋_GB2312" w:hAnsi="仿宋_GB2312" w:eastAsia="仿宋_GB2312"/>
          <w:b w:val="0"/>
          <w:sz w:val="32"/>
        </w:rPr>
        <w:t>1.其他支出（类）其他政府性基金及对应专项债务收入安排的支出（款）其他地方自行试点项目收益专项债券收入安排的支出（项）：支出决算数为16,126.46万元，比上年决算增加16,126.46万元，增长100.00%，主要原因是：本年增加乌职大本科层次丝路国际交流中心（留学生楼）项目、乌职大本科层次图书馆、体育馆及大门建设经费。</w:t>
      </w:r>
    </w:p>
    <w:p>
      <w:pPr>
        <w:spacing w:line="640" w:lineRule="exact"/>
        <w:ind w:firstLine="640"/>
        <w:jc w:val="both"/>
        <w:outlineLvl w:val="2"/>
      </w:pPr>
      <w:r>
        <w:rPr>
          <w:rFonts w:ascii="黑体" w:hAnsi="黑体" w:eastAsia="黑体"/>
          <w:sz w:val="32"/>
        </w:rPr>
        <w:t>八、国有资本经营预算财政拨款收入支出决算情况说明</w:t>
      </w:r>
    </w:p>
    <w:p>
      <w:pPr>
        <w:spacing w:line="580" w:lineRule="exact"/>
        <w:ind w:firstLine="640"/>
        <w:jc w:val="both"/>
      </w:pPr>
      <w:r>
        <w:rPr>
          <w:rFonts w:ascii="仿宋_GB2312" w:hAnsi="仿宋_GB2312" w:eastAsia="仿宋_GB2312"/>
          <w:b w:val="0"/>
          <w:sz w:val="32"/>
        </w:rPr>
        <w:t>本部门本年度无国有资本经营预算财政拨款收入、支出及结转和结余，国有资本经营预算财政拨款收入支出决算表为空表。</w:t>
      </w:r>
    </w:p>
    <w:p>
      <w:pPr>
        <w:spacing w:line="640" w:lineRule="exact"/>
        <w:ind w:firstLine="640"/>
        <w:jc w:val="both"/>
        <w:outlineLvl w:val="2"/>
      </w:pPr>
      <w:r>
        <w:rPr>
          <w:rFonts w:ascii="黑体" w:hAnsi="黑体" w:eastAsia="黑体"/>
          <w:sz w:val="32"/>
        </w:rPr>
        <w:t>九、财政拨款“三公”经费支出决算情况说明</w:t>
      </w:r>
    </w:p>
    <w:p>
      <w:pPr>
        <w:spacing w:line="580" w:lineRule="exact"/>
        <w:ind w:firstLine="640"/>
        <w:jc w:val="both"/>
      </w:pPr>
      <w:r>
        <w:rPr>
          <w:rFonts w:ascii="仿宋_GB2312" w:hAnsi="仿宋_GB2312" w:eastAsia="仿宋_GB2312"/>
          <w:b/>
          <w:sz w:val="32"/>
        </w:rPr>
        <w:t>2025年度财政拨款“三公”经费支出0.00万元，</w:t>
      </w:r>
      <w:r>
        <w:rPr>
          <w:rFonts w:ascii="仿宋_GB2312" w:hAnsi="仿宋_GB2312" w:eastAsia="仿宋_GB2312"/>
          <w:b w:val="0"/>
          <w:sz w:val="32"/>
        </w:rPr>
        <w:t>比上年减少36.21万元，下降99.97%，主要原因是：本年公务用车购置及运行维护费、因公出国（境）费用由财政专户-学费收入保障，无财政拨款“三公”经费支出。</w:t>
      </w:r>
      <w:r>
        <w:rPr>
          <w:rFonts w:ascii="仿宋_GB2312" w:hAnsi="仿宋_GB2312" w:eastAsia="仿宋_GB2312"/>
          <w:b w:val="0"/>
          <w:sz w:val="32"/>
        </w:rPr>
        <w:t>其中：因公出国（境）费用支出0.00万元，占0.00%，比上年减少23.80万元，下降100.00%，主要原因是：本年因公出国（境）费用由财政专户-学费收入保障，无因公出国（境）费用支出。</w:t>
      </w:r>
      <w:r>
        <w:rPr>
          <w:rFonts w:ascii="仿宋_GB2312" w:hAnsi="仿宋_GB2312" w:eastAsia="仿宋_GB2312"/>
          <w:b w:val="0"/>
          <w:sz w:val="32"/>
        </w:rPr>
        <w:t>公务用车购置及运行维护费支出0.00万元，占0.00%，比上年减少12.41万元，下降100.00%，主要原因是：本年公务用车购置及运行维护费由财政专户-学费收入保障，无公务用车购置及运行维护费支出。</w:t>
      </w:r>
      <w:r>
        <w:rPr>
          <w:rFonts w:ascii="仿宋_GB2312" w:hAnsi="仿宋_GB2312" w:eastAsia="仿宋_GB2312"/>
          <w:b w:val="0"/>
          <w:sz w:val="32"/>
        </w:rPr>
        <w:t>公务接待费支出0.00万元，占0.00%，比上年增加0.00万元，增长0.00%，主要原因是：2024年与2025年均无公务接待费支出。</w:t>
      </w:r>
    </w:p>
    <w:p>
      <w:pPr>
        <w:spacing w:line="580" w:lineRule="exact"/>
        <w:ind w:firstLine="640"/>
        <w:jc w:val="both"/>
      </w:pPr>
      <w:r>
        <w:rPr>
          <w:rFonts w:ascii="仿宋_GB2312" w:hAnsi="仿宋_GB2312" w:eastAsia="仿宋_GB2312"/>
          <w:b/>
          <w:sz w:val="32"/>
        </w:rPr>
        <w:t>具体情况如下：</w:t>
      </w:r>
    </w:p>
    <w:p>
      <w:pPr>
        <w:spacing w:line="580" w:lineRule="exact"/>
        <w:ind w:firstLine="640"/>
        <w:jc w:val="both"/>
      </w:pPr>
      <w:r>
        <w:rPr>
          <w:rFonts w:ascii="仿宋_GB2312" w:hAnsi="仿宋_GB2312" w:eastAsia="仿宋_GB2312"/>
          <w:b w:val="0"/>
          <w:sz w:val="32"/>
        </w:rPr>
        <w:t>因公出国（境）费用0.00万元，开支内容包括本部门无因公出国（境）费用。部门全年安排的因公出国（境）团组0个，因公出国（境）0人次。</w:t>
      </w:r>
    </w:p>
    <w:p>
      <w:pPr>
        <w:spacing w:line="580" w:lineRule="exact"/>
        <w:ind w:firstLine="640"/>
        <w:jc w:val="both"/>
      </w:pPr>
      <w:r>
        <w:rPr>
          <w:rFonts w:ascii="仿宋_GB2312" w:hAnsi="仿宋_GB2312" w:eastAsia="仿宋_GB2312"/>
          <w:b w:val="0"/>
          <w:sz w:val="32"/>
        </w:rPr>
        <w:t>公务用车购置及运行维护费0.00万元，其中：公务用车购置费0.00万元，公务用车运行维护费0.00万元。公务用车运行维护费开支内容包括本部门无公务用车运行维护费。公务用车购置数0辆，公务用车保有量0辆。国有资产占用情况中固定资产车辆6辆，与公务用车保有量差异原因是：差异车辆为部门业务用车，车辆费用未使用财政拨款公务用车运行维护费支付，由财政专户-学费收入保障。</w:t>
      </w:r>
    </w:p>
    <w:p>
      <w:pPr>
        <w:spacing w:line="580" w:lineRule="exact"/>
        <w:ind w:firstLine="640"/>
        <w:jc w:val="both"/>
      </w:pPr>
      <w:r>
        <w:rPr>
          <w:rFonts w:ascii="仿宋_GB2312" w:hAnsi="仿宋_GB2312" w:eastAsia="仿宋_GB2312"/>
          <w:b w:val="0"/>
          <w:sz w:val="32"/>
        </w:rPr>
        <w:t>公务接待费0.00万元，开支内容包括本部门无公务接待费。部门全年安排的国内公务接待0批次，0人次。</w:t>
      </w:r>
    </w:p>
    <w:p>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0.00万元，决算数0.00万元，预决算差异率0.00%，主要原因是：本部门无财政拨款“三公”经费。其中：因公出国（境）费用全年预算数0.00万元，决算数0.00万元，预决算差异率0.00%，主要原因是：本部门无因公出国（境）费用。公务用车购置费全年预算数0.00万元，决算数0.00万元，预决算差异率0.00%，主要原因是：本部门无公务用车购置费。公务用车运行维护费全年预算数0.00万元，决算数0.00万元，预决算差异率0.00%，主要原因是：本部门无公务用车运行维护费。公务接待费全年预算数0.00万元，决算数0.00万元，预决算差异率0.00%，主要原因是：本部门无公务接待费。</w:t>
      </w:r>
    </w:p>
    <w:p>
      <w:pPr>
        <w:spacing w:line="640" w:lineRule="exact"/>
        <w:ind w:firstLine="640"/>
        <w:jc w:val="both"/>
        <w:outlineLvl w:val="2"/>
      </w:pPr>
      <w:r>
        <w:rPr>
          <w:rFonts w:ascii="黑体" w:hAnsi="黑体" w:eastAsia="黑体"/>
          <w:sz w:val="32"/>
        </w:rPr>
        <w:t>十、其他重要事项的情况说明</w:t>
      </w:r>
    </w:p>
    <w:p>
      <w:pPr>
        <w:spacing w:line="640" w:lineRule="exact"/>
        <w:ind w:firstLine="640"/>
        <w:jc w:val="both"/>
        <w:outlineLvl w:val="3"/>
      </w:pPr>
      <w:r>
        <w:rPr>
          <w:rFonts w:ascii="楷体_GB2312" w:hAnsi="楷体_GB2312" w:eastAsia="楷体_GB2312"/>
          <w:b/>
          <w:sz w:val="32"/>
        </w:rPr>
        <w:t>（一）机关运行经费及公用经费支出情况</w:t>
      </w:r>
    </w:p>
    <w:p>
      <w:pPr>
        <w:spacing w:line="580" w:lineRule="exact"/>
        <w:ind w:firstLine="640"/>
        <w:jc w:val="both"/>
      </w:pPr>
      <w:r>
        <w:rPr>
          <w:rFonts w:ascii="仿宋_GB2312" w:hAnsi="仿宋_GB2312" w:eastAsia="仿宋_GB2312"/>
          <w:b w:val="0"/>
          <w:sz w:val="32"/>
        </w:rPr>
        <w:t>2025年度乌鲁木齐职业大学（事业单位）公用经费支出0.00万元，比上年减少3,307.49万元，下降100.00%，主要原因是：本年度经费保障结构调整，公用经费由一般公共预算保障调整为财政专户-学费收入资金保障，无公用经费支出。</w:t>
      </w:r>
    </w:p>
    <w:p>
      <w:pPr>
        <w:spacing w:line="640" w:lineRule="exact"/>
        <w:ind w:firstLine="640"/>
        <w:jc w:val="both"/>
        <w:outlineLvl w:val="3"/>
      </w:pPr>
      <w:r>
        <w:rPr>
          <w:rFonts w:ascii="楷体_GB2312" w:hAnsi="楷体_GB2312" w:eastAsia="楷体_GB2312"/>
          <w:b/>
          <w:sz w:val="32"/>
        </w:rPr>
        <w:t>（二）政府采购情况</w:t>
      </w:r>
    </w:p>
    <w:p>
      <w:pPr>
        <w:spacing w:line="580" w:lineRule="exact"/>
        <w:ind w:firstLine="640"/>
        <w:jc w:val="both"/>
      </w:pPr>
      <w:r>
        <w:rPr>
          <w:rFonts w:ascii="仿宋_GB2312" w:hAnsi="仿宋_GB2312" w:eastAsia="仿宋_GB2312"/>
          <w:b w:val="0"/>
          <w:sz w:val="32"/>
        </w:rPr>
        <w:t>2025年度政府采购支出总额5,593.42万元，其中：政府采购货物支出1,254.26万元、政府采购工程支出1,487.36万元、政府采购服务支出2,851.80万元。</w:t>
      </w:r>
    </w:p>
    <w:p>
      <w:pPr>
        <w:spacing w:line="580" w:lineRule="exact"/>
        <w:ind w:firstLine="640"/>
        <w:jc w:val="both"/>
      </w:pPr>
      <w:r>
        <w:rPr>
          <w:rFonts w:ascii="仿宋_GB2312" w:hAnsi="仿宋_GB2312" w:eastAsia="仿宋_GB2312"/>
          <w:b w:val="0"/>
          <w:sz w:val="32"/>
        </w:rPr>
        <w:t>授予中小企业合同金额4,906.57万元，占政府采购支出总额的87.72%，其中：授予小微企业合同金额4,486.60万元，占政府采购支出总额的80.21%。</w:t>
      </w:r>
    </w:p>
    <w:p>
      <w:pPr>
        <w:spacing w:line="640" w:lineRule="exact"/>
        <w:ind w:firstLine="640"/>
        <w:jc w:val="both"/>
        <w:outlineLvl w:val="3"/>
      </w:pPr>
      <w:r>
        <w:rPr>
          <w:rFonts w:ascii="楷体_GB2312" w:hAnsi="楷体_GB2312" w:eastAsia="楷体_GB2312"/>
          <w:b/>
          <w:sz w:val="32"/>
        </w:rPr>
        <w:t>（三）国有资产占用情况说明</w:t>
      </w:r>
    </w:p>
    <w:p>
      <w:pPr>
        <w:spacing w:line="580" w:lineRule="exact"/>
        <w:ind w:firstLine="640"/>
        <w:jc w:val="both"/>
      </w:pPr>
      <w:r>
        <w:rPr>
          <w:rFonts w:ascii="仿宋_GB2312" w:hAnsi="仿宋_GB2312" w:eastAsia="仿宋_GB2312"/>
          <w:b w:val="0"/>
          <w:sz w:val="32"/>
        </w:rPr>
        <w:t>截至2025年12月31日，房屋360,999.29平方米，价值86,560.76万元。车辆6辆，价值230.39万元，其中：副部（省）级及以上领导用车0辆、主要负责人用车0辆、机要通信用车0辆、应急保障用车0辆、执法执勤用车0辆、特种专业技术用车0辆、离退休干部服务用车0辆、其他用车6辆，其他用车主要是：部门业务用车。单价100万元（含）以上设备（不含车辆）8台（套）。</w:t>
      </w:r>
    </w:p>
    <w:p>
      <w:pPr>
        <w:spacing w:line="640" w:lineRule="exact"/>
        <w:ind w:firstLine="640"/>
        <w:jc w:val="both"/>
        <w:outlineLvl w:val="2"/>
      </w:pPr>
      <w:r>
        <w:rPr>
          <w:rFonts w:ascii="黑体" w:hAnsi="黑体" w:eastAsia="黑体"/>
          <w:sz w:val="32"/>
        </w:rPr>
        <w:t>十一、预算绩效的情况说明</w:t>
      </w:r>
    </w:p>
    <w:p>
      <w:pPr>
        <w:spacing w:line="580" w:lineRule="exact"/>
        <w:ind w:firstLine="640"/>
        <w:jc w:val="both"/>
      </w:pPr>
      <w:r>
        <w:rPr>
          <w:rFonts w:ascii="仿宋_GB2312" w:hAnsi="仿宋_GB2312" w:eastAsia="仿宋_GB2312"/>
          <w:b w:val="0"/>
          <w:sz w:val="32"/>
        </w:rPr>
        <w:t>根据预算绩效管理要求，本部门2025年度预算绩效管理形成整体支出绩效自评表1个，全年预算总额54,480.51万元，实际执行总额53,354.63万元；预算绩效评价项目28个，全年预算数15,658.18万元，全年执行数14,161.24万元。预算绩效管理取得的成效：一是以绩效目标实现为导向，加强制度建设，提升预算执行质量，预算绩效管理取得一定成效。预算绩效管理取得的成效，科学制定目标，促进绩效目标顺利实现。二是自落实预算绩效管理工作以来，在资金的使用上都有了更明确、更清晰的理解和认识。通过实施预算绩效管理，树立了绩效优先的管理理念，也很好的避免了在经费使用上出现违规行为的几率，提升了部门管理水平和资金使用效益，为全面实施绩效管理打下了坚实的基础。发现的问题及原因：一是财政绩效管理有待提高。相关绩效管理方面专业知识的系统性学习有待加强。二是原因分析按照财政支出绩效管理的要求，建立科学的财政资金效益考评制度体系，不断完善绩效评价的评价体系及工作流程，提高财政资金使用管理的水平和效率。对预算绩效管理、绩效理念尚未真正贯穿于实践工作，相关工作人员经验不足，绩效管理意识不高，对于指标的编制还不够完善。评价工作还存在自我审定的局限性，影响评价质量。下一步改进措施：持续强化绩效管理理念宣贯，通过政策专题解读、典型案例剖析、工作实务宣讲等方式，破除传统思维定式，引导全体工作人员深刻理解预算绩效管理的政策要求、核心意义与实践价值，牢固树立绩效优先、效益导向的工作理念。构建分层分类、常态化的专业培训体系，围绕绩效目标编制、指标量化设计、执行动态监控、评价结果运用等全流程内容，开展实操性培训，针对性提升工作人员的专业素养与业务能力。具体附整体支出绩效自评表、项目支出绩效自评表及项目支出绩效评价报告。</w:t>
      </w:r>
    </w:p>
    <w:p>
      <w:r>
        <w:br w:type="page"/>
      </w:r>
    </w:p>
    <w:tbl>
      <w:tblPr>
        <w:tblW w:type="pct" w:w="5000"/>
        <w:tblLayout w:type="fixed"/>
        <w:tblLook w:firstColumn="1" w:firstRow="1" w:lastColumn="0" w:lastRow="0" w:noHBand="0" w:noVBand="1" w:val="04A0"/>
        <w:tblCellMar>
          <w:top w:w="36" w:type="dxa"/>
          <w:left w:w="36" w:type="dxa"/>
          <w:bottom w:w="36" w:type="dxa"/>
          <w:right w:w="36" w:type="dxa"/>
        </w:tblCellMar>
      </w:tblPr>
      <w:tblGrid>
        <w:gridCol w:w="355"/>
        <w:gridCol w:w="885"/>
        <w:gridCol w:w="933"/>
        <w:gridCol w:w="1957"/>
        <w:gridCol w:w="1240"/>
        <w:gridCol w:w="1483"/>
        <w:gridCol w:w="592"/>
        <w:gridCol w:w="696"/>
        <w:gridCol w:w="703"/>
      </w:tblGrid>
      <w:tr>
        <w:trPr>
          <w:trHeight w:val="522"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部门（单位）整体支出绩效目标自评表</w:t>
            </w:r>
          </w:p>
        </w:tc>
      </w:tr>
      <w:tr>
        <w:trPr>
          <w:trHeight w:val="360"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66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部门（单位）名称</w:t>
            </w:r>
          </w:p>
        </w:tc>
        <w:tc>
          <w:tcPr>
            <w:tcW w:type="dxa" w:w="98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乌鲁木齐职业大学</w:t>
            </w:r>
          </w:p>
        </w:tc>
      </w:tr>
      <w:tr>
        <w:trPr>
          <w:trHeight w:val="57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部门资金（万元）</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资金来源</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执行率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得分</w:t>
            </w:r>
          </w:p>
        </w:tc>
      </w:tr>
      <w:tr>
        <w:trPr>
          <w:trHeight w:val="882"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38,669.88</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54,480.51</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53,354.63</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97.93%</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9.79</w:t>
            </w:r>
          </w:p>
        </w:tc>
      </w:tr>
      <w:tr>
        <w:trPr>
          <w:trHeight w:val="882"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上级资金：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5,086.07</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19,879.52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19,879.52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2"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30,853.39</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30,993.73</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30,993.73</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2"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2,730.42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3,607.26</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2,481.38</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705"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实际完成情况</w:t>
            </w:r>
          </w:p>
        </w:tc>
      </w:tr>
      <w:tr>
        <w:trPr>
          <w:trHeight w:val="1999" w:hRule="atLeast"/>
        </w:trPr>
        <w:tc>
          <w:tcPr>
            <w:tcW w:type="dxa" w:w="983"/>
            <w:gridSpan w:val="2"/>
            <w:vMerge/>
            <w:tcBorders>
              <w:start w:sz="10" w:val="single"/>
              <w:top w:sz="10" w:val="single"/>
              <w:end w:sz="10" w:val="single"/>
              <w:bottom w:sz="10" w:val="single"/>
              <w:insideV w:sz="10" w:val="single"/>
            </w:tcBorders>
          </w:tcP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学校以高等职业教育为主体，以中等职业教育和成人继续教育为补充，同时开展会计继续教育培训、普通话测试培训等社会服务项目、接受自治区和乌鲁木齐市委托培养的教育、中小学教学继续教育、中职骨干教师培训等各类培训和非学历教育高等职业院校单位。            本年度主要工作任务如下：
目标一：深入分析职业教育发展的新形势、新要求，聚焦高水平学校、高水平专业群建设任务和高质量本科层次学校建设目标。                
目标二：坚持目标导向和问题导向，部署教育教学改革的目标和任务，找准角色和定位，提升人才培养能力和水平，提高素质人才支撑和智力保障，以项目建设，学校积极探索现代职业教育发展的新要求，深化产教融合、校企合作、创新产学研结合的现代服务业人才培养模式，充分发挥学校辐射带动和示范引领作用，不断提高服务区域经济社会发展能力。
目标三：提升师资素质、优化专业结构、改善办学条件为重点、全面引领新疆职业教育“职教出海”，深化中外合作办学力度，主动对接乌鲁木齐市产业结构升级的实际需求，加强专业。建设，发挥区域职业教育领域的龙头作用</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截至2025年底，校紧扣高质量发展目标，立足高等职业教育主体地位，统筹推进本科层次专业建设、教学改革、师资优化、国际合作与就业服务等核心职能，取得显著成效。
1.在学历教育方面，依据《本科层次职业教育专业设置管理办法（试行）》，完成4个本科专业招生，有效改善生源结构，向高水平本科层次职业学校建设迈出实质性步伐。
2，在教学改革方面，获得高水平“三教”改革立项项目35个，为本科层次职业教育教学方式创新提供了理论参考与实践促教支撑，教学运行服务保障能力持续提升。
3.在师资队伍建设上，通过“银龄教师”计划引进具有正高职称或博士学位的退休高层次人才10名，有效缓解部分专业师资紧缺问题，推动教学与科研水平同步提升。
4.在国际合作领域，稳步扩大中外合作办学规模与质量，完成6个中外合作办学项目专业建设，有力推动了区域产业发展对国际化视野人才的培养需求，学校国际影响力持续增强，为建成较高国际化水平院校夯实基础。
5.在学生就业服务方面，切实履行就业指导、岗位推荐、困难帮扶、就业活动组织等核心职能，毕业生就业率达到97.65%，人才培养质量得到社会充分认可。
综上，学校在2025年度全面履行了高等职业学历教育、专业建设改革、师资引育、国际合作、就业服务及服务区域经济社会发展等核心职能，发挥了区域职业教育龙头的示范引领作用。</w:t>
            </w:r>
          </w:p>
        </w:tc>
      </w:tr>
      <w:tr>
        <w:trPr>
          <w:trHeight w:val="582"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预期指标值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指标值设定依据</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得分</w:t>
            </w:r>
          </w:p>
        </w:tc>
      </w:tr>
      <w:tr>
        <w:trPr>
          <w:trHeight w:val="739"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履职效能</w:t>
            </w:r>
          </w:p>
        </w:tc>
        <w:tc>
          <w:tcPr>
            <w:tcW w:type="dxa" w:w="98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专业本科层次招生数量</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&gt;=5个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《中共乌鲁木齐职业大学委员会关于2024年 工作总结和2025年工作计划的报告》</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w:t>
            </w:r>
          </w:p>
        </w:tc>
      </w:tr>
      <w:tr>
        <w:trPr>
          <w:trHeight w:val="739"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立项高水平的“三教”改革研究项目</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&gt;=20个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《中共乌鲁木齐职业大学委员会关于2024年 工作总结和2025年工作计划的报告》、《乌鲁木齐职业大学“三教”改革项目申报指南及通知》</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35个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r>
      <w:tr>
        <w:trPr>
          <w:trHeight w:val="739"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引进具有正高职称或博士学位的“银龄教师”</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=10人</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《中共乌鲁木齐职业大学委员会关于2024年 工作总结和2025年工作计划的报告》</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10人</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r>
      <w:tr>
        <w:trPr>
          <w:trHeight w:val="739" w:hRule="atLeast"/>
          <w:cantSplit/>
        </w:trPr>
        <w:tc>
          <w:tcPr>
            <w:tcW w:type="dxa" w:w="983"/>
            <w:gridSpan w:val="2"/>
            <w:vMerge/>
            <w:tcBorders>
              <w:start w:sz="10" w:val="single"/>
              <w:top w:sz="10" w:val="single"/>
              <w:end w:sz="10" w:val="single"/>
              <w:bottom w:sz="10" w:val="single"/>
              <w:insideV w:sz="10" w:val="single"/>
            </w:tcBorders>
          </w:tcPr>
          <w:p/>
        </w:tc>
        <w:tc>
          <w:tcPr>
            <w:tcW w:type="dxa" w:w="98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提升中外办学项目专业办学质量数量</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&gt;=6个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《中共乌鲁木齐职业大学委员会关于2024年 工作总结和2025年工作计划的报告》</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r>
      <w:tr>
        <w:trPr>
          <w:trHeight w:val="739"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可持续发展能力</w:t>
            </w: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提高人才培养质量，保持就业率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&gt;=93%</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《中共乌鲁木齐职业大学委员会关于2024年 工作总结和2025年工作计划的报告》</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97.65%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w:t>
            </w:r>
          </w:p>
        </w:tc>
      </w:tr>
    </w:tbl>
    <w:p>
      <w:r>
        <w:br w:type="page"/>
      </w:r>
    </w:p>
    <w:p>
      <w:pPr>
        <w:sectPr>
          <w:footerReference r:id="rId3" w:type="default"/>
          <w:pgSz w:w="11906" w:h="16838"/>
          <w:pgMar w:top="2098" w:right="1531" w:bottom="1985" w:left="1531" w:header="851" w:footer="992" w:gutter="0"/>
          <w:cols w:space="720" w:num="1"/>
          <w:docGrid w:type="lines" w:linePitch="312" w:charSpace="0"/>
        </w:sectPr>
      </w:pPr>
    </w:p>
    <w:tbl>
      <w:tblPr>
        <w:tblW w:type="pct" w:w="5000"/>
        <w:tblLook w:firstColumn="1" w:firstRow="1" w:lastColumn="0" w:lastRow="0" w:noHBand="0" w:noVBand="1" w:val="04A0"/>
        <w:tblCellMar>
          <w:top w:w="36" w:type="dxa"/>
          <w:left w:w="36" w:type="dxa"/>
          <w:bottom w:w="36" w:type="dxa"/>
          <w:right w:w="36" w:type="dxa"/>
        </w:tblCellMar>
      </w:tblPr>
      <w:tblGrid>
        <w:gridCol w:w="614"/>
        <w:gridCol w:w="614"/>
        <w:gridCol w:w="597"/>
        <w:gridCol w:w="430"/>
        <w:gridCol w:w="451"/>
        <w:gridCol w:w="225"/>
        <w:gridCol w:w="821"/>
        <w:gridCol w:w="614"/>
        <w:gridCol w:w="559"/>
        <w:gridCol w:w="284"/>
        <w:gridCol w:w="520"/>
        <w:gridCol w:w="412"/>
        <w:gridCol w:w="464"/>
        <w:gridCol w:w="614"/>
        <w:gridCol w:w="473"/>
        <w:gridCol w:w="614"/>
      </w:tblGrid>
      <w:tr>
        <w:trPr>
          <w:trHeight w:val="420" w:hRule="atLeast"/>
        </w:trPr>
        <w:tc>
          <w:tcPr>
            <w:tcW w:type="dxa" w:w="519"/>
            <w:gridSpan w:val="1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400" w:hRule="atLeast"/>
        </w:trPr>
        <w:tc>
          <w:tcPr>
            <w:tcW w:type="dxa" w:w="519"/>
            <w:gridSpan w:val="1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499" w:hRule="atLeast"/>
        </w:trPr>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项目名称</w:t>
            </w:r>
          </w:p>
        </w:tc>
        <w:tc>
          <w:tcPr>
            <w:tcW w:type="dxa" w:w="519"/>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2025年“职业院校教师素质提高计划”培训项目奖补资金</w:t>
            </w:r>
          </w:p>
        </w:tc>
      </w:tr>
      <w:tr>
        <w:trPr>
          <w:trHeight w:val="499" w:hRule="atLeast"/>
        </w:trPr>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主管部门</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乌鲁木齐职业大学</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实施单位</w:t>
            </w:r>
          </w:p>
        </w:tc>
        <w:tc>
          <w:tcPr>
            <w:tcW w:type="dxa" w:w="519"/>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乌鲁木齐职业大学</w:t>
            </w:r>
          </w:p>
        </w:tc>
      </w:tr>
      <w:tr>
        <w:trPr>
          <w:trHeight w:val="499" w:hRule="atLeast"/>
        </w:trPr>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项目资金
（万元）</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分值</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执行率</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得分</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年度资金总额</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21.00</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19.61</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19.61</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10.00分</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其中：当年财政拨款</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21.00</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19.61</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19.61</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499" w:hRule="atLeast"/>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519"/>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519"/>
            <w:gridSpan w:val="8"/>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实际完成情况</w:t>
            </w:r>
          </w:p>
        </w:tc>
      </w:tr>
      <w:tr>
        <w:trPr>
          <w:trHeight w:val="2430" w:hRule="atLeast"/>
        </w:trPr>
        <w:tc>
          <w:tcPr>
            <w:tcW w:type="dxa" w:w="519"/>
            <w:vMerge/>
            <w:tcBorders>
              <w:start w:sz="10" w:val="single"/>
              <w:top w:sz="10" w:val="single"/>
              <w:end w:sz="10" w:val="single"/>
              <w:bottom w:sz="10" w:val="single"/>
              <w:insideV w:sz="10" w:val="single"/>
            </w:tcBorders>
          </w:tcPr>
          <w:p/>
        </w:tc>
        <w:tc>
          <w:tcPr>
            <w:tcW w:type="dxa" w:w="519"/>
            <w:gridSpan w:val="7"/>
            <w:tcBorders>
              <w:start w:sz="10" w:val="single"/>
              <w:top w:sz="10" w:val="single"/>
              <w:end w:sz="10" w:val="single"/>
              <w:bottom w:sz="10" w:val="single"/>
              <w:insideV w:sz="10" w:val="single"/>
            </w:tcBorders>
            <w:vAlign w:val="top"/>
          </w:tcPr>
          <w:p>
            <w:pPr>
              <w:spacing w:before="0" w:after="0" w:line="240" w:lineRule="auto"/>
              <w:jc w:val="center"/>
            </w:pPr>
            <w:r>
              <w:rPr>
                <w:rFonts w:ascii="宋体" w:hAnsi="宋体" w:eastAsia="宋体" w:cs="宋体"/>
                <w:b w:val="0"/>
                <w:i w:val="0"/>
                <w:sz w:val="18"/>
              </w:rPr>
              <w:t>按计划完成对30名中职音乐专业教师的培训任务，累计研修14天，观摩一次，有效提升教师教学能力。</w:t>
            </w:r>
          </w:p>
        </w:tc>
        <w:tc>
          <w:tcPr>
            <w:tcW w:type="dxa" w:w="519"/>
            <w:gridSpan w:val="8"/>
            <w:tcBorders>
              <w:start w:sz="10" w:val="single"/>
              <w:top w:sz="10" w:val="single"/>
              <w:end w:sz="10" w:val="single"/>
              <w:bottom w:sz="10" w:val="single"/>
              <w:insideV w:sz="10" w:val="single"/>
            </w:tcBorders>
            <w:vAlign w:val="top"/>
          </w:tcPr>
          <w:p>
            <w:pPr>
              <w:spacing w:before="0" w:after="0" w:line="240" w:lineRule="auto"/>
              <w:jc w:val="center"/>
            </w:pPr>
            <w:r>
              <w:rPr>
                <w:rFonts w:ascii="宋体" w:hAnsi="宋体" w:eastAsia="宋体" w:cs="宋体"/>
                <w:b w:val="0"/>
                <w:i w:val="0"/>
                <w:sz w:val="18"/>
              </w:rPr>
              <w:t>截至2025年年底，该项目实际组织培训人数30人，培训天数14天，校外时间观摩次数1次，培训结业率100%，培训费用实际支出19.61万，人均经济成本指标支出=19.61/30人=0.65万元，通过项目提升教师教学能力提升，学员培训满意度为99.28%。</w:t>
            </w:r>
          </w:p>
        </w:tc>
      </w:tr>
      <w:tr>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519"/>
            <w:gridSpan w:val="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年度指标值</w:t>
            </w:r>
          </w:p>
        </w:tc>
        <w:tc>
          <w:tcPr>
            <w:tcW w:type="dxa" w:w="519"/>
            <w:gridSpan w:val="2"/>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分值</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得分</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实际完成值</w:t>
            </w:r>
          </w:p>
        </w:tc>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偏差原因分析及改进措施</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完成率</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指标性质</w:t>
            </w:r>
          </w:p>
        </w:tc>
      </w:tr>
      <w:tr>
        <w:trPr>
          <w:trHeight w:val="345"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gridSpan w:val="3"/>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r>
      <w:tr>
        <w:trPr>
          <w:trHeight w:val="580" w:hRule="atLeast"/>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年度绩效指标完成情况</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培训人数</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=30人</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=30人</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培训天数</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=14天</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=14天</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校外实践观摩次数</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培训结业率</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人均培训费用</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=0.65万</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=0.65万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教师教学能力提升</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基本达成目标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定性</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学员培训满意度</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=99.28%</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499" w:hRule="atLeast"/>
        </w:trPr>
        <w:tc>
          <w:tcPr>
            <w:tcW w:type="dxa" w:w="519"/>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总分</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614"/>
        <w:gridCol w:w="614"/>
        <w:gridCol w:w="597"/>
        <w:gridCol w:w="430"/>
        <w:gridCol w:w="451"/>
        <w:gridCol w:w="225"/>
        <w:gridCol w:w="821"/>
        <w:gridCol w:w="614"/>
        <w:gridCol w:w="558"/>
        <w:gridCol w:w="284"/>
        <w:gridCol w:w="520"/>
        <w:gridCol w:w="412"/>
        <w:gridCol w:w="464"/>
        <w:gridCol w:w="614"/>
        <w:gridCol w:w="473"/>
        <w:gridCol w:w="614"/>
      </w:tblGrid>
      <w:tr>
        <w:trPr>
          <w:trHeight w:val="405" w:hRule="atLeast"/>
        </w:trPr>
        <w:tc>
          <w:tcPr>
            <w:tcW w:type="dxa" w:w="519"/>
            <w:gridSpan w:val="1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400" w:hRule="atLeast"/>
        </w:trPr>
        <w:tc>
          <w:tcPr>
            <w:tcW w:type="dxa" w:w="519"/>
            <w:gridSpan w:val="1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499" w:hRule="atLeast"/>
        </w:trPr>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项目名称</w:t>
            </w:r>
          </w:p>
        </w:tc>
        <w:tc>
          <w:tcPr>
            <w:tcW w:type="dxa" w:w="519"/>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2025年中小学幼儿园教师国家级培训</w:t>
            </w:r>
          </w:p>
        </w:tc>
      </w:tr>
      <w:tr>
        <w:trPr>
          <w:trHeight w:val="499" w:hRule="atLeast"/>
        </w:trPr>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主管部门</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乌鲁木齐职业大学</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实施单位</w:t>
            </w:r>
          </w:p>
        </w:tc>
        <w:tc>
          <w:tcPr>
            <w:tcW w:type="dxa" w:w="519"/>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乌鲁木齐职业大学</w:t>
            </w:r>
          </w:p>
        </w:tc>
      </w:tr>
      <w:tr>
        <w:trPr>
          <w:trHeight w:val="499" w:hRule="atLeast"/>
        </w:trPr>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项目资金
（万元）</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分值</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执行率</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得分</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年度资金总额</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37.65</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22.83</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22.83</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10.00分</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其中：当年财政拨款</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37.65</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22.83</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22.83</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499" w:hRule="atLeast"/>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519"/>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519"/>
            <w:gridSpan w:val="8"/>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实际完成情况</w:t>
            </w:r>
          </w:p>
        </w:tc>
      </w:tr>
      <w:tr>
        <w:trPr>
          <w:trHeight w:val="2430" w:hRule="atLeast"/>
        </w:trPr>
        <w:tc>
          <w:tcPr>
            <w:tcW w:type="dxa" w:w="519"/>
            <w:vMerge/>
            <w:tcBorders>
              <w:start w:sz="10" w:val="single"/>
              <w:top w:sz="10" w:val="single"/>
              <w:end w:sz="10" w:val="single"/>
              <w:bottom w:sz="10" w:val="single"/>
              <w:insideV w:sz="10" w:val="single"/>
            </w:tcBorders>
          </w:tcPr>
          <w:p/>
        </w:tc>
        <w:tc>
          <w:tcPr>
            <w:tcW w:type="dxa" w:w="519"/>
            <w:gridSpan w:val="7"/>
            <w:tcBorders>
              <w:start w:sz="10" w:val="single"/>
              <w:top w:sz="10" w:val="single"/>
              <w:end w:sz="10" w:val="single"/>
              <w:bottom w:sz="10" w:val="single"/>
              <w:insideV w:sz="10" w:val="single"/>
            </w:tcBorders>
            <w:vAlign w:val="top"/>
          </w:tcPr>
          <w:p>
            <w:pPr>
              <w:spacing w:before="0" w:after="0" w:line="240" w:lineRule="auto"/>
              <w:jc w:val="center"/>
            </w:pPr>
            <w:r>
              <w:rPr>
                <w:rFonts w:ascii="宋体" w:hAnsi="宋体" w:eastAsia="宋体" w:cs="宋体"/>
                <w:b w:val="0"/>
                <w:i w:val="0"/>
                <w:sz w:val="18"/>
              </w:rPr>
              <w:t>1.能力提升目标：参训学员训后普通话水平较训前有明确提升，学员规范书写汉字的教学基本功显著提升。2.教学应用目标：参训教师能将所学语言知识与技能融入日常教学，在教学过程中规范使用国家通用语言文字，提升教育教学能力。</w:t>
            </w:r>
          </w:p>
        </w:tc>
        <w:tc>
          <w:tcPr>
            <w:tcW w:type="dxa" w:w="519"/>
            <w:gridSpan w:val="8"/>
            <w:tcBorders>
              <w:start w:sz="10" w:val="single"/>
              <w:top w:sz="10" w:val="single"/>
              <w:end w:sz="10" w:val="single"/>
              <w:bottom w:sz="10" w:val="single"/>
              <w:insideV w:sz="10" w:val="single"/>
            </w:tcBorders>
            <w:vAlign w:val="top"/>
          </w:tcPr>
          <w:p>
            <w:pPr>
              <w:spacing w:before="0" w:after="0" w:line="240" w:lineRule="auto"/>
              <w:jc w:val="center"/>
            </w:pPr>
            <w:r>
              <w:rPr>
                <w:rFonts w:ascii="宋体" w:hAnsi="宋体" w:eastAsia="宋体" w:cs="宋体"/>
                <w:b w:val="0"/>
                <w:i w:val="0"/>
                <w:sz w:val="18"/>
              </w:rPr>
              <w:t>截至2025年底，该项目实际组织完成培训人数251人次，组织完成培训课时数80课时，培训考核合格率100%，组织培训时长10天，人员类经费支出14.48万元，差旅及课程需要资料经费支出8.35万元，通过项目实施提升普通话水平，提升学校培训品牌影响力。</w:t>
            </w:r>
          </w:p>
        </w:tc>
      </w:tr>
      <w:tr>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519"/>
            <w:gridSpan w:val="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年度指标值</w:t>
            </w:r>
          </w:p>
        </w:tc>
        <w:tc>
          <w:tcPr>
            <w:tcW w:type="dxa" w:w="519"/>
            <w:gridSpan w:val="2"/>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分值</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得分</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实际完成值</w:t>
            </w:r>
          </w:p>
        </w:tc>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偏差原因分析及改进措施</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完成率</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指标性质</w:t>
            </w:r>
          </w:p>
        </w:tc>
      </w:tr>
      <w:tr>
        <w:trPr>
          <w:trHeight w:val="345"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gridSpan w:val="3"/>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r>
      <w:tr>
        <w:trPr>
          <w:trHeight w:val="580" w:hRule="atLeast"/>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年度绩效指标完成情况</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培训人数</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=251人次</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=251人次</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培训课时数</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&gt;=80课时</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=80课时</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培训考核合格率</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预期合格率95%，实际合格率为100%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培训时长（天）</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&gt;=10天</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=10天</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人员类经费</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=14.48万元</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=14.48万元</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差旅及课程需要资料经费</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=8.35万元</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=8.35万元</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普通话水平提升率</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基本达成目标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定性</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学校培训品牌影响力</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基本达成目标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定性</w:t>
            </w:r>
          </w:p>
        </w:tc>
      </w:tr>
      <w:tr>
        <w:trPr>
          <w:trHeight w:val="499" w:hRule="atLeast"/>
        </w:trPr>
        <w:tc>
          <w:tcPr>
            <w:tcW w:type="dxa" w:w="519"/>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总分</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614"/>
        <w:gridCol w:w="614"/>
        <w:gridCol w:w="597"/>
        <w:gridCol w:w="430"/>
        <w:gridCol w:w="451"/>
        <w:gridCol w:w="225"/>
        <w:gridCol w:w="821"/>
        <w:gridCol w:w="614"/>
        <w:gridCol w:w="559"/>
        <w:gridCol w:w="284"/>
        <w:gridCol w:w="520"/>
        <w:gridCol w:w="412"/>
        <w:gridCol w:w="464"/>
        <w:gridCol w:w="614"/>
        <w:gridCol w:w="473"/>
        <w:gridCol w:w="614"/>
      </w:tblGrid>
      <w:tr>
        <w:trPr>
          <w:trHeight w:val="420" w:hRule="atLeast"/>
        </w:trPr>
        <w:tc>
          <w:tcPr>
            <w:tcW w:type="dxa" w:w="519"/>
            <w:gridSpan w:val="1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400" w:hRule="atLeast"/>
        </w:trPr>
        <w:tc>
          <w:tcPr>
            <w:tcW w:type="dxa" w:w="519"/>
            <w:gridSpan w:val="1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499" w:hRule="atLeast"/>
        </w:trPr>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项目名称</w:t>
            </w:r>
          </w:p>
        </w:tc>
        <w:tc>
          <w:tcPr>
            <w:tcW w:type="dxa" w:w="519"/>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2025年中等职业学校国家免学费补助资金</w:t>
            </w:r>
          </w:p>
        </w:tc>
      </w:tr>
      <w:tr>
        <w:trPr>
          <w:trHeight w:val="499" w:hRule="atLeast"/>
        </w:trPr>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主管部门</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乌鲁木齐职业大学</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实施单位</w:t>
            </w:r>
          </w:p>
        </w:tc>
        <w:tc>
          <w:tcPr>
            <w:tcW w:type="dxa" w:w="519"/>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乌鲁木齐职业大学</w:t>
            </w:r>
          </w:p>
        </w:tc>
      </w:tr>
      <w:tr>
        <w:trPr>
          <w:trHeight w:val="499" w:hRule="atLeast"/>
        </w:trPr>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项目资金
（万元）</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分值</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执行率</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得分</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年度资金总额</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431.47</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365.03</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365.03</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10.00分</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其中：当年财政拨款</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431.47</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365.03</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365.03</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499" w:hRule="atLeast"/>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519"/>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519"/>
            <w:gridSpan w:val="8"/>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实际完成情况</w:t>
            </w:r>
          </w:p>
        </w:tc>
      </w:tr>
      <w:tr>
        <w:trPr>
          <w:trHeight w:val="2430" w:hRule="atLeast"/>
        </w:trPr>
        <w:tc>
          <w:tcPr>
            <w:tcW w:type="dxa" w:w="519"/>
            <w:vMerge/>
            <w:tcBorders>
              <w:start w:sz="10" w:val="single"/>
              <w:top w:sz="10" w:val="single"/>
              <w:end w:sz="10" w:val="single"/>
              <w:bottom w:sz="10" w:val="single"/>
              <w:insideV w:sz="10" w:val="single"/>
            </w:tcBorders>
          </w:tcPr>
          <w:p/>
        </w:tc>
        <w:tc>
          <w:tcPr>
            <w:tcW w:type="dxa" w:w="519"/>
            <w:gridSpan w:val="7"/>
            <w:tcBorders>
              <w:start w:sz="10" w:val="single"/>
              <w:top w:sz="10" w:val="single"/>
              <w:end w:sz="10" w:val="single"/>
              <w:bottom w:sz="10" w:val="single"/>
              <w:insideV w:sz="10" w:val="single"/>
            </w:tcBorders>
            <w:vAlign w:val="top"/>
          </w:tcPr>
          <w:p>
            <w:pPr>
              <w:spacing w:before="0" w:after="0" w:line="240" w:lineRule="auto"/>
              <w:jc w:val="center"/>
            </w:pPr>
            <w:r>
              <w:rPr>
                <w:rFonts w:ascii="宋体" w:hAnsi="宋体" w:eastAsia="宋体" w:cs="宋体"/>
                <w:b w:val="0"/>
                <w:i w:val="0"/>
                <w:sz w:val="18"/>
              </w:rPr>
              <w:t>2025年12月底前合理合规完成中等职业学校国家免学费补助资金的使用，改善我校中职学院日常办学条件</w:t>
            </w:r>
          </w:p>
        </w:tc>
        <w:tc>
          <w:tcPr>
            <w:tcW w:type="dxa" w:w="519"/>
            <w:gridSpan w:val="8"/>
            <w:tcBorders>
              <w:start w:sz="10" w:val="single"/>
              <w:top w:sz="10" w:val="single"/>
              <w:end w:sz="10" w:val="single"/>
              <w:bottom w:sz="10" w:val="single"/>
              <w:insideV w:sz="10" w:val="single"/>
            </w:tcBorders>
            <w:vAlign w:val="top"/>
          </w:tcPr>
          <w:p>
            <w:pPr>
              <w:spacing w:before="0" w:after="0" w:line="240" w:lineRule="auto"/>
              <w:jc w:val="center"/>
            </w:pPr>
            <w:r>
              <w:rPr>
                <w:rFonts w:ascii="宋体" w:hAnsi="宋体" w:eastAsia="宋体" w:cs="宋体"/>
                <w:b w:val="0"/>
                <w:i w:val="0"/>
                <w:sz w:val="18"/>
              </w:rPr>
              <w:t>截至2025年底，该项目完成享受免学费学生人数1825人，免学费应受助中职学生覆盖率100%；项目资金使用合格率100%；补助资金执行及时率85%；保障中职学院日常运行经费实际支出365.03万元；有效保障中职学校正常运转；减轻学生家庭经济负担。</w:t>
            </w:r>
          </w:p>
        </w:tc>
      </w:tr>
      <w:tr>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519"/>
            <w:gridSpan w:val="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年度指标值</w:t>
            </w:r>
          </w:p>
        </w:tc>
        <w:tc>
          <w:tcPr>
            <w:tcW w:type="dxa" w:w="519"/>
            <w:gridSpan w:val="2"/>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分值</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得分</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实际完成值</w:t>
            </w:r>
          </w:p>
        </w:tc>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偏差原因分析及改进措施</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完成率</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指标性质</w:t>
            </w:r>
          </w:p>
        </w:tc>
      </w:tr>
      <w:tr>
        <w:trPr>
          <w:trHeight w:val="345"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gridSpan w:val="3"/>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r>
      <w:tr>
        <w:trPr>
          <w:trHeight w:val="580" w:hRule="atLeast"/>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年度绩效指标完成情况</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享受免学费学生人数</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&gt;=1001人</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=1825人</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年初计算错误，后期修改时不允许增加，故导致存在偏差</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183</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免学费应受助中职学生覆盖率</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项目资金使用合格率</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补助资金执行及时率</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&gt;=85%</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=85%</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保障中职学院日常运行经费</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&lt;=365.03万元</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=365.03万元</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保障中职学校正常运转</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有效保障</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基本达成目标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定性</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减轻学生家庭经济负担</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减轻学生家庭经济负担</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基本达成目标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定性</w:t>
            </w:r>
          </w:p>
        </w:tc>
      </w:tr>
      <w:tr>
        <w:trPr>
          <w:trHeight w:val="499" w:hRule="atLeast"/>
        </w:trPr>
        <w:tc>
          <w:tcPr>
            <w:tcW w:type="dxa" w:w="519"/>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总分</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614"/>
        <w:gridCol w:w="614"/>
        <w:gridCol w:w="597"/>
        <w:gridCol w:w="430"/>
        <w:gridCol w:w="451"/>
        <w:gridCol w:w="225"/>
        <w:gridCol w:w="821"/>
        <w:gridCol w:w="614"/>
        <w:gridCol w:w="559"/>
        <w:gridCol w:w="284"/>
        <w:gridCol w:w="520"/>
        <w:gridCol w:w="412"/>
        <w:gridCol w:w="464"/>
        <w:gridCol w:w="614"/>
        <w:gridCol w:w="473"/>
        <w:gridCol w:w="614"/>
      </w:tblGrid>
      <w:tr>
        <w:trPr>
          <w:trHeight w:val="420" w:hRule="atLeast"/>
        </w:trPr>
        <w:tc>
          <w:tcPr>
            <w:tcW w:type="dxa" w:w="519"/>
            <w:gridSpan w:val="1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400" w:hRule="atLeast"/>
        </w:trPr>
        <w:tc>
          <w:tcPr>
            <w:tcW w:type="dxa" w:w="519"/>
            <w:gridSpan w:val="1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499" w:hRule="atLeast"/>
        </w:trPr>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项目名称</w:t>
            </w:r>
          </w:p>
        </w:tc>
        <w:tc>
          <w:tcPr>
            <w:tcW w:type="dxa" w:w="519"/>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2025年度自治区人才发展基金第一轮重点人才计划项目支持资金</w:t>
            </w:r>
          </w:p>
        </w:tc>
      </w:tr>
      <w:tr>
        <w:trPr>
          <w:trHeight w:val="499" w:hRule="atLeast"/>
        </w:trPr>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主管部门</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乌鲁木齐职业大学</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实施单位</w:t>
            </w:r>
          </w:p>
        </w:tc>
        <w:tc>
          <w:tcPr>
            <w:tcW w:type="dxa" w:w="519"/>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乌鲁木齐职业大学</w:t>
            </w:r>
          </w:p>
        </w:tc>
      </w:tr>
      <w:tr>
        <w:trPr>
          <w:trHeight w:val="499" w:hRule="atLeast"/>
        </w:trPr>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项目资金
（万元）</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分值</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执行率</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得分</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年度资金总额</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10.00分</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其中：当年财政拨款</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499" w:hRule="atLeast"/>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519"/>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519"/>
            <w:gridSpan w:val="8"/>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实际完成情况</w:t>
            </w:r>
          </w:p>
        </w:tc>
      </w:tr>
      <w:tr>
        <w:trPr>
          <w:trHeight w:val="2430" w:hRule="atLeast"/>
        </w:trPr>
        <w:tc>
          <w:tcPr>
            <w:tcW w:type="dxa" w:w="519"/>
            <w:vMerge/>
            <w:tcBorders>
              <w:start w:sz="10" w:val="single"/>
              <w:top w:sz="10" w:val="single"/>
              <w:end w:sz="10" w:val="single"/>
              <w:bottom w:sz="10" w:val="single"/>
              <w:insideV w:sz="10" w:val="single"/>
            </w:tcBorders>
          </w:tcPr>
          <w:p/>
        </w:tc>
        <w:tc>
          <w:tcPr>
            <w:tcW w:type="dxa" w:w="519"/>
            <w:gridSpan w:val="7"/>
            <w:tcBorders>
              <w:start w:sz="10" w:val="single"/>
              <w:top w:sz="10" w:val="single"/>
              <w:end w:sz="10" w:val="single"/>
              <w:bottom w:sz="10" w:val="single"/>
              <w:insideV w:sz="10" w:val="single"/>
            </w:tcBorders>
            <w:vAlign w:val="top"/>
          </w:tcPr>
          <w:p>
            <w:pPr>
              <w:spacing w:before="0" w:after="0" w:line="240" w:lineRule="auto"/>
              <w:jc w:val="center"/>
            </w:pPr>
            <w:r>
              <w:rPr>
                <w:rFonts w:ascii="宋体" w:hAnsi="宋体" w:eastAsia="宋体" w:cs="宋体"/>
                <w:b w:val="0"/>
                <w:i w:val="0"/>
                <w:sz w:val="18"/>
              </w:rPr>
              <w:t>1.教学名师队伍及团队培养：参加专业培训和会议，不断提高团队成员的知识和技能2.行业企业调研、疆内外院校调研，形成高水平调研报告3.将工作室成果在疆内院校进行推广</w:t>
            </w:r>
          </w:p>
        </w:tc>
        <w:tc>
          <w:tcPr>
            <w:tcW w:type="dxa" w:w="519"/>
            <w:gridSpan w:val="8"/>
            <w:tcBorders>
              <w:start w:sz="10" w:val="single"/>
              <w:top w:sz="10" w:val="single"/>
              <w:end w:sz="10" w:val="single"/>
              <w:bottom w:sz="10" w:val="single"/>
              <w:insideV w:sz="10" w:val="single"/>
            </w:tcBorders>
            <w:vAlign w:val="top"/>
          </w:tcPr>
          <w:p>
            <w:pPr>
              <w:spacing w:before="0" w:after="0" w:line="240" w:lineRule="auto"/>
              <w:jc w:val="center"/>
            </w:pPr>
            <w:r>
              <w:rPr>
                <w:rFonts w:ascii="宋体" w:hAnsi="宋体" w:eastAsia="宋体" w:cs="宋体"/>
                <w:b w:val="0"/>
                <w:i w:val="0"/>
                <w:sz w:val="18"/>
              </w:rPr>
              <w:t>截至2025年底，该项目实际开发计算机类高技能人才培训资源包8个，项目验收合格率100%，参训人员获证率100%，个人补助发放人数1人，实际项目支出个人补助3万元，有效提高高技能人才育人成效，提高人才培养质量，提升社会影响力。</w:t>
            </w:r>
          </w:p>
        </w:tc>
      </w:tr>
      <w:tr>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519"/>
            <w:gridSpan w:val="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年度指标值</w:t>
            </w:r>
          </w:p>
        </w:tc>
        <w:tc>
          <w:tcPr>
            <w:tcW w:type="dxa" w:w="519"/>
            <w:gridSpan w:val="2"/>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分值</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得分</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实际完成值</w:t>
            </w:r>
          </w:p>
        </w:tc>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偏差原因分析及改进措施</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完成率</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指标性质</w:t>
            </w:r>
          </w:p>
        </w:tc>
      </w:tr>
      <w:tr>
        <w:trPr>
          <w:trHeight w:val="345"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gridSpan w:val="3"/>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r>
      <w:tr>
        <w:trPr>
          <w:trHeight w:val="580" w:hRule="atLeast"/>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年度绩效指标完成情况</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教师参加培训人次</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&gt;=5人次</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=0人次</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资金下达时间为8月，下半年教学任务重，学校安排多，时间紧，尚未安排培训。</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开发计算机类高技能人才培训资源包</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&gt;=5个</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=8个</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计划资源包5个，实际完成161个</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160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个人补助发放人数</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=1人</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=1人</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项目验收合格率</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实际项目验收合格率100%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参训人员获证率</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项目人员赵静获证率100%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个人补助</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&lt;=3万元</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=3万元</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高技能人才育人成效</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有效提高</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基本达成目标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定性</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提高人才培养质量，提升社会影响力</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显著提升</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基本达成目标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定性</w:t>
            </w:r>
          </w:p>
        </w:tc>
      </w:tr>
      <w:tr>
        <w:trPr>
          <w:trHeight w:val="499" w:hRule="atLeast"/>
        </w:trPr>
        <w:tc>
          <w:tcPr>
            <w:tcW w:type="dxa" w:w="519"/>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总分</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95.00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614"/>
        <w:gridCol w:w="614"/>
        <w:gridCol w:w="597"/>
        <w:gridCol w:w="430"/>
        <w:gridCol w:w="451"/>
        <w:gridCol w:w="225"/>
        <w:gridCol w:w="821"/>
        <w:gridCol w:w="614"/>
        <w:gridCol w:w="559"/>
        <w:gridCol w:w="284"/>
        <w:gridCol w:w="520"/>
        <w:gridCol w:w="412"/>
        <w:gridCol w:w="464"/>
        <w:gridCol w:w="614"/>
        <w:gridCol w:w="473"/>
        <w:gridCol w:w="614"/>
      </w:tblGrid>
      <w:tr>
        <w:trPr>
          <w:trHeight w:val="420" w:hRule="atLeast"/>
        </w:trPr>
        <w:tc>
          <w:tcPr>
            <w:tcW w:type="dxa" w:w="519"/>
            <w:gridSpan w:val="1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400" w:hRule="atLeast"/>
        </w:trPr>
        <w:tc>
          <w:tcPr>
            <w:tcW w:type="dxa" w:w="519"/>
            <w:gridSpan w:val="1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499" w:hRule="atLeast"/>
        </w:trPr>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项目名称</w:t>
            </w:r>
          </w:p>
        </w:tc>
        <w:tc>
          <w:tcPr>
            <w:tcW w:type="dxa" w:w="519"/>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2025年现代职业教育质量提升计划</w:t>
            </w:r>
          </w:p>
        </w:tc>
      </w:tr>
      <w:tr>
        <w:trPr>
          <w:trHeight w:val="499" w:hRule="atLeast"/>
        </w:trPr>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主管部门</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乌鲁木齐职业大学</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实施单位</w:t>
            </w:r>
          </w:p>
        </w:tc>
        <w:tc>
          <w:tcPr>
            <w:tcW w:type="dxa" w:w="519"/>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乌鲁木齐职业大学</w:t>
            </w:r>
          </w:p>
        </w:tc>
      </w:tr>
      <w:tr>
        <w:trPr>
          <w:trHeight w:val="499" w:hRule="atLeast"/>
        </w:trPr>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项目资金
（万元）</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分值</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执行率</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得分</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年度资金总额</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2,432.29</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1,519.08</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1,519.08</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10.00分</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其中：当年财政拨款</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2,432.29</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1,519.08</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1,519.08</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499" w:hRule="atLeast"/>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519"/>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519"/>
            <w:gridSpan w:val="8"/>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实际完成情况</w:t>
            </w:r>
          </w:p>
        </w:tc>
      </w:tr>
      <w:tr>
        <w:trPr>
          <w:trHeight w:val="2430" w:hRule="atLeast"/>
        </w:trPr>
        <w:tc>
          <w:tcPr>
            <w:tcW w:type="dxa" w:w="519"/>
            <w:vMerge/>
            <w:tcBorders>
              <w:start w:sz="10" w:val="single"/>
              <w:top w:sz="10" w:val="single"/>
              <w:end w:sz="10" w:val="single"/>
              <w:bottom w:sz="10" w:val="single"/>
              <w:insideV w:sz="10" w:val="single"/>
            </w:tcBorders>
          </w:tcPr>
          <w:p/>
        </w:tc>
        <w:tc>
          <w:tcPr>
            <w:tcW w:type="dxa" w:w="519"/>
            <w:gridSpan w:val="7"/>
            <w:tcBorders>
              <w:start w:sz="10" w:val="single"/>
              <w:top w:sz="10" w:val="single"/>
              <w:end w:sz="10" w:val="single"/>
              <w:bottom w:sz="10" w:val="single"/>
              <w:insideV w:sz="10" w:val="single"/>
            </w:tcBorders>
            <w:vAlign w:val="top"/>
          </w:tcPr>
          <w:p>
            <w:pPr>
              <w:spacing w:before="0" w:after="0" w:line="240" w:lineRule="auto"/>
              <w:jc w:val="center"/>
            </w:pPr>
            <w:r>
              <w:rPr>
                <w:rFonts w:ascii="宋体" w:hAnsi="宋体" w:eastAsia="宋体" w:cs="宋体"/>
                <w:b w:val="0"/>
                <w:i w:val="0"/>
                <w:sz w:val="18"/>
              </w:rPr>
              <w:t>2025年需完成1.社会工作数智化智慧融合实训室2.“丝路工坊”乌兹别克斯坦“中文+汽车维修技能”实训中心3.文光校区数字化教学环境建设4.人工智能应用创新实践基地5.校舍外立面消除安全隐患维修改造项目以及结转项目顺利完成，有效促进学校硬件和软件设施的完善，有助于我校提高教育教学质量，完成学校高质量发展的要求。</w:t>
            </w:r>
          </w:p>
        </w:tc>
        <w:tc>
          <w:tcPr>
            <w:tcW w:type="dxa" w:w="519"/>
            <w:gridSpan w:val="8"/>
            <w:tcBorders>
              <w:start w:sz="10" w:val="single"/>
              <w:top w:sz="10" w:val="single"/>
              <w:end w:sz="10" w:val="single"/>
              <w:bottom w:sz="10" w:val="single"/>
              <w:insideV w:sz="10" w:val="single"/>
            </w:tcBorders>
            <w:vAlign w:val="top"/>
          </w:tcPr>
          <w:p>
            <w:pPr>
              <w:spacing w:before="0" w:after="0" w:line="240" w:lineRule="auto"/>
              <w:jc w:val="center"/>
            </w:pPr>
            <w:r>
              <w:rPr>
                <w:rFonts w:ascii="宋体" w:hAnsi="宋体" w:eastAsia="宋体" w:cs="宋体"/>
                <w:b w:val="0"/>
                <w:i w:val="0"/>
                <w:sz w:val="18"/>
              </w:rPr>
              <w:t>截至2025年底，该项目实际完成防水工程面积6021.25平方米，建筑外维护结构工程面16350.54平方米，购置设备数量222台，设备验收合格率100%，项目实际支出1519.08万元，通过项目实施有效提高教育教学质量。</w:t>
            </w:r>
          </w:p>
        </w:tc>
      </w:tr>
      <w:tr>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519"/>
            <w:gridSpan w:val="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年度指标值</w:t>
            </w:r>
          </w:p>
        </w:tc>
        <w:tc>
          <w:tcPr>
            <w:tcW w:type="dxa" w:w="519"/>
            <w:gridSpan w:val="2"/>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分值</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得分</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实际完成值</w:t>
            </w:r>
          </w:p>
        </w:tc>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偏差原因分析及改进措施</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完成率</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指标性质</w:t>
            </w:r>
          </w:p>
        </w:tc>
      </w:tr>
      <w:tr>
        <w:trPr>
          <w:trHeight w:val="345"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gridSpan w:val="3"/>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r>
      <w:tr>
        <w:trPr>
          <w:trHeight w:val="580" w:hRule="atLeast"/>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年度绩效指标完成情况</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防水工程面积</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&gt;=6000平方米</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=6021.25平方米</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建筑外维护结构工程面积</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&gt;=16350.54平方米</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=16350.54平方米</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购置设备数量</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&gt;=153台</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=222台</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按照实际需求实际价格和预算购买</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145</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设备验收合格率</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社会工作数智化智慧融合实训室项目</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&lt;=94.35万元</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=94.38万元</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文光校区数字化教学环境建设项目</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&lt;=68.76万元</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2.5</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=78.64万元</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填写目标值时算错</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人工智能应用创新实践基地项目</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&lt;=198.58万元</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2.5</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2.5</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=198.58万元</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校舍外立面消除安全隐患维修改造项目</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&lt;=365.5万元</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=365.5万元</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1+X项目</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&lt;=84.6万元</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2.5</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2.5</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=74.69万元</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2024年结转项目资金</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=707.29万元</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2.5</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2.5</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=707.29万元</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提高教育教学质量</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有效提高</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基本达成目标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定性</w:t>
            </w:r>
          </w:p>
        </w:tc>
      </w:tr>
      <w:tr>
        <w:trPr>
          <w:trHeight w:val="499" w:hRule="atLeast"/>
        </w:trPr>
        <w:tc>
          <w:tcPr>
            <w:tcW w:type="dxa" w:w="519"/>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总分</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97.50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614"/>
        <w:gridCol w:w="614"/>
        <w:gridCol w:w="597"/>
        <w:gridCol w:w="430"/>
        <w:gridCol w:w="451"/>
        <w:gridCol w:w="225"/>
        <w:gridCol w:w="821"/>
        <w:gridCol w:w="614"/>
        <w:gridCol w:w="559"/>
        <w:gridCol w:w="284"/>
        <w:gridCol w:w="520"/>
        <w:gridCol w:w="412"/>
        <w:gridCol w:w="464"/>
        <w:gridCol w:w="614"/>
        <w:gridCol w:w="473"/>
        <w:gridCol w:w="614"/>
      </w:tblGrid>
      <w:tr>
        <w:trPr>
          <w:trHeight w:val="420" w:hRule="atLeast"/>
        </w:trPr>
        <w:tc>
          <w:tcPr>
            <w:tcW w:type="dxa" w:w="519"/>
            <w:gridSpan w:val="1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400" w:hRule="atLeast"/>
        </w:trPr>
        <w:tc>
          <w:tcPr>
            <w:tcW w:type="dxa" w:w="519"/>
            <w:gridSpan w:val="1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499" w:hRule="atLeast"/>
        </w:trPr>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项目名称</w:t>
            </w:r>
          </w:p>
        </w:tc>
        <w:tc>
          <w:tcPr>
            <w:tcW w:type="dxa" w:w="519"/>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2025年自治区职业教育专项</w:t>
            </w:r>
          </w:p>
        </w:tc>
      </w:tr>
      <w:tr>
        <w:trPr>
          <w:trHeight w:val="499" w:hRule="atLeast"/>
        </w:trPr>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主管部门</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乌鲁木齐职业大学</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实施单位</w:t>
            </w:r>
          </w:p>
        </w:tc>
        <w:tc>
          <w:tcPr>
            <w:tcW w:type="dxa" w:w="519"/>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乌鲁木齐职业大学</w:t>
            </w:r>
          </w:p>
        </w:tc>
      </w:tr>
      <w:tr>
        <w:trPr>
          <w:trHeight w:val="499" w:hRule="atLeast"/>
        </w:trPr>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项目资金
（万元）</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分值</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执行率</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得分</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年度资金总额</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688.36</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312.18</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312.18</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10.00分</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其中：当年财政拨款</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688.36</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312.18</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312.18</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499" w:hRule="atLeast"/>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519"/>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519"/>
            <w:gridSpan w:val="8"/>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实际完成情况</w:t>
            </w:r>
          </w:p>
        </w:tc>
      </w:tr>
      <w:tr>
        <w:trPr>
          <w:trHeight w:val="2430" w:hRule="atLeast"/>
        </w:trPr>
        <w:tc>
          <w:tcPr>
            <w:tcW w:type="dxa" w:w="519"/>
            <w:vMerge/>
            <w:tcBorders>
              <w:start w:sz="10" w:val="single"/>
              <w:top w:sz="10" w:val="single"/>
              <w:end w:sz="10" w:val="single"/>
              <w:bottom w:sz="10" w:val="single"/>
              <w:insideV w:sz="10" w:val="single"/>
            </w:tcBorders>
          </w:tcPr>
          <w:p/>
        </w:tc>
        <w:tc>
          <w:tcPr>
            <w:tcW w:type="dxa" w:w="519"/>
            <w:gridSpan w:val="7"/>
            <w:tcBorders>
              <w:start w:sz="10" w:val="single"/>
              <w:top w:sz="10" w:val="single"/>
              <w:end w:sz="10" w:val="single"/>
              <w:bottom w:sz="10" w:val="single"/>
              <w:insideV w:sz="10" w:val="single"/>
            </w:tcBorders>
            <w:vAlign w:val="top"/>
          </w:tcPr>
          <w:p>
            <w:pPr>
              <w:spacing w:before="0" w:after="0" w:line="240" w:lineRule="auto"/>
              <w:jc w:val="center"/>
            </w:pPr>
            <w:r>
              <w:rPr>
                <w:rFonts w:ascii="宋体" w:hAnsi="宋体" w:eastAsia="宋体" w:cs="宋体"/>
                <w:b w:val="0"/>
                <w:i w:val="0"/>
                <w:sz w:val="18"/>
              </w:rPr>
              <w:t>建设自治区级双高专业群2个，建设自治区级骨干专业群2个，打造自治区级教学能力比赛作品3个，促进学校高质量发展，促进学校学生成长成才，建成教育教学质量高水平的本科层次乌鲁木齐职业大学。</w:t>
            </w:r>
          </w:p>
        </w:tc>
        <w:tc>
          <w:tcPr>
            <w:tcW w:type="dxa" w:w="519"/>
            <w:gridSpan w:val="8"/>
            <w:tcBorders>
              <w:start w:sz="10" w:val="single"/>
              <w:top w:sz="10" w:val="single"/>
              <w:end w:sz="10" w:val="single"/>
              <w:bottom w:sz="10" w:val="single"/>
              <w:insideV w:sz="10" w:val="single"/>
            </w:tcBorders>
            <w:vAlign w:val="top"/>
          </w:tcPr>
          <w:p>
            <w:pPr>
              <w:spacing w:before="0" w:after="0" w:line="240" w:lineRule="auto"/>
              <w:jc w:val="center"/>
            </w:pPr>
            <w:r>
              <w:rPr>
                <w:rFonts w:ascii="宋体" w:hAnsi="宋体" w:eastAsia="宋体" w:cs="宋体"/>
                <w:b w:val="0"/>
                <w:i w:val="0"/>
                <w:sz w:val="18"/>
              </w:rPr>
              <w:t>截至2025年底，该项目实际组织安排建设自治区级骨干专业群项目数量1，打造自治区级教学能力比赛作品5个；项目验收合格率100%；教务处支持本科建设成本实际支出221.17万元；应用工程学院专业群建设成本实际支出10.4万元；2024-170号文结转项目成本实际支出51.59万元；2024-106号文结转成本实际支出29.02万元；有效提高学校办学质量。</w:t>
            </w:r>
          </w:p>
        </w:tc>
      </w:tr>
      <w:tr>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519"/>
            <w:gridSpan w:val="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年度指标值</w:t>
            </w:r>
          </w:p>
        </w:tc>
        <w:tc>
          <w:tcPr>
            <w:tcW w:type="dxa" w:w="519"/>
            <w:gridSpan w:val="2"/>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分值</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得分</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实际完成值</w:t>
            </w:r>
          </w:p>
        </w:tc>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偏差原因分析及改进措施</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完成率</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指标性质</w:t>
            </w:r>
          </w:p>
        </w:tc>
      </w:tr>
      <w:tr>
        <w:trPr>
          <w:trHeight w:val="345"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gridSpan w:val="3"/>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r>
      <w:tr>
        <w:trPr>
          <w:trHeight w:val="580" w:hRule="atLeast"/>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年度绩效指标完成情况</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安排建设自治区级骨干专业群项目数量</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&gt;=1个</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打造自治区级教学能力比赛作品</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&gt;=3个</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=5个</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实际通过个学院老师的深入投入，实际获得了五个自治区教学能力比赛结果，超过预期。</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166</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项目验收合格率</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教务处支持本科建设成本</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&lt;=221.17万元</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=221.17万元</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应用工程学院专业群建设成本</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&lt;=10.4万元</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=10.4万元</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2024-170号文结转项目成本</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&lt;=51.59万元</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=51.59万元</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2024-106号文结转成本</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&lt;=29.02万元</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=29.02万元</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提高学校办学质量</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有效提高</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基本达成目标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定性</w:t>
            </w:r>
          </w:p>
        </w:tc>
      </w:tr>
      <w:tr>
        <w:trPr>
          <w:trHeight w:val="499" w:hRule="atLeast"/>
        </w:trPr>
        <w:tc>
          <w:tcPr>
            <w:tcW w:type="dxa" w:w="519"/>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总分</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614"/>
        <w:gridCol w:w="614"/>
        <w:gridCol w:w="597"/>
        <w:gridCol w:w="430"/>
        <w:gridCol w:w="451"/>
        <w:gridCol w:w="225"/>
        <w:gridCol w:w="821"/>
        <w:gridCol w:w="614"/>
        <w:gridCol w:w="559"/>
        <w:gridCol w:w="284"/>
        <w:gridCol w:w="520"/>
        <w:gridCol w:w="412"/>
        <w:gridCol w:w="464"/>
        <w:gridCol w:w="614"/>
        <w:gridCol w:w="473"/>
        <w:gridCol w:w="614"/>
      </w:tblGrid>
      <w:tr>
        <w:trPr>
          <w:trHeight w:val="420" w:hRule="atLeast"/>
        </w:trPr>
        <w:tc>
          <w:tcPr>
            <w:tcW w:type="dxa" w:w="519"/>
            <w:gridSpan w:val="1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400" w:hRule="atLeast"/>
        </w:trPr>
        <w:tc>
          <w:tcPr>
            <w:tcW w:type="dxa" w:w="519"/>
            <w:gridSpan w:val="1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499" w:hRule="atLeast"/>
        </w:trPr>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项目名称</w:t>
            </w:r>
          </w:p>
        </w:tc>
        <w:tc>
          <w:tcPr>
            <w:tcW w:type="dxa" w:w="519"/>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中职免教材免住宿</w:t>
            </w:r>
          </w:p>
        </w:tc>
      </w:tr>
      <w:tr>
        <w:trPr>
          <w:trHeight w:val="499" w:hRule="atLeast"/>
        </w:trPr>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主管部门</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乌鲁木齐职业大学</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实施单位</w:t>
            </w:r>
          </w:p>
        </w:tc>
        <w:tc>
          <w:tcPr>
            <w:tcW w:type="dxa" w:w="519"/>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乌鲁木齐职业大学</w:t>
            </w:r>
          </w:p>
        </w:tc>
      </w:tr>
      <w:tr>
        <w:trPr>
          <w:trHeight w:val="499" w:hRule="atLeast"/>
        </w:trPr>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项目资金
（万元）</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分值</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执行率</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得分</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年度资金总额</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21.88</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21.88</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21.25</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97.12%</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9.71分</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其中：当年财政拨款</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21.88</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21.88</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21.25</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499" w:hRule="atLeast"/>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519"/>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519"/>
            <w:gridSpan w:val="8"/>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实际完成情况</w:t>
            </w:r>
          </w:p>
        </w:tc>
      </w:tr>
      <w:tr>
        <w:trPr>
          <w:trHeight w:val="2430" w:hRule="atLeast"/>
        </w:trPr>
        <w:tc>
          <w:tcPr>
            <w:tcW w:type="dxa" w:w="519"/>
            <w:vMerge/>
            <w:tcBorders>
              <w:start w:sz="10" w:val="single"/>
              <w:top w:sz="10" w:val="single"/>
              <w:end w:sz="10" w:val="single"/>
              <w:bottom w:sz="10" w:val="single"/>
              <w:insideV w:sz="10" w:val="single"/>
            </w:tcBorders>
          </w:tcPr>
          <w:p/>
        </w:tc>
        <w:tc>
          <w:tcPr>
            <w:tcW w:type="dxa" w:w="519"/>
            <w:gridSpan w:val="7"/>
            <w:tcBorders>
              <w:start w:sz="10" w:val="single"/>
              <w:top w:sz="10" w:val="single"/>
              <w:end w:sz="10" w:val="single"/>
              <w:bottom w:sz="10" w:val="single"/>
              <w:insideV w:sz="10" w:val="single"/>
            </w:tcBorders>
            <w:vAlign w:val="top"/>
          </w:tcPr>
          <w:p>
            <w:pPr>
              <w:spacing w:before="0" w:after="0" w:line="240" w:lineRule="auto"/>
              <w:jc w:val="center"/>
            </w:pPr>
            <w:r>
              <w:rPr>
                <w:rFonts w:ascii="宋体" w:hAnsi="宋体" w:eastAsia="宋体" w:cs="宋体"/>
                <w:b w:val="0"/>
                <w:i w:val="0"/>
                <w:sz w:val="18"/>
              </w:rPr>
              <w:t>通过2025年完成中等职业学校南疆四地州免教材费和免住宿费资金的使用，达到有效促进学生成长成才的效果。</w:t>
            </w:r>
          </w:p>
        </w:tc>
        <w:tc>
          <w:tcPr>
            <w:tcW w:type="dxa" w:w="519"/>
            <w:gridSpan w:val="8"/>
            <w:tcBorders>
              <w:start w:sz="10" w:val="single"/>
              <w:top w:sz="10" w:val="single"/>
              <w:end w:sz="10" w:val="single"/>
              <w:bottom w:sz="10" w:val="single"/>
              <w:insideV w:sz="10" w:val="single"/>
            </w:tcBorders>
            <w:vAlign w:val="top"/>
          </w:tcPr>
          <w:p>
            <w:pPr>
              <w:spacing w:before="0" w:after="0" w:line="240" w:lineRule="auto"/>
              <w:jc w:val="center"/>
            </w:pPr>
            <w:r>
              <w:rPr>
                <w:rFonts w:ascii="宋体" w:hAnsi="宋体" w:eastAsia="宋体" w:cs="宋体"/>
                <w:b w:val="0"/>
                <w:i w:val="0"/>
                <w:sz w:val="18"/>
              </w:rPr>
              <w:t>截至2025年底，该项目实际完成南疆四地州享受免教材免住宿人数72人，受助学生南疆四地州学生覆盖率100%；资金使用合格率100%；资金发放及时率：100%，中职免教材使用资金有效减轻学生家庭经济负担；有效促进学生成长成才。</w:t>
            </w:r>
          </w:p>
        </w:tc>
      </w:tr>
      <w:tr>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519"/>
            <w:gridSpan w:val="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年度指标值</w:t>
            </w:r>
          </w:p>
        </w:tc>
        <w:tc>
          <w:tcPr>
            <w:tcW w:type="dxa" w:w="519"/>
            <w:gridSpan w:val="2"/>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分值</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得分</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实际完成值</w:t>
            </w:r>
          </w:p>
        </w:tc>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偏差原因分析及改进措施</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完成率</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指标性质</w:t>
            </w:r>
          </w:p>
        </w:tc>
      </w:tr>
      <w:tr>
        <w:trPr>
          <w:trHeight w:val="345"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gridSpan w:val="3"/>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r>
      <w:tr>
        <w:trPr>
          <w:trHeight w:val="580" w:hRule="atLeast"/>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年度绩效指标完成情况</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南疆四地州享受免教材免住宿人数</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&gt;=221人</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3.3</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=72人</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按照实际人数填列，今年中职不招生</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33</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受助学生南疆四地州学生覆盖率</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资金使用合格率</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资金发放及时率</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中职免教材使用资金</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&lt;=6.62万元</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9.5</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=6.29万元</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按照实际填列</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95</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中职免住宿使用资金</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&lt;=15.26万元</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9.8</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=14.95万元</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按照实际填列</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98</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减轻学生家庭经济负担</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有效减轻</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基本达成目标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定性</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有效促进学生成长成才</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有效促进</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基本达成目标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定性</w:t>
            </w:r>
          </w:p>
        </w:tc>
      </w:tr>
      <w:tr>
        <w:trPr>
          <w:trHeight w:val="499" w:hRule="atLeast"/>
        </w:trPr>
        <w:tc>
          <w:tcPr>
            <w:tcW w:type="dxa" w:w="519"/>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总分</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92.31</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614"/>
        <w:gridCol w:w="614"/>
        <w:gridCol w:w="597"/>
        <w:gridCol w:w="430"/>
        <w:gridCol w:w="451"/>
        <w:gridCol w:w="225"/>
        <w:gridCol w:w="821"/>
        <w:gridCol w:w="614"/>
        <w:gridCol w:w="558"/>
        <w:gridCol w:w="284"/>
        <w:gridCol w:w="520"/>
        <w:gridCol w:w="412"/>
        <w:gridCol w:w="464"/>
        <w:gridCol w:w="614"/>
        <w:gridCol w:w="473"/>
        <w:gridCol w:w="614"/>
      </w:tblGrid>
      <w:tr>
        <w:trPr>
          <w:trHeight w:val="405" w:hRule="atLeast"/>
        </w:trPr>
        <w:tc>
          <w:tcPr>
            <w:tcW w:type="dxa" w:w="519"/>
            <w:gridSpan w:val="1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400" w:hRule="atLeast"/>
        </w:trPr>
        <w:tc>
          <w:tcPr>
            <w:tcW w:type="dxa" w:w="519"/>
            <w:gridSpan w:val="1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499" w:hRule="atLeast"/>
        </w:trPr>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项目名称</w:t>
            </w:r>
          </w:p>
        </w:tc>
        <w:tc>
          <w:tcPr>
            <w:tcW w:type="dxa" w:w="519"/>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中职学生资助补助经费（中职国家助学金）</w:t>
            </w:r>
          </w:p>
        </w:tc>
      </w:tr>
      <w:tr>
        <w:trPr>
          <w:trHeight w:val="499" w:hRule="atLeast"/>
        </w:trPr>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主管部门</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乌鲁木齐职业大学</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实施单位</w:t>
            </w:r>
          </w:p>
        </w:tc>
        <w:tc>
          <w:tcPr>
            <w:tcW w:type="dxa" w:w="519"/>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乌鲁木齐职业大学</w:t>
            </w:r>
          </w:p>
        </w:tc>
      </w:tr>
      <w:tr>
        <w:trPr>
          <w:trHeight w:val="499" w:hRule="atLeast"/>
        </w:trPr>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项目资金
（万元）</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分值</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执行率</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得分</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年度资金总额</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101.09</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48.11</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48.11</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10.00分</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其中：当年财政拨款</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101.09</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48.11</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48.11</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499" w:hRule="atLeast"/>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519"/>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519"/>
            <w:gridSpan w:val="8"/>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实际完成情况</w:t>
            </w:r>
          </w:p>
        </w:tc>
      </w:tr>
      <w:tr>
        <w:trPr>
          <w:trHeight w:val="2430" w:hRule="atLeast"/>
        </w:trPr>
        <w:tc>
          <w:tcPr>
            <w:tcW w:type="dxa" w:w="519"/>
            <w:vMerge/>
            <w:tcBorders>
              <w:start w:sz="10" w:val="single"/>
              <w:top w:sz="10" w:val="single"/>
              <w:end w:sz="10" w:val="single"/>
              <w:bottom w:sz="10" w:val="single"/>
              <w:insideV w:sz="10" w:val="single"/>
            </w:tcBorders>
          </w:tcPr>
          <w:p/>
        </w:tc>
        <w:tc>
          <w:tcPr>
            <w:tcW w:type="dxa" w:w="519"/>
            <w:gridSpan w:val="7"/>
            <w:tcBorders>
              <w:start w:sz="10" w:val="single"/>
              <w:top w:sz="10" w:val="single"/>
              <w:end w:sz="10" w:val="single"/>
              <w:bottom w:sz="10" w:val="single"/>
              <w:insideV w:sz="10" w:val="single"/>
            </w:tcBorders>
            <w:vAlign w:val="top"/>
          </w:tcPr>
          <w:p>
            <w:pPr>
              <w:spacing w:before="0" w:after="0" w:line="240" w:lineRule="auto"/>
              <w:jc w:val="center"/>
            </w:pPr>
            <w:r>
              <w:rPr>
                <w:rFonts w:ascii="宋体" w:hAnsi="宋体" w:eastAsia="宋体" w:cs="宋体"/>
                <w:b w:val="0"/>
                <w:i w:val="0"/>
                <w:sz w:val="18"/>
              </w:rPr>
              <w:t>通过2025年6月和11月底发放中职国家助学金，实现原国家贫困县学生和家庭经济困难学生有学上，有书读，严格按照中等职业学校国家助学金发放办法按时将助学金发到学生银行卡中，达到预计目标。</w:t>
            </w:r>
          </w:p>
        </w:tc>
        <w:tc>
          <w:tcPr>
            <w:tcW w:type="dxa" w:w="519"/>
            <w:gridSpan w:val="8"/>
            <w:tcBorders>
              <w:start w:sz="10" w:val="single"/>
              <w:top w:sz="10" w:val="single"/>
              <w:end w:sz="10" w:val="single"/>
              <w:bottom w:sz="10" w:val="single"/>
              <w:insideV w:sz="10" w:val="single"/>
            </w:tcBorders>
            <w:vAlign w:val="top"/>
          </w:tcPr>
          <w:p>
            <w:pPr>
              <w:spacing w:before="0" w:after="0" w:line="240" w:lineRule="auto"/>
              <w:jc w:val="center"/>
            </w:pPr>
            <w:r>
              <w:rPr>
                <w:rFonts w:ascii="宋体" w:hAnsi="宋体" w:eastAsia="宋体" w:cs="宋体"/>
                <w:b w:val="0"/>
                <w:i w:val="0"/>
                <w:sz w:val="18"/>
              </w:rPr>
              <w:t>截至2025年底，该项目2025年春季发放中职国家助学金学生299人（其中建档立卡人员14人），2025年秋季发放中职国家助学金132人（其中建档立卡人员14人），全年共计发放中职国家助学金431人，该项目实际支出金额48.11万元，并严格按照中等职业学校国家助学金发放办法按时将助学金发到学生银行卡中，实现原国家贫困县学生和家庭经济困难学生有学上有书读，基本达到年初项目预计目标。</w:t>
            </w:r>
          </w:p>
        </w:tc>
      </w:tr>
      <w:tr>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519"/>
            <w:gridSpan w:val="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年度指标值</w:t>
            </w:r>
          </w:p>
        </w:tc>
        <w:tc>
          <w:tcPr>
            <w:tcW w:type="dxa" w:w="519"/>
            <w:gridSpan w:val="2"/>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分值</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得分</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实际完成值</w:t>
            </w:r>
          </w:p>
        </w:tc>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偏差原因分析及改进措施</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完成率</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指标性质</w:t>
            </w:r>
          </w:p>
        </w:tc>
      </w:tr>
      <w:tr>
        <w:trPr>
          <w:trHeight w:val="345"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gridSpan w:val="3"/>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r>
      <w:tr>
        <w:trPr>
          <w:trHeight w:val="580" w:hRule="atLeast"/>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年度绩效指标完成情况</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中职国家助学金资助学生人数</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&gt;=280人</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=431人</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年初设立中职国家助学金资助学生人数目标时只预计了2025年春季资助学生人数，未考虑到2025牛秋季资助学生人数造成偏差率较大。</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154</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中职助学金资金使用合格率</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受助学生中建档立卡学生覆盖率</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中职助学金及时发放率</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激励学生成长成才</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有效激励</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基本达成目标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定性</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减轻学生家庭负担</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有效减轻</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基本达成目标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定性</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学生满意度</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=96.91%</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499" w:hRule="atLeast"/>
        </w:trPr>
        <w:tc>
          <w:tcPr>
            <w:tcW w:type="dxa" w:w="519"/>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总分</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614"/>
        <w:gridCol w:w="614"/>
        <w:gridCol w:w="597"/>
        <w:gridCol w:w="430"/>
        <w:gridCol w:w="451"/>
        <w:gridCol w:w="225"/>
        <w:gridCol w:w="821"/>
        <w:gridCol w:w="614"/>
        <w:gridCol w:w="559"/>
        <w:gridCol w:w="284"/>
        <w:gridCol w:w="520"/>
        <w:gridCol w:w="412"/>
        <w:gridCol w:w="464"/>
        <w:gridCol w:w="614"/>
        <w:gridCol w:w="473"/>
        <w:gridCol w:w="614"/>
      </w:tblGrid>
      <w:tr>
        <w:trPr>
          <w:trHeight w:val="420" w:hRule="atLeast"/>
        </w:trPr>
        <w:tc>
          <w:tcPr>
            <w:tcW w:type="dxa" w:w="519"/>
            <w:gridSpan w:val="1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400" w:hRule="atLeast"/>
        </w:trPr>
        <w:tc>
          <w:tcPr>
            <w:tcW w:type="dxa" w:w="519"/>
            <w:gridSpan w:val="1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499" w:hRule="atLeast"/>
        </w:trPr>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项目名称</w:t>
            </w:r>
          </w:p>
        </w:tc>
        <w:tc>
          <w:tcPr>
            <w:tcW w:type="dxa" w:w="519"/>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乌财科教2024年170号文提前下达2025年教育补助项目经费-汉语国际推广中亚基地建设项目-叁伍-零贰</w:t>
            </w:r>
          </w:p>
        </w:tc>
      </w:tr>
      <w:tr>
        <w:trPr>
          <w:trHeight w:val="499" w:hRule="atLeast"/>
        </w:trPr>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主管部门</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乌鲁木齐职业大学</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实施单位</w:t>
            </w:r>
          </w:p>
        </w:tc>
        <w:tc>
          <w:tcPr>
            <w:tcW w:type="dxa" w:w="519"/>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乌鲁木齐职业大学</w:t>
            </w:r>
          </w:p>
        </w:tc>
      </w:tr>
      <w:tr>
        <w:trPr>
          <w:trHeight w:val="499" w:hRule="atLeast"/>
        </w:trPr>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项目资金
（万元）</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分值</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执行率</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得分</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年度资金总额</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2.87</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2.87</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10.00分</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其中：当年财政拨款</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2.87</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2.87</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499" w:hRule="atLeast"/>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519"/>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519"/>
            <w:gridSpan w:val="8"/>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实际完成情况</w:t>
            </w:r>
          </w:p>
        </w:tc>
      </w:tr>
      <w:tr>
        <w:trPr>
          <w:trHeight w:val="2430" w:hRule="atLeast"/>
        </w:trPr>
        <w:tc>
          <w:tcPr>
            <w:tcW w:type="dxa" w:w="519"/>
            <w:vMerge/>
            <w:tcBorders>
              <w:start w:sz="10" w:val="single"/>
              <w:top w:sz="10" w:val="single"/>
              <w:end w:sz="10" w:val="single"/>
              <w:bottom w:sz="10" w:val="single"/>
              <w:insideV w:sz="10" w:val="single"/>
            </w:tcBorders>
          </w:tcPr>
          <w:p/>
        </w:tc>
        <w:tc>
          <w:tcPr>
            <w:tcW w:type="dxa" w:w="519"/>
            <w:gridSpan w:val="7"/>
            <w:tcBorders>
              <w:start w:sz="10" w:val="single"/>
              <w:top w:sz="10" w:val="single"/>
              <w:end w:sz="10" w:val="single"/>
              <w:bottom w:sz="10" w:val="single"/>
              <w:insideV w:sz="10" w:val="single"/>
            </w:tcBorders>
            <w:vAlign w:val="top"/>
          </w:tcPr>
          <w:p>
            <w:pPr>
              <w:spacing w:before="0" w:after="0" w:line="240" w:lineRule="auto"/>
              <w:jc w:val="center"/>
            </w:pPr>
            <w:r>
              <w:rPr>
                <w:rFonts w:ascii="宋体" w:hAnsi="宋体" w:eastAsia="宋体" w:cs="宋体"/>
                <w:b w:val="0"/>
                <w:i w:val="0"/>
                <w:sz w:val="18"/>
              </w:rPr>
              <w:t>培养乌兹别克斯坦公民和学生学习汉语，做好汉语推广的教学教材、中国文化体验课程所需教具的购置，并开始授课。</w:t>
            </w:r>
          </w:p>
        </w:tc>
        <w:tc>
          <w:tcPr>
            <w:tcW w:type="dxa" w:w="519"/>
            <w:gridSpan w:val="8"/>
            <w:tcBorders>
              <w:start w:sz="10" w:val="single"/>
              <w:top w:sz="10" w:val="single"/>
              <w:end w:sz="10" w:val="single"/>
              <w:bottom w:sz="10" w:val="single"/>
              <w:insideV w:sz="10" w:val="single"/>
            </w:tcBorders>
            <w:vAlign w:val="top"/>
          </w:tcPr>
          <w:p>
            <w:pPr>
              <w:spacing w:before="0" w:after="0" w:line="240" w:lineRule="auto"/>
              <w:jc w:val="center"/>
            </w:pPr>
            <w:r>
              <w:rPr>
                <w:rFonts w:ascii="宋体" w:hAnsi="宋体" w:eastAsia="宋体" w:cs="宋体"/>
                <w:b w:val="0"/>
                <w:i w:val="0"/>
                <w:sz w:val="18"/>
              </w:rPr>
              <w:t>截至2025年底，该项目实际完成HSK标准教程和练习册（套）17套，中国传统文化文具36套，中国文化体验服饰（件）24件，汉语推广使用效果显著提高；书籍资料实际支出1万元；文化体验教学用具实际支出1.87万元；通过项目实施提升乌兹别克斯坦学生中文水平。</w:t>
            </w:r>
          </w:p>
        </w:tc>
      </w:tr>
      <w:tr>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519"/>
            <w:gridSpan w:val="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年度指标值</w:t>
            </w:r>
          </w:p>
        </w:tc>
        <w:tc>
          <w:tcPr>
            <w:tcW w:type="dxa" w:w="519"/>
            <w:gridSpan w:val="2"/>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分值</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得分</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实际完成值</w:t>
            </w:r>
          </w:p>
        </w:tc>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偏差原因分析及改进措施</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完成率</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指标性质</w:t>
            </w:r>
          </w:p>
        </w:tc>
      </w:tr>
      <w:tr>
        <w:trPr>
          <w:trHeight w:val="345"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gridSpan w:val="3"/>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r>
      <w:tr>
        <w:trPr>
          <w:trHeight w:val="580" w:hRule="atLeast"/>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年度绩效指标完成情况</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HSK标准教程和练习册（套）</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&gt;=14套</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=17套</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按照实际价格和需求购买教材</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121</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中国传统文化文具</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&gt;8套</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=36套</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按照实际价格和需求购买文化用品</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450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中国文化体验服饰（件）</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&gt;15件</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=24件</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按照实际需求购买中国文化服饰</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160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汉语推广使用效果</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显著提高</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基本达成目标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定性</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书籍资料</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=1万元</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=1万元</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文化体验教学用具</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=1.87万元</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=1.87万元</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乌兹别克斯坦学生中文水平</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显著提高</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基本达成目标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定性</w:t>
            </w:r>
          </w:p>
        </w:tc>
      </w:tr>
      <w:tr>
        <w:trPr>
          <w:trHeight w:val="499" w:hRule="atLeast"/>
        </w:trPr>
        <w:tc>
          <w:tcPr>
            <w:tcW w:type="dxa" w:w="519"/>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总分</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614"/>
        <w:gridCol w:w="614"/>
        <w:gridCol w:w="597"/>
        <w:gridCol w:w="430"/>
        <w:gridCol w:w="451"/>
        <w:gridCol w:w="225"/>
        <w:gridCol w:w="821"/>
        <w:gridCol w:w="614"/>
        <w:gridCol w:w="558"/>
        <w:gridCol w:w="284"/>
        <w:gridCol w:w="520"/>
        <w:gridCol w:w="412"/>
        <w:gridCol w:w="464"/>
        <w:gridCol w:w="614"/>
        <w:gridCol w:w="473"/>
        <w:gridCol w:w="614"/>
      </w:tblGrid>
      <w:tr>
        <w:trPr>
          <w:trHeight w:val="405" w:hRule="atLeast"/>
        </w:trPr>
        <w:tc>
          <w:tcPr>
            <w:tcW w:type="dxa" w:w="519"/>
            <w:gridSpan w:val="1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400" w:hRule="atLeast"/>
        </w:trPr>
        <w:tc>
          <w:tcPr>
            <w:tcW w:type="dxa" w:w="519"/>
            <w:gridSpan w:val="1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499" w:hRule="atLeast"/>
        </w:trPr>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项目名称</w:t>
            </w:r>
          </w:p>
        </w:tc>
        <w:tc>
          <w:tcPr>
            <w:tcW w:type="dxa" w:w="519"/>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乌财科教2024年170号文提前下达2025年教育补助项目经费-自治区人民政府高校励志奖学金、助学金</w:t>
            </w:r>
          </w:p>
        </w:tc>
      </w:tr>
      <w:tr>
        <w:trPr>
          <w:trHeight w:val="499" w:hRule="atLeast"/>
        </w:trPr>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主管部门</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乌鲁木齐职业大学</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实施单位</w:t>
            </w:r>
          </w:p>
        </w:tc>
        <w:tc>
          <w:tcPr>
            <w:tcW w:type="dxa" w:w="519"/>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乌鲁木齐职业大学</w:t>
            </w:r>
          </w:p>
        </w:tc>
      </w:tr>
      <w:tr>
        <w:trPr>
          <w:trHeight w:val="499" w:hRule="atLeast"/>
        </w:trPr>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项目资金
（万元）</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分值</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执行率</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得分</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年度资金总额</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395.00</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394.85</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394.85</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10.00分</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其中：当年财政拨款</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395.00</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394.85</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394.85</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499" w:hRule="atLeast"/>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519"/>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519"/>
            <w:gridSpan w:val="8"/>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实际完成情况</w:t>
            </w:r>
          </w:p>
        </w:tc>
      </w:tr>
      <w:tr>
        <w:trPr>
          <w:trHeight w:val="2430" w:hRule="atLeast"/>
        </w:trPr>
        <w:tc>
          <w:tcPr>
            <w:tcW w:type="dxa" w:w="519"/>
            <w:vMerge/>
            <w:tcBorders>
              <w:start w:sz="10" w:val="single"/>
              <w:top w:sz="10" w:val="single"/>
              <w:end w:sz="10" w:val="single"/>
              <w:bottom w:sz="10" w:val="single"/>
              <w:insideV w:sz="10" w:val="single"/>
            </w:tcBorders>
          </w:tcPr>
          <w:p/>
        </w:tc>
        <w:tc>
          <w:tcPr>
            <w:tcW w:type="dxa" w:w="519"/>
            <w:gridSpan w:val="7"/>
            <w:tcBorders>
              <w:start w:sz="10" w:val="single"/>
              <w:top w:sz="10" w:val="single"/>
              <w:end w:sz="10" w:val="single"/>
              <w:bottom w:sz="10" w:val="single"/>
              <w:insideV w:sz="10" w:val="single"/>
            </w:tcBorders>
            <w:vAlign w:val="top"/>
          </w:tcPr>
          <w:p>
            <w:pPr>
              <w:spacing w:before="0" w:after="0" w:line="240" w:lineRule="auto"/>
              <w:jc w:val="center"/>
            </w:pPr>
            <w:r>
              <w:rPr>
                <w:rFonts w:ascii="宋体" w:hAnsi="宋体" w:eastAsia="宋体" w:cs="宋体"/>
                <w:b w:val="0"/>
                <w:i w:val="0"/>
                <w:sz w:val="18"/>
              </w:rPr>
              <w:t>通过严格按规定落实高等学校各项国家资助政策，2025年发放自治区奖助学金自治区励志奖学金148.2万元，自治区助学金246.65万元。，达到有效减轻学生经济压力，学生成长成才的效果。</w:t>
            </w:r>
          </w:p>
        </w:tc>
        <w:tc>
          <w:tcPr>
            <w:tcW w:type="dxa" w:w="519"/>
            <w:gridSpan w:val="8"/>
            <w:tcBorders>
              <w:start w:sz="10" w:val="single"/>
              <w:top w:sz="10" w:val="single"/>
              <w:end w:sz="10" w:val="single"/>
              <w:bottom w:sz="10" w:val="single"/>
              <w:insideV w:sz="10" w:val="single"/>
            </w:tcBorders>
            <w:vAlign w:val="top"/>
          </w:tcPr>
          <w:p>
            <w:pPr>
              <w:spacing w:before="0" w:after="0" w:line="240" w:lineRule="auto"/>
              <w:jc w:val="center"/>
            </w:pPr>
            <w:r>
              <w:rPr>
                <w:rFonts w:ascii="宋体" w:hAnsi="宋体" w:eastAsia="宋体" w:cs="宋体"/>
                <w:b w:val="0"/>
                <w:i w:val="0"/>
                <w:sz w:val="18"/>
              </w:rPr>
              <w:t>截至2025年底，我校严格按规定落实高等学校各项国家资助政策，2025年发放自治区奖助学金自治区励志奖学金247人，金额1482000元，自治区助学金2472人，金额2466500元，全年合计项目支出总额3948500元，达到有效减轻学生经济压力，学生成长成才的效果。</w:t>
            </w:r>
          </w:p>
        </w:tc>
      </w:tr>
      <w:tr>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519"/>
            <w:gridSpan w:val="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年度指标值</w:t>
            </w:r>
          </w:p>
        </w:tc>
        <w:tc>
          <w:tcPr>
            <w:tcW w:type="dxa" w:w="519"/>
            <w:gridSpan w:val="2"/>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分值</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得分</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实际完成值</w:t>
            </w:r>
          </w:p>
        </w:tc>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偏差原因分析及改进措施</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完成率</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指标性质</w:t>
            </w:r>
          </w:p>
        </w:tc>
      </w:tr>
      <w:tr>
        <w:trPr>
          <w:trHeight w:val="345"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gridSpan w:val="3"/>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r>
      <w:tr>
        <w:trPr>
          <w:trHeight w:val="580" w:hRule="atLeast"/>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年度绩效指标完成情况</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自治区人民政府励志奖学金奖励人数</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&gt;=220人</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=247人</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自治区人民政府助学金奖励人数</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&gt;=1234人</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=2473人</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资金使用合格率</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自治区奖助学金及时发放率</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自治自治区人民政府高校励志奖学金资助总额</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&lt;=148.2万元</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=148.2万元</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自治区人民政府高校助学金资助总额</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&lt;=246.8万元</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=246.65万元</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减轻学生经济压力</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有效减轻</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基本达成目标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定性</w:t>
            </w:r>
          </w:p>
        </w:tc>
      </w:tr>
      <w:tr>
        <w:trPr>
          <w:trHeight w:val="499" w:hRule="atLeast"/>
        </w:trPr>
        <w:tc>
          <w:tcPr>
            <w:tcW w:type="dxa" w:w="519"/>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总分</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614"/>
        <w:gridCol w:w="614"/>
        <w:gridCol w:w="597"/>
        <w:gridCol w:w="430"/>
        <w:gridCol w:w="451"/>
        <w:gridCol w:w="225"/>
        <w:gridCol w:w="821"/>
        <w:gridCol w:w="614"/>
        <w:gridCol w:w="559"/>
        <w:gridCol w:w="284"/>
        <w:gridCol w:w="520"/>
        <w:gridCol w:w="412"/>
        <w:gridCol w:w="464"/>
        <w:gridCol w:w="614"/>
        <w:gridCol w:w="473"/>
        <w:gridCol w:w="614"/>
      </w:tblGrid>
      <w:tr>
        <w:trPr>
          <w:trHeight w:val="420" w:hRule="atLeast"/>
        </w:trPr>
        <w:tc>
          <w:tcPr>
            <w:tcW w:type="dxa" w:w="519"/>
            <w:gridSpan w:val="1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400" w:hRule="atLeast"/>
        </w:trPr>
        <w:tc>
          <w:tcPr>
            <w:tcW w:type="dxa" w:w="519"/>
            <w:gridSpan w:val="1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499" w:hRule="atLeast"/>
        </w:trPr>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项目名称</w:t>
            </w:r>
          </w:p>
        </w:tc>
        <w:tc>
          <w:tcPr>
            <w:tcW w:type="dxa" w:w="519"/>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乌财科教2024年170号文提前下达2025年教育补助项目经费-高校学生伙食补助资金264.22万元2025年高校伙食补助市级配套264.22万元</w:t>
            </w:r>
          </w:p>
        </w:tc>
      </w:tr>
      <w:tr>
        <w:trPr>
          <w:trHeight w:val="499" w:hRule="atLeast"/>
        </w:trPr>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主管部门</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乌鲁木齐职业大学</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实施单位</w:t>
            </w:r>
          </w:p>
        </w:tc>
        <w:tc>
          <w:tcPr>
            <w:tcW w:type="dxa" w:w="519"/>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乌鲁木齐职业大学</w:t>
            </w:r>
          </w:p>
        </w:tc>
      </w:tr>
      <w:tr>
        <w:trPr>
          <w:trHeight w:val="499" w:hRule="atLeast"/>
        </w:trPr>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项目资金
（万元）</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分值</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执行率</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得分</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年度资金总额</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528.44</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528.44</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528.44</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10.00分</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其中：当年财政拨款</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528.44</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528.44</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528.44</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499" w:hRule="atLeast"/>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519"/>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519"/>
            <w:gridSpan w:val="8"/>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实际完成情况</w:t>
            </w:r>
          </w:p>
        </w:tc>
      </w:tr>
      <w:tr>
        <w:trPr>
          <w:trHeight w:val="2430" w:hRule="atLeast"/>
        </w:trPr>
        <w:tc>
          <w:tcPr>
            <w:tcW w:type="dxa" w:w="519"/>
            <w:vMerge/>
            <w:tcBorders>
              <w:start w:sz="10" w:val="single"/>
              <w:top w:sz="10" w:val="single"/>
              <w:end w:sz="10" w:val="single"/>
              <w:bottom w:sz="10" w:val="single"/>
              <w:insideV w:sz="10" w:val="single"/>
            </w:tcBorders>
          </w:tcPr>
          <w:p/>
        </w:tc>
        <w:tc>
          <w:tcPr>
            <w:tcW w:type="dxa" w:w="519"/>
            <w:gridSpan w:val="7"/>
            <w:tcBorders>
              <w:start w:sz="10" w:val="single"/>
              <w:top w:sz="10" w:val="single"/>
              <w:end w:sz="10" w:val="single"/>
              <w:bottom w:sz="10" w:val="single"/>
              <w:insideV w:sz="10" w:val="single"/>
            </w:tcBorders>
            <w:vAlign w:val="top"/>
          </w:tcPr>
          <w:p>
            <w:pPr>
              <w:spacing w:before="0" w:after="0" w:line="240" w:lineRule="auto"/>
              <w:jc w:val="center"/>
            </w:pPr>
            <w:r>
              <w:rPr>
                <w:rFonts w:ascii="宋体" w:hAnsi="宋体" w:eastAsia="宋体" w:cs="宋体"/>
                <w:b w:val="0"/>
                <w:i w:val="0"/>
                <w:sz w:val="18"/>
              </w:rPr>
              <w:t>通过2025年使用该项目资金，保证伙食补助专项资金做到专款专用，保证学生食堂饭菜价格的稳定，确保伙食补助专项资金起到平抑饭菜价格的作用，使学生享受到伙食补助专项资金带来的实惠。</w:t>
            </w:r>
          </w:p>
        </w:tc>
        <w:tc>
          <w:tcPr>
            <w:tcW w:type="dxa" w:w="519"/>
            <w:gridSpan w:val="8"/>
            <w:tcBorders>
              <w:start w:sz="10" w:val="single"/>
              <w:top w:sz="10" w:val="single"/>
              <w:end w:sz="10" w:val="single"/>
              <w:bottom w:sz="10" w:val="single"/>
              <w:insideV w:sz="10" w:val="single"/>
            </w:tcBorders>
            <w:vAlign w:val="top"/>
          </w:tcPr>
          <w:p>
            <w:pPr>
              <w:spacing w:before="0" w:after="0" w:line="240" w:lineRule="auto"/>
              <w:jc w:val="center"/>
            </w:pPr>
            <w:r>
              <w:rPr>
                <w:rFonts w:ascii="宋体" w:hAnsi="宋体" w:eastAsia="宋体" w:cs="宋体"/>
                <w:b w:val="0"/>
                <w:i w:val="0"/>
                <w:sz w:val="18"/>
              </w:rPr>
              <w:t>截至2025年底，该项目实际完成补助基础灶个数52个，享受补助涉及学生13131人，完成考核基础灶食品安全次数9次，享受补助食堂11个（1个自营食堂，10个承包食堂），项目实际支出528.44万元，通过项目实施起到平抑饭菜价格的作用，是学生享受到伙食补助专项资金带来的实惠</w:t>
            </w:r>
          </w:p>
        </w:tc>
      </w:tr>
      <w:tr>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519"/>
            <w:gridSpan w:val="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年度指标值</w:t>
            </w:r>
          </w:p>
        </w:tc>
        <w:tc>
          <w:tcPr>
            <w:tcW w:type="dxa" w:w="519"/>
            <w:gridSpan w:val="2"/>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分值</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得分</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实际完成值</w:t>
            </w:r>
          </w:p>
        </w:tc>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偏差原因分析及改进措施</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完成率</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指标性质</w:t>
            </w:r>
          </w:p>
        </w:tc>
      </w:tr>
      <w:tr>
        <w:trPr>
          <w:trHeight w:val="345"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gridSpan w:val="3"/>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r>
      <w:tr>
        <w:trPr>
          <w:trHeight w:val="580" w:hRule="atLeast"/>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年度绩效指标完成情况</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享受补助基础灶个数</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=32个</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=52个</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根据2025年伙食补助实际基础灶个数填列</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162.5</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享受补助涉及学生人数</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&gt;=13000人</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=13131人</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截至2025年12月，在校学生人数13131人。</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考核基础灶食品安全次数</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=9次</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=9次</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享受补助食堂个数</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&gt;=1个</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=11个</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根据2025年伙食补助实际补贴食堂个数填列</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补助资金发放准确率</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足额按时拨付到位</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补助资金执行及时率（%）</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足额按时拨付到位</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提高学生在校伙食水平</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有效提高</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基本达成目标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定性</w:t>
            </w:r>
          </w:p>
        </w:tc>
      </w:tr>
      <w:tr>
        <w:trPr>
          <w:trHeight w:val="499" w:hRule="atLeast"/>
        </w:trPr>
        <w:tc>
          <w:tcPr>
            <w:tcW w:type="dxa" w:w="519"/>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总分</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614"/>
        <w:gridCol w:w="614"/>
        <w:gridCol w:w="597"/>
        <w:gridCol w:w="430"/>
        <w:gridCol w:w="451"/>
        <w:gridCol w:w="225"/>
        <w:gridCol w:w="821"/>
        <w:gridCol w:w="614"/>
        <w:gridCol w:w="559"/>
        <w:gridCol w:w="284"/>
        <w:gridCol w:w="520"/>
        <w:gridCol w:w="412"/>
        <w:gridCol w:w="464"/>
        <w:gridCol w:w="614"/>
        <w:gridCol w:w="473"/>
        <w:gridCol w:w="614"/>
      </w:tblGrid>
      <w:tr>
        <w:trPr>
          <w:trHeight w:val="420" w:hRule="atLeast"/>
        </w:trPr>
        <w:tc>
          <w:tcPr>
            <w:tcW w:type="dxa" w:w="519"/>
            <w:gridSpan w:val="1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400" w:hRule="atLeast"/>
        </w:trPr>
        <w:tc>
          <w:tcPr>
            <w:tcW w:type="dxa" w:w="519"/>
            <w:gridSpan w:val="1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499" w:hRule="atLeast"/>
        </w:trPr>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项目名称</w:t>
            </w:r>
          </w:p>
        </w:tc>
        <w:tc>
          <w:tcPr>
            <w:tcW w:type="dxa" w:w="519"/>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乌财行[2024]29号关于拨付新疆人才发展基金2024年第一轮支持资金的通知-天山英才培养计划</w:t>
            </w:r>
          </w:p>
        </w:tc>
      </w:tr>
      <w:tr>
        <w:trPr>
          <w:trHeight w:val="499" w:hRule="atLeast"/>
        </w:trPr>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主管部门</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乌鲁木齐职业大学</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实施单位</w:t>
            </w:r>
          </w:p>
        </w:tc>
        <w:tc>
          <w:tcPr>
            <w:tcW w:type="dxa" w:w="519"/>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乌鲁木齐职业大学</w:t>
            </w:r>
          </w:p>
        </w:tc>
      </w:tr>
      <w:tr>
        <w:trPr>
          <w:trHeight w:val="499" w:hRule="atLeast"/>
        </w:trPr>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项目资金
（万元）</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分值</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执行率</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得分</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年度资金总额</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0.63</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0.63</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0.60</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95.24%</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9.52分</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其中：当年财政拨款</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0.63</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0.63</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0.60</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499" w:hRule="atLeast"/>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519"/>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519"/>
            <w:gridSpan w:val="8"/>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实际完成情况</w:t>
            </w:r>
          </w:p>
        </w:tc>
      </w:tr>
      <w:tr>
        <w:trPr>
          <w:trHeight w:val="2430" w:hRule="atLeast"/>
        </w:trPr>
        <w:tc>
          <w:tcPr>
            <w:tcW w:type="dxa" w:w="519"/>
            <w:vMerge/>
            <w:tcBorders>
              <w:start w:sz="10" w:val="single"/>
              <w:top w:sz="10" w:val="single"/>
              <w:end w:sz="10" w:val="single"/>
              <w:bottom w:sz="10" w:val="single"/>
              <w:insideV w:sz="10" w:val="single"/>
            </w:tcBorders>
          </w:tcPr>
          <w:p/>
        </w:tc>
        <w:tc>
          <w:tcPr>
            <w:tcW w:type="dxa" w:w="519"/>
            <w:gridSpan w:val="7"/>
            <w:tcBorders>
              <w:start w:sz="10" w:val="single"/>
              <w:top w:sz="10" w:val="single"/>
              <w:end w:sz="10" w:val="single"/>
              <w:bottom w:sz="10" w:val="single"/>
              <w:insideV w:sz="10" w:val="single"/>
            </w:tcBorders>
            <w:vAlign w:val="top"/>
          </w:tcPr>
          <w:p>
            <w:pPr>
              <w:spacing w:before="0" w:after="0" w:line="240" w:lineRule="auto"/>
              <w:jc w:val="center"/>
            </w:pPr>
            <w:r>
              <w:rPr>
                <w:rFonts w:ascii="宋体" w:hAnsi="宋体" w:eastAsia="宋体" w:cs="宋体"/>
                <w:b w:val="0"/>
                <w:i w:val="0"/>
                <w:sz w:val="18"/>
              </w:rPr>
              <w:t>该项目资金2025年用于
1.教学名师队伍及团队培养：参加专业培训和会议，不断提高团队成员的知识和技能
2.行业企业调研、疆内外院校调研，形成高水平调研报告</w:t>
            </w:r>
          </w:p>
        </w:tc>
        <w:tc>
          <w:tcPr>
            <w:tcW w:type="dxa" w:w="519"/>
            <w:gridSpan w:val="8"/>
            <w:tcBorders>
              <w:start w:sz="10" w:val="single"/>
              <w:top w:sz="10" w:val="single"/>
              <w:end w:sz="10" w:val="single"/>
              <w:bottom w:sz="10" w:val="single"/>
              <w:insideV w:sz="10" w:val="single"/>
            </w:tcBorders>
            <w:vAlign w:val="top"/>
          </w:tcPr>
          <w:p>
            <w:pPr>
              <w:spacing w:before="0" w:after="0" w:line="240" w:lineRule="auto"/>
              <w:jc w:val="center"/>
            </w:pPr>
            <w:r>
              <w:rPr>
                <w:rFonts w:ascii="宋体" w:hAnsi="宋体" w:eastAsia="宋体" w:cs="宋体"/>
                <w:b w:val="0"/>
                <w:i w:val="0"/>
                <w:sz w:val="18"/>
              </w:rPr>
              <w:t>截至2025年底，该项目实际完成教师培训1次，完成论文1项，完成自治区精品在线课程1门，实际项目支出0.6万元，提高高技能人才育人成效，提高高技能人才培训动态机制。</w:t>
            </w:r>
          </w:p>
        </w:tc>
      </w:tr>
      <w:tr>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519"/>
            <w:gridSpan w:val="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年度指标值</w:t>
            </w:r>
          </w:p>
        </w:tc>
        <w:tc>
          <w:tcPr>
            <w:tcW w:type="dxa" w:w="519"/>
            <w:gridSpan w:val="2"/>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分值</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得分</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实际完成值</w:t>
            </w:r>
          </w:p>
        </w:tc>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偏差原因分析及改进措施</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完成率</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指标性质</w:t>
            </w:r>
          </w:p>
        </w:tc>
      </w:tr>
      <w:tr>
        <w:trPr>
          <w:trHeight w:val="345"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gridSpan w:val="3"/>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r>
      <w:tr>
        <w:trPr>
          <w:trHeight w:val="580" w:hRule="atLeast"/>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年度绩效指标完成情况</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教师培训次数</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完成论文或软件著作权</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&gt;=1项</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=1项</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完成自治区精品在线课程</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&gt;=1项</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=1项</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参训人员培训结业率</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参训人员培训结业率为100%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培训费</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&lt;=0.63万元</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=0.6万元</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剩余251元花不了了</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达成高技能人才育人成效</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有效提高</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基本达成目标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定性</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高技能人才培训动态机制</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有效提高</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基本达成目标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定性</w:t>
            </w:r>
          </w:p>
        </w:tc>
      </w:tr>
      <w:tr>
        <w:trPr>
          <w:trHeight w:val="499" w:hRule="atLeast"/>
        </w:trPr>
        <w:tc>
          <w:tcPr>
            <w:tcW w:type="dxa" w:w="519"/>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总分</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99.52</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614"/>
        <w:gridCol w:w="614"/>
        <w:gridCol w:w="597"/>
        <w:gridCol w:w="430"/>
        <w:gridCol w:w="451"/>
        <w:gridCol w:w="225"/>
        <w:gridCol w:w="821"/>
        <w:gridCol w:w="614"/>
        <w:gridCol w:w="559"/>
        <w:gridCol w:w="284"/>
        <w:gridCol w:w="520"/>
        <w:gridCol w:w="412"/>
        <w:gridCol w:w="464"/>
        <w:gridCol w:w="614"/>
        <w:gridCol w:w="473"/>
        <w:gridCol w:w="614"/>
      </w:tblGrid>
      <w:tr>
        <w:trPr>
          <w:trHeight w:val="420" w:hRule="atLeast"/>
        </w:trPr>
        <w:tc>
          <w:tcPr>
            <w:tcW w:type="dxa" w:w="519"/>
            <w:gridSpan w:val="1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400" w:hRule="atLeast"/>
        </w:trPr>
        <w:tc>
          <w:tcPr>
            <w:tcW w:type="dxa" w:w="519"/>
            <w:gridSpan w:val="1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499" w:hRule="atLeast"/>
        </w:trPr>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项目名称</w:t>
            </w:r>
          </w:p>
        </w:tc>
        <w:tc>
          <w:tcPr>
            <w:tcW w:type="dxa" w:w="519"/>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乌鲁木齐职业大学教育发展专项经费</w:t>
            </w:r>
          </w:p>
        </w:tc>
      </w:tr>
      <w:tr>
        <w:trPr>
          <w:trHeight w:val="499" w:hRule="atLeast"/>
        </w:trPr>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主管部门</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乌鲁木齐职业大学</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实施单位</w:t>
            </w:r>
          </w:p>
        </w:tc>
        <w:tc>
          <w:tcPr>
            <w:tcW w:type="dxa" w:w="519"/>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乌鲁木齐职业大学</w:t>
            </w:r>
          </w:p>
        </w:tc>
      </w:tr>
      <w:tr>
        <w:trPr>
          <w:trHeight w:val="499" w:hRule="atLeast"/>
        </w:trPr>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项目资金
（万元）</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分值</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执行率</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得分</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年度资金总额</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2,000.00</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2,000.00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1,720.43</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86.02%</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8.60分</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其中：当年财政拨款</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2,000.00</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2,000.00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1,720.43</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499" w:hRule="atLeast"/>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519"/>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519"/>
            <w:gridSpan w:val="8"/>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实际完成情况</w:t>
            </w:r>
          </w:p>
        </w:tc>
      </w:tr>
      <w:tr>
        <w:trPr>
          <w:trHeight w:val="2430" w:hRule="atLeast"/>
        </w:trPr>
        <w:tc>
          <w:tcPr>
            <w:tcW w:type="dxa" w:w="519"/>
            <w:vMerge/>
            <w:tcBorders>
              <w:start w:sz="10" w:val="single"/>
              <w:top w:sz="10" w:val="single"/>
              <w:end w:sz="10" w:val="single"/>
              <w:bottom w:sz="10" w:val="single"/>
              <w:insideV w:sz="10" w:val="single"/>
            </w:tcBorders>
          </w:tcPr>
          <w:p/>
        </w:tc>
        <w:tc>
          <w:tcPr>
            <w:tcW w:type="dxa" w:w="519"/>
            <w:gridSpan w:val="7"/>
            <w:tcBorders>
              <w:start w:sz="10" w:val="single"/>
              <w:top w:sz="10" w:val="single"/>
              <w:end w:sz="10" w:val="single"/>
              <w:bottom w:sz="10" w:val="single"/>
              <w:insideV w:sz="10" w:val="single"/>
            </w:tcBorders>
            <w:vAlign w:val="top"/>
          </w:tcPr>
          <w:p>
            <w:pPr>
              <w:spacing w:before="0" w:after="0" w:line="240" w:lineRule="auto"/>
              <w:jc w:val="center"/>
            </w:pPr>
            <w:r>
              <w:rPr>
                <w:rFonts w:ascii="宋体" w:hAnsi="宋体" w:eastAsia="宋体" w:cs="宋体"/>
                <w:b w:val="0"/>
                <w:i w:val="0"/>
                <w:sz w:val="18"/>
              </w:rPr>
              <w:t>1、完成因专升本产生临时性经费3,219,119.21元支付；
2、完成2024年应付未付款项支付，所需经费10,619,188.93元；
3、调整2025年预算，涉及经费6,161,691.86元；
以上共计2000万元项目经费的使用，可缓解我校升本后因办学要求提高而产生的办学经费紧张的现状，为我校升本后的资金起到保障作用。</w:t>
            </w:r>
          </w:p>
        </w:tc>
        <w:tc>
          <w:tcPr>
            <w:tcW w:type="dxa" w:w="519"/>
            <w:gridSpan w:val="8"/>
            <w:tcBorders>
              <w:start w:sz="10" w:val="single"/>
              <w:top w:sz="10" w:val="single"/>
              <w:end w:sz="10" w:val="single"/>
              <w:bottom w:sz="10" w:val="single"/>
              <w:insideV w:sz="10" w:val="single"/>
            </w:tcBorders>
            <w:vAlign w:val="top"/>
          </w:tcPr>
          <w:p>
            <w:pPr>
              <w:spacing w:before="0" w:after="0" w:line="240" w:lineRule="auto"/>
              <w:jc w:val="center"/>
            </w:pPr>
            <w:r>
              <w:rPr>
                <w:rFonts w:ascii="宋体" w:hAnsi="宋体" w:eastAsia="宋体" w:cs="宋体"/>
                <w:b w:val="0"/>
                <w:i w:val="0"/>
                <w:sz w:val="18"/>
              </w:rPr>
              <w:t>截至2025年底，该项目实际完成专项债付息付费1次，完成图书购置1.5万册，图书购置完全验收合格，项目实际支出1720.43万元，通过项目实施，有效保障办学经费的充足。</w:t>
            </w:r>
          </w:p>
        </w:tc>
      </w:tr>
      <w:tr>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519"/>
            <w:gridSpan w:val="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年度指标值</w:t>
            </w:r>
          </w:p>
        </w:tc>
        <w:tc>
          <w:tcPr>
            <w:tcW w:type="dxa" w:w="519"/>
            <w:gridSpan w:val="2"/>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分值</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得分</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实际完成值</w:t>
            </w:r>
          </w:p>
        </w:tc>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偏差原因分析及改进措施</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完成率</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指标性质</w:t>
            </w:r>
          </w:p>
        </w:tc>
      </w:tr>
      <w:tr>
        <w:trPr>
          <w:trHeight w:val="345"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gridSpan w:val="3"/>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r>
      <w:tr>
        <w:trPr>
          <w:trHeight w:val="580" w:hRule="atLeast"/>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年度绩效指标完成情况</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专项债付息付费次数</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图书购置数量</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&gt;=1.50万册</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=1.5万册</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按验收单实际数量填写</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图书购置验收合格率</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&gt;=98%</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专项债付息经费</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&lt;=290万元</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=304.34万元</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按还款通知单实际金额还款</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其他经费支出</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&lt;=743.79万元</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=631.7万元</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按2.0实际支出数填写</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资本性支出</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&lt;=966.21万元</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=784.39万元</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按2.0实际支出数填写</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保障办学经费充足</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有效保障</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基本达成目标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定性</w:t>
            </w:r>
          </w:p>
        </w:tc>
      </w:tr>
      <w:tr>
        <w:trPr>
          <w:trHeight w:val="499" w:hRule="atLeast"/>
        </w:trPr>
        <w:tc>
          <w:tcPr>
            <w:tcW w:type="dxa" w:w="519"/>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总分</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88.60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614"/>
        <w:gridCol w:w="614"/>
        <w:gridCol w:w="597"/>
        <w:gridCol w:w="430"/>
        <w:gridCol w:w="451"/>
        <w:gridCol w:w="225"/>
        <w:gridCol w:w="821"/>
        <w:gridCol w:w="614"/>
        <w:gridCol w:w="559"/>
        <w:gridCol w:w="284"/>
        <w:gridCol w:w="520"/>
        <w:gridCol w:w="412"/>
        <w:gridCol w:w="464"/>
        <w:gridCol w:w="614"/>
        <w:gridCol w:w="473"/>
        <w:gridCol w:w="614"/>
      </w:tblGrid>
      <w:tr>
        <w:trPr>
          <w:trHeight w:val="420" w:hRule="atLeast"/>
        </w:trPr>
        <w:tc>
          <w:tcPr>
            <w:tcW w:type="dxa" w:w="519"/>
            <w:gridSpan w:val="1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400" w:hRule="atLeast"/>
        </w:trPr>
        <w:tc>
          <w:tcPr>
            <w:tcW w:type="dxa" w:w="519"/>
            <w:gridSpan w:val="1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499" w:hRule="atLeast"/>
        </w:trPr>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项目名称</w:t>
            </w:r>
          </w:p>
        </w:tc>
        <w:tc>
          <w:tcPr>
            <w:tcW w:type="dxa" w:w="519"/>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乌鲁木齐职业大学非财项目经费</w:t>
            </w:r>
          </w:p>
        </w:tc>
      </w:tr>
      <w:tr>
        <w:trPr>
          <w:trHeight w:val="499" w:hRule="atLeast"/>
        </w:trPr>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主管部门</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乌鲁木齐职业大学</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实施单位</w:t>
            </w:r>
          </w:p>
        </w:tc>
        <w:tc>
          <w:tcPr>
            <w:tcW w:type="dxa" w:w="519"/>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乌鲁木齐职业大学</w:t>
            </w:r>
          </w:p>
        </w:tc>
      </w:tr>
      <w:tr>
        <w:trPr>
          <w:trHeight w:val="499" w:hRule="atLeast"/>
        </w:trPr>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项目资金
（万元）</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分值</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执行率</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得分</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年度资金总额</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525.33</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525.33</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353.53</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67.30%</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6.73分</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其中：当年财政拨款</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525.33</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525.33</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353.53</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499" w:hRule="atLeast"/>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519"/>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519"/>
            <w:gridSpan w:val="8"/>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实际完成情况</w:t>
            </w:r>
          </w:p>
        </w:tc>
      </w:tr>
      <w:tr>
        <w:trPr>
          <w:trHeight w:val="2430" w:hRule="atLeast"/>
        </w:trPr>
        <w:tc>
          <w:tcPr>
            <w:tcW w:type="dxa" w:w="519"/>
            <w:vMerge/>
            <w:tcBorders>
              <w:start w:sz="10" w:val="single"/>
              <w:top w:sz="10" w:val="single"/>
              <w:end w:sz="10" w:val="single"/>
              <w:bottom w:sz="10" w:val="single"/>
              <w:insideV w:sz="10" w:val="single"/>
            </w:tcBorders>
          </w:tcPr>
          <w:p/>
        </w:tc>
        <w:tc>
          <w:tcPr>
            <w:tcW w:type="dxa" w:w="519"/>
            <w:gridSpan w:val="7"/>
            <w:tcBorders>
              <w:start w:sz="10" w:val="single"/>
              <w:top w:sz="10" w:val="single"/>
              <w:end w:sz="10" w:val="single"/>
              <w:bottom w:sz="10" w:val="single"/>
              <w:insideV w:sz="10" w:val="single"/>
            </w:tcBorders>
            <w:vAlign w:val="top"/>
          </w:tcPr>
          <w:p>
            <w:pPr>
              <w:spacing w:before="0" w:after="0" w:line="240" w:lineRule="auto"/>
              <w:jc w:val="center"/>
            </w:pPr>
            <w:r>
              <w:rPr>
                <w:rFonts w:ascii="宋体" w:hAnsi="宋体" w:eastAsia="宋体" w:cs="宋体"/>
                <w:b w:val="0"/>
                <w:i w:val="0"/>
                <w:sz w:val="18"/>
              </w:rPr>
              <w:t>完成支付我校因项目跨年度拨付未纳入2025年预算金额175.71万元、不可预见性非财项目金额349.62万元，保障我校升本后教学工作顺利推进。</w:t>
            </w:r>
          </w:p>
        </w:tc>
        <w:tc>
          <w:tcPr>
            <w:tcW w:type="dxa" w:w="519"/>
            <w:gridSpan w:val="8"/>
            <w:tcBorders>
              <w:start w:sz="10" w:val="single"/>
              <w:top w:sz="10" w:val="single"/>
              <w:end w:sz="10" w:val="single"/>
              <w:bottom w:sz="10" w:val="single"/>
              <w:insideV w:sz="10" w:val="single"/>
            </w:tcBorders>
            <w:vAlign w:val="top"/>
          </w:tcPr>
          <w:p>
            <w:pPr>
              <w:spacing w:before="0" w:after="0" w:line="240" w:lineRule="auto"/>
              <w:jc w:val="center"/>
            </w:pPr>
            <w:r>
              <w:rPr>
                <w:rFonts w:ascii="宋体" w:hAnsi="宋体" w:eastAsia="宋体" w:cs="宋体"/>
                <w:b w:val="0"/>
                <w:i w:val="0"/>
                <w:sz w:val="18"/>
              </w:rPr>
              <w:t>截至2025年底，项目实际完成食堂设备更新数80套，采购打印机数量10台，采购电脑数量17台，设备全部验收合格，实际支出353.53万元，通过项目实施，达到了改善办学条件的效果。</w:t>
            </w:r>
          </w:p>
        </w:tc>
      </w:tr>
      <w:tr>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519"/>
            <w:gridSpan w:val="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年度指标值</w:t>
            </w:r>
          </w:p>
        </w:tc>
        <w:tc>
          <w:tcPr>
            <w:tcW w:type="dxa" w:w="519"/>
            <w:gridSpan w:val="2"/>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分值</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得分</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实际完成值</w:t>
            </w:r>
          </w:p>
        </w:tc>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偏差原因分析及改进措施</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完成率</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指标性质</w:t>
            </w:r>
          </w:p>
        </w:tc>
      </w:tr>
      <w:tr>
        <w:trPr>
          <w:trHeight w:val="345"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gridSpan w:val="3"/>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r>
      <w:tr>
        <w:trPr>
          <w:trHeight w:val="580" w:hRule="atLeast"/>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年度绩效指标完成情况</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食堂设备更新数</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&gt;=90套</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=80套</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根据实际食堂设备更新数填列</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采购打印机数量</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&gt;=10台</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=10台</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采购电脑数量</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&gt;=17台</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=17台</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设备验收合格率</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&gt;=98%</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设备全部验收合格</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支付设备款</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&lt;=68.56万元</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=91.83万元</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按实际支付设备款填列</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&lt;=456.77万元</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5.73</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=261.7万元</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按实际支付数填列</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57.29</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保障办学经费充足</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有效保障</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基本达成目标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定性</w:t>
            </w:r>
          </w:p>
        </w:tc>
      </w:tr>
      <w:tr>
        <w:trPr>
          <w:trHeight w:val="499" w:hRule="atLeast"/>
        </w:trPr>
        <w:tc>
          <w:tcPr>
            <w:tcW w:type="dxa" w:w="519"/>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总分</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72.46</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614"/>
        <w:gridCol w:w="614"/>
        <w:gridCol w:w="597"/>
        <w:gridCol w:w="430"/>
        <w:gridCol w:w="451"/>
        <w:gridCol w:w="225"/>
        <w:gridCol w:w="821"/>
        <w:gridCol w:w="614"/>
        <w:gridCol w:w="558"/>
        <w:gridCol w:w="284"/>
        <w:gridCol w:w="520"/>
        <w:gridCol w:w="412"/>
        <w:gridCol w:w="464"/>
        <w:gridCol w:w="614"/>
        <w:gridCol w:w="473"/>
        <w:gridCol w:w="614"/>
      </w:tblGrid>
      <w:tr>
        <w:trPr>
          <w:trHeight w:val="405" w:hRule="atLeast"/>
        </w:trPr>
        <w:tc>
          <w:tcPr>
            <w:tcW w:type="dxa" w:w="519"/>
            <w:gridSpan w:val="1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400" w:hRule="atLeast"/>
        </w:trPr>
        <w:tc>
          <w:tcPr>
            <w:tcW w:type="dxa" w:w="519"/>
            <w:gridSpan w:val="1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499" w:hRule="atLeast"/>
        </w:trPr>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项目名称</w:t>
            </w:r>
          </w:p>
        </w:tc>
        <w:tc>
          <w:tcPr>
            <w:tcW w:type="dxa" w:w="519"/>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信息化建设项目</w:t>
            </w:r>
          </w:p>
        </w:tc>
      </w:tr>
      <w:tr>
        <w:trPr>
          <w:trHeight w:val="499" w:hRule="atLeast"/>
        </w:trPr>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主管部门</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乌鲁木齐职业大学</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实施单位</w:t>
            </w:r>
          </w:p>
        </w:tc>
        <w:tc>
          <w:tcPr>
            <w:tcW w:type="dxa" w:w="519"/>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乌鲁木齐职业大学</w:t>
            </w:r>
          </w:p>
        </w:tc>
      </w:tr>
      <w:tr>
        <w:trPr>
          <w:trHeight w:val="499" w:hRule="atLeast"/>
        </w:trPr>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项目资金
（万元）</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分值</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执行率</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得分</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年度资金总额</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506.88</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506.88</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398.96</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78.71%</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7.87分</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其中：当年财政拨款</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506.88</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506.88</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398.96</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499" w:hRule="atLeast"/>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519"/>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519"/>
            <w:gridSpan w:val="8"/>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实际完成情况</w:t>
            </w:r>
          </w:p>
        </w:tc>
      </w:tr>
      <w:tr>
        <w:trPr>
          <w:trHeight w:val="2430" w:hRule="atLeast"/>
        </w:trPr>
        <w:tc>
          <w:tcPr>
            <w:tcW w:type="dxa" w:w="519"/>
            <w:vMerge/>
            <w:tcBorders>
              <w:start w:sz="10" w:val="single"/>
              <w:top w:sz="10" w:val="single"/>
              <w:end w:sz="10" w:val="single"/>
              <w:bottom w:sz="10" w:val="single"/>
              <w:insideV w:sz="10" w:val="single"/>
            </w:tcBorders>
          </w:tcPr>
          <w:p/>
        </w:tc>
        <w:tc>
          <w:tcPr>
            <w:tcW w:type="dxa" w:w="519"/>
            <w:gridSpan w:val="7"/>
            <w:tcBorders>
              <w:start w:sz="10" w:val="single"/>
              <w:top w:sz="10" w:val="single"/>
              <w:end w:sz="10" w:val="single"/>
              <w:bottom w:sz="10" w:val="single"/>
              <w:insideV w:sz="10" w:val="single"/>
            </w:tcBorders>
            <w:vAlign w:val="top"/>
          </w:tcPr>
          <w:p>
            <w:pPr>
              <w:spacing w:before="0" w:after="0" w:line="240" w:lineRule="auto"/>
              <w:jc w:val="center"/>
            </w:pPr>
            <w:r>
              <w:rPr>
                <w:rFonts w:ascii="宋体" w:hAnsi="宋体" w:eastAsia="宋体" w:cs="宋体"/>
                <w:b w:val="0"/>
                <w:i w:val="0"/>
                <w:sz w:val="18"/>
              </w:rPr>
              <w:t>2025年完成文光校区、祥云校区公共合堂设备建设及监控安装，文光校区数字IP广播系统的安装，普通话测试站建设等网络综合布线工程及“中文+职业技能”项目建设。通过该项目实施达到提升广播效率与便捷性、丰富广播内容与形式、促进校园文化建设、增强校园安全性以及推动教育现代化等预期效果。</w:t>
            </w:r>
          </w:p>
        </w:tc>
        <w:tc>
          <w:tcPr>
            <w:tcW w:type="dxa" w:w="519"/>
            <w:gridSpan w:val="8"/>
            <w:tcBorders>
              <w:start w:sz="10" w:val="single"/>
              <w:top w:sz="10" w:val="single"/>
              <w:end w:sz="10" w:val="single"/>
              <w:bottom w:sz="10" w:val="single"/>
              <w:insideV w:sz="10" w:val="single"/>
            </w:tcBorders>
            <w:vAlign w:val="top"/>
          </w:tcPr>
          <w:p>
            <w:pPr>
              <w:spacing w:before="0" w:after="0" w:line="240" w:lineRule="auto"/>
              <w:jc w:val="center"/>
            </w:pPr>
            <w:r>
              <w:rPr>
                <w:rFonts w:ascii="宋体" w:hAnsi="宋体" w:eastAsia="宋体" w:cs="宋体"/>
                <w:b w:val="0"/>
                <w:i w:val="0"/>
                <w:sz w:val="18"/>
              </w:rPr>
              <w:t>截至2025年底，项目实际完成网络综合布线安装场所620个，安装监控设备255台。项目全年总支出金额398.96万元，通过该项目实施达到贴合校园教学、办公网络实际需求，兼顾性能与实用性，提升广播效率与便捷性、丰富广播内容与形式、促进校园文化建设、增强校园安全性以及推动教育现代化等预期效果，为校区信息化基础建设筑牢支撑。</w:t>
            </w:r>
          </w:p>
        </w:tc>
      </w:tr>
      <w:tr>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519"/>
            <w:gridSpan w:val="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年度指标值</w:t>
            </w:r>
          </w:p>
        </w:tc>
        <w:tc>
          <w:tcPr>
            <w:tcW w:type="dxa" w:w="519"/>
            <w:gridSpan w:val="2"/>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分值</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得分</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实际完成值</w:t>
            </w:r>
          </w:p>
        </w:tc>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偏差原因分析及改进措施</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完成率</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指标性质</w:t>
            </w:r>
          </w:p>
        </w:tc>
      </w:tr>
      <w:tr>
        <w:trPr>
          <w:trHeight w:val="345"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gridSpan w:val="3"/>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r>
      <w:tr>
        <w:trPr>
          <w:trHeight w:val="580" w:hRule="atLeast"/>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年度绩效指标完成情况</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网络综合布线安装场所数量</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&gt;=10个</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=620个</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年初设立项目绩效目标理解网络综合布线安装场所为10栋建筑物，实际应该为网络综合布线教室和办公室场所数量，造成偏差率极大。</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6200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安装监控设备</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&gt;=211台</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=255台</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正版软件平台使用正常率</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设备验收合格率</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项目计划完成率（%）</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4.15</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=78.7%</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部分项目由于前期招标参数不准确沟通不够及时，未及时完成设备采购招投标流程</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83</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设备采购资金</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&lt;=280万元</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=227.86万元</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维修维护资金</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&lt;=226.88万元</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=171.1万元</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提升教学环境质量</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基本达成目标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定性</w:t>
            </w:r>
          </w:p>
        </w:tc>
      </w:tr>
      <w:tr>
        <w:trPr>
          <w:trHeight w:val="499" w:hRule="atLeast"/>
        </w:trPr>
        <w:tc>
          <w:tcPr>
            <w:tcW w:type="dxa" w:w="519"/>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总分</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97.02</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614"/>
        <w:gridCol w:w="614"/>
        <w:gridCol w:w="597"/>
        <w:gridCol w:w="430"/>
        <w:gridCol w:w="451"/>
        <w:gridCol w:w="225"/>
        <w:gridCol w:w="821"/>
        <w:gridCol w:w="614"/>
        <w:gridCol w:w="559"/>
        <w:gridCol w:w="284"/>
        <w:gridCol w:w="520"/>
        <w:gridCol w:w="412"/>
        <w:gridCol w:w="464"/>
        <w:gridCol w:w="614"/>
        <w:gridCol w:w="473"/>
        <w:gridCol w:w="614"/>
      </w:tblGrid>
      <w:tr>
        <w:trPr>
          <w:trHeight w:val="420" w:hRule="atLeast"/>
        </w:trPr>
        <w:tc>
          <w:tcPr>
            <w:tcW w:type="dxa" w:w="519"/>
            <w:gridSpan w:val="1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400" w:hRule="atLeast"/>
        </w:trPr>
        <w:tc>
          <w:tcPr>
            <w:tcW w:type="dxa" w:w="519"/>
            <w:gridSpan w:val="1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499" w:hRule="atLeast"/>
        </w:trPr>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项目名称</w:t>
            </w:r>
          </w:p>
        </w:tc>
        <w:tc>
          <w:tcPr>
            <w:tcW w:type="dxa" w:w="519"/>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债务还本付息</w:t>
            </w:r>
          </w:p>
        </w:tc>
      </w:tr>
      <w:tr>
        <w:trPr>
          <w:trHeight w:val="499" w:hRule="atLeast"/>
        </w:trPr>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主管部门</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乌鲁木齐职业大学</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实施单位</w:t>
            </w:r>
          </w:p>
        </w:tc>
        <w:tc>
          <w:tcPr>
            <w:tcW w:type="dxa" w:w="519"/>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乌鲁木齐职业大学</w:t>
            </w:r>
          </w:p>
        </w:tc>
      </w:tr>
      <w:tr>
        <w:trPr>
          <w:trHeight w:val="499" w:hRule="atLeast"/>
        </w:trPr>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项目资金
（万元）</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分值</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执行率</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得分</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年度资金总额</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951.51</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951.51</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763.69</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80.26%</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8.03分</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其中：当年财政拨款</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951.51</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951.51</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763.69</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499" w:hRule="atLeast"/>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519"/>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519"/>
            <w:gridSpan w:val="8"/>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实际完成情况</w:t>
            </w:r>
          </w:p>
        </w:tc>
      </w:tr>
      <w:tr>
        <w:trPr>
          <w:trHeight w:val="2430" w:hRule="atLeast"/>
        </w:trPr>
        <w:tc>
          <w:tcPr>
            <w:tcW w:type="dxa" w:w="519"/>
            <w:vMerge/>
            <w:tcBorders>
              <w:start w:sz="10" w:val="single"/>
              <w:top w:sz="10" w:val="single"/>
              <w:end w:sz="10" w:val="single"/>
              <w:bottom w:sz="10" w:val="single"/>
              <w:insideV w:sz="10" w:val="single"/>
            </w:tcBorders>
          </w:tcPr>
          <w:p/>
        </w:tc>
        <w:tc>
          <w:tcPr>
            <w:tcW w:type="dxa" w:w="519"/>
            <w:gridSpan w:val="7"/>
            <w:tcBorders>
              <w:start w:sz="10" w:val="single"/>
              <w:top w:sz="10" w:val="single"/>
              <w:end w:sz="10" w:val="single"/>
              <w:bottom w:sz="10" w:val="single"/>
              <w:insideV w:sz="10" w:val="single"/>
            </w:tcBorders>
            <w:vAlign w:val="top"/>
          </w:tcPr>
          <w:p>
            <w:pPr>
              <w:spacing w:before="0" w:after="0" w:line="240" w:lineRule="auto"/>
              <w:jc w:val="center"/>
            </w:pPr>
            <w:r>
              <w:rPr>
                <w:rFonts w:ascii="宋体" w:hAnsi="宋体" w:eastAsia="宋体" w:cs="宋体"/>
                <w:b w:val="0"/>
                <w:i w:val="0"/>
                <w:sz w:val="18"/>
              </w:rPr>
              <w:t>2025年根据国外贷款协议及国内贷款协议要求，于6月、12月按时足额还本付息。国内还本付息金额151.51万元，国外还本付息金额800万元。</w:t>
            </w:r>
          </w:p>
        </w:tc>
        <w:tc>
          <w:tcPr>
            <w:tcW w:type="dxa" w:w="519"/>
            <w:gridSpan w:val="8"/>
            <w:tcBorders>
              <w:start w:sz="10" w:val="single"/>
              <w:top w:sz="10" w:val="single"/>
              <w:end w:sz="10" w:val="single"/>
              <w:bottom w:sz="10" w:val="single"/>
              <w:insideV w:sz="10" w:val="single"/>
            </w:tcBorders>
            <w:vAlign w:val="top"/>
          </w:tcPr>
          <w:p>
            <w:pPr>
              <w:spacing w:before="0" w:after="0" w:line="240" w:lineRule="auto"/>
              <w:jc w:val="center"/>
            </w:pPr>
            <w:r>
              <w:rPr>
                <w:rFonts w:ascii="宋体" w:hAnsi="宋体" w:eastAsia="宋体" w:cs="宋体"/>
                <w:b w:val="0"/>
                <w:i w:val="0"/>
                <w:sz w:val="18"/>
              </w:rPr>
              <w:t>截至2025年底，该项目实际完成国外债务还本付息2次612.18万元，国内债务付息付费2次151.51万元。通过足额偿还债务达到合理合规使用贷款资金用来改善办学条件的目标。</w:t>
            </w:r>
          </w:p>
        </w:tc>
      </w:tr>
      <w:tr>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519"/>
            <w:gridSpan w:val="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年度指标值</w:t>
            </w:r>
          </w:p>
        </w:tc>
        <w:tc>
          <w:tcPr>
            <w:tcW w:type="dxa" w:w="519"/>
            <w:gridSpan w:val="2"/>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分值</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得分</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实际完成值</w:t>
            </w:r>
          </w:p>
        </w:tc>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偏差原因分析及改进措施</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完成率</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指标性质</w:t>
            </w:r>
          </w:p>
        </w:tc>
      </w:tr>
      <w:tr>
        <w:trPr>
          <w:trHeight w:val="345"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gridSpan w:val="3"/>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r>
      <w:tr>
        <w:trPr>
          <w:trHeight w:val="580" w:hRule="atLeast"/>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年度绩效指标完成情况</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国外贷款还本付息次数</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=4次</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根据2025年美元汇率变动情况，教育厅下达两次还款文件，不存在以前年度存在的因汇率变动存在补差情况。</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国内债务还本付息次数</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足额偿还贷款本息完成率（%）</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按期偿还贷款本息及时率（%）</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该项目预算充足，能够在要求的还款期限内及时还款。</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国内债务偿还金额</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=151.51万元</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=151.51万元</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国外债务偿还金额</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&lt;=800万元</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=612.18万元</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国外债务偿还金额需按照汇率变动，2025年按照美元实际汇率支付人民币612.18万元。</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贷款资金改善办学条件</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有效改善</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基本达成目标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定性</w:t>
            </w:r>
          </w:p>
        </w:tc>
      </w:tr>
      <w:tr>
        <w:trPr>
          <w:trHeight w:val="499" w:hRule="atLeast"/>
        </w:trPr>
        <w:tc>
          <w:tcPr>
            <w:tcW w:type="dxa" w:w="519"/>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总分</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93.03</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614"/>
        <w:gridCol w:w="614"/>
        <w:gridCol w:w="597"/>
        <w:gridCol w:w="430"/>
        <w:gridCol w:w="451"/>
        <w:gridCol w:w="225"/>
        <w:gridCol w:w="821"/>
        <w:gridCol w:w="614"/>
        <w:gridCol w:w="559"/>
        <w:gridCol w:w="284"/>
        <w:gridCol w:w="520"/>
        <w:gridCol w:w="412"/>
        <w:gridCol w:w="464"/>
        <w:gridCol w:w="614"/>
        <w:gridCol w:w="473"/>
        <w:gridCol w:w="614"/>
      </w:tblGrid>
      <w:tr>
        <w:trPr>
          <w:trHeight w:val="420" w:hRule="atLeast"/>
        </w:trPr>
        <w:tc>
          <w:tcPr>
            <w:tcW w:type="dxa" w:w="519"/>
            <w:gridSpan w:val="1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400" w:hRule="atLeast"/>
        </w:trPr>
        <w:tc>
          <w:tcPr>
            <w:tcW w:type="dxa" w:w="519"/>
            <w:gridSpan w:val="1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499" w:hRule="atLeast"/>
        </w:trPr>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项目名称</w:t>
            </w:r>
          </w:p>
        </w:tc>
        <w:tc>
          <w:tcPr>
            <w:tcW w:type="dxa" w:w="519"/>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关于下达2025年乌鲁木齐职业大学教育经费资金预算的通知（收回的盘活资金）</w:t>
            </w:r>
          </w:p>
        </w:tc>
      </w:tr>
      <w:tr>
        <w:trPr>
          <w:trHeight w:val="499" w:hRule="atLeast"/>
        </w:trPr>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主管部门</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乌鲁木齐职业大学</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实施单位</w:t>
            </w:r>
          </w:p>
        </w:tc>
        <w:tc>
          <w:tcPr>
            <w:tcW w:type="dxa" w:w="519"/>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乌鲁木齐职业大学</w:t>
            </w:r>
          </w:p>
        </w:tc>
      </w:tr>
      <w:tr>
        <w:trPr>
          <w:trHeight w:val="499" w:hRule="atLeast"/>
        </w:trPr>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项目资金
（万元）</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分值</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执行率</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得分</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年度资金总额</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347.93</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451.81</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451.81</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10.00分</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其中：当年财政拨款</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347.93</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451.81</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451.81</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499" w:hRule="atLeast"/>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519"/>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519"/>
            <w:gridSpan w:val="8"/>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实际完成情况</w:t>
            </w:r>
          </w:p>
        </w:tc>
      </w:tr>
      <w:tr>
        <w:trPr>
          <w:trHeight w:val="2430" w:hRule="atLeast"/>
        </w:trPr>
        <w:tc>
          <w:tcPr>
            <w:tcW w:type="dxa" w:w="519"/>
            <w:vMerge/>
            <w:tcBorders>
              <w:start w:sz="10" w:val="single"/>
              <w:top w:sz="10" w:val="single"/>
              <w:end w:sz="10" w:val="single"/>
              <w:bottom w:sz="10" w:val="single"/>
              <w:insideV w:sz="10" w:val="single"/>
            </w:tcBorders>
          </w:tcPr>
          <w:p/>
        </w:tc>
        <w:tc>
          <w:tcPr>
            <w:tcW w:type="dxa" w:w="519"/>
            <w:gridSpan w:val="7"/>
            <w:tcBorders>
              <w:start w:sz="10" w:val="single"/>
              <w:top w:sz="10" w:val="single"/>
              <w:end w:sz="10" w:val="single"/>
              <w:bottom w:sz="10" w:val="single"/>
              <w:insideV w:sz="10" w:val="single"/>
            </w:tcBorders>
            <w:vAlign w:val="top"/>
          </w:tcPr>
          <w:p>
            <w:pPr>
              <w:spacing w:before="0" w:after="0" w:line="240" w:lineRule="auto"/>
              <w:jc w:val="center"/>
            </w:pPr>
            <w:r>
              <w:rPr>
                <w:rFonts w:ascii="宋体" w:hAnsi="宋体" w:eastAsia="宋体" w:cs="宋体"/>
                <w:b w:val="0"/>
                <w:i w:val="0"/>
                <w:sz w:val="18"/>
              </w:rPr>
              <w:t>完成物流管理、计算机信息、旅游三个专业的国家级高技能人才培训基地建设，完成其他返还资金的支出工作。</w:t>
            </w:r>
          </w:p>
        </w:tc>
        <w:tc>
          <w:tcPr>
            <w:tcW w:type="dxa" w:w="519"/>
            <w:gridSpan w:val="8"/>
            <w:tcBorders>
              <w:start w:sz="10" w:val="single"/>
              <w:top w:sz="10" w:val="single"/>
              <w:end w:sz="10" w:val="single"/>
              <w:bottom w:sz="10" w:val="single"/>
              <w:insideV w:sz="10" w:val="single"/>
            </w:tcBorders>
            <w:vAlign w:val="top"/>
          </w:tcPr>
          <w:p>
            <w:pPr>
              <w:spacing w:before="0" w:after="0" w:line="240" w:lineRule="auto"/>
              <w:jc w:val="center"/>
            </w:pPr>
            <w:r>
              <w:rPr>
                <w:rFonts w:ascii="宋体" w:hAnsi="宋体" w:eastAsia="宋体" w:cs="宋体"/>
                <w:b w:val="0"/>
                <w:i w:val="0"/>
                <w:sz w:val="18"/>
              </w:rPr>
              <w:t>截至2025年底，该项目实际新增教学设备数量6台，设备验收通过率100%，设备验收及时率100%，项目实际支出451.81万元，显著提升学校高技能人才基地培训能力。</w:t>
            </w:r>
          </w:p>
        </w:tc>
      </w:tr>
      <w:tr>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519"/>
            <w:gridSpan w:val="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年度指标值</w:t>
            </w:r>
          </w:p>
        </w:tc>
        <w:tc>
          <w:tcPr>
            <w:tcW w:type="dxa" w:w="519"/>
            <w:gridSpan w:val="2"/>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分值</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得分</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实际完成值</w:t>
            </w:r>
          </w:p>
        </w:tc>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偏差原因分析及改进措施</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完成率</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指标性质</w:t>
            </w:r>
          </w:p>
        </w:tc>
      </w:tr>
      <w:tr>
        <w:trPr>
          <w:trHeight w:val="345"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gridSpan w:val="3"/>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r>
      <w:tr>
        <w:trPr>
          <w:trHeight w:val="580" w:hRule="atLeast"/>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年度绩效指标完成情况</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新增教学设备数量</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&gt;=10台</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=6台</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预计新增教学设备数量10台，实际采购6台。</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设备验收通过率</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验收通过率为100%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设备验收及时率</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设备及时验收。</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高技能资金投入成本</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&lt;=336.97万元</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6.5</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=217.84万元</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按照实际合同情况支付</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65</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招生就业指导服务补助资金</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&lt;=12.47万元</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=11.85万元</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按照实际合同约定支付</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其他收回资金</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&lt;=102.37万元</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=222.12万元</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按照实际合同约定支付</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提升学校高技能人才基地培训能力</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显著提高</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基本达成目标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定性</w:t>
            </w:r>
          </w:p>
        </w:tc>
      </w:tr>
      <w:tr>
        <w:trPr>
          <w:trHeight w:val="499" w:hRule="atLeast"/>
        </w:trPr>
        <w:tc>
          <w:tcPr>
            <w:tcW w:type="dxa" w:w="519"/>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总分</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87.50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614"/>
        <w:gridCol w:w="614"/>
        <w:gridCol w:w="597"/>
        <w:gridCol w:w="430"/>
        <w:gridCol w:w="451"/>
        <w:gridCol w:w="225"/>
        <w:gridCol w:w="821"/>
        <w:gridCol w:w="614"/>
        <w:gridCol w:w="559"/>
        <w:gridCol w:w="284"/>
        <w:gridCol w:w="520"/>
        <w:gridCol w:w="412"/>
        <w:gridCol w:w="464"/>
        <w:gridCol w:w="614"/>
        <w:gridCol w:w="473"/>
        <w:gridCol w:w="614"/>
      </w:tblGrid>
      <w:tr>
        <w:trPr>
          <w:trHeight w:val="420" w:hRule="atLeast"/>
        </w:trPr>
        <w:tc>
          <w:tcPr>
            <w:tcW w:type="dxa" w:w="519"/>
            <w:gridSpan w:val="1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400" w:hRule="atLeast"/>
        </w:trPr>
        <w:tc>
          <w:tcPr>
            <w:tcW w:type="dxa" w:w="519"/>
            <w:gridSpan w:val="1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499" w:hRule="atLeast"/>
        </w:trPr>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项目名称</w:t>
            </w:r>
          </w:p>
        </w:tc>
        <w:tc>
          <w:tcPr>
            <w:tcW w:type="dxa" w:w="519"/>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关于下达乌鲁木齐职业大学2024年秋季学期留学生奖学金经费的通知乌财科教[2024]168号</w:t>
            </w:r>
          </w:p>
        </w:tc>
      </w:tr>
      <w:tr>
        <w:trPr>
          <w:trHeight w:val="499" w:hRule="atLeast"/>
        </w:trPr>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主管部门</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乌鲁木齐职业大学</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实施单位</w:t>
            </w:r>
          </w:p>
        </w:tc>
        <w:tc>
          <w:tcPr>
            <w:tcW w:type="dxa" w:w="519"/>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乌鲁木齐职业大学</w:t>
            </w:r>
          </w:p>
        </w:tc>
      </w:tr>
      <w:tr>
        <w:trPr>
          <w:trHeight w:val="499" w:hRule="atLeast"/>
        </w:trPr>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项目资金
（万元）</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分值</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执行率</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得分</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年度资金总额</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74.47</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58.86</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58.86</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10.00分</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其中：当年财政拨款</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74.47</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58.86</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58.86</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499" w:hRule="atLeast"/>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519"/>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519"/>
            <w:gridSpan w:val="8"/>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实际完成情况</w:t>
            </w:r>
          </w:p>
        </w:tc>
      </w:tr>
      <w:tr>
        <w:trPr>
          <w:trHeight w:val="2430" w:hRule="atLeast"/>
        </w:trPr>
        <w:tc>
          <w:tcPr>
            <w:tcW w:type="dxa" w:w="519"/>
            <w:vMerge/>
            <w:tcBorders>
              <w:start w:sz="10" w:val="single"/>
              <w:top w:sz="10" w:val="single"/>
              <w:end w:sz="10" w:val="single"/>
              <w:bottom w:sz="10" w:val="single"/>
              <w:insideV w:sz="10" w:val="single"/>
            </w:tcBorders>
          </w:tcPr>
          <w:p/>
        </w:tc>
        <w:tc>
          <w:tcPr>
            <w:tcW w:type="dxa" w:w="519"/>
            <w:gridSpan w:val="7"/>
            <w:tcBorders>
              <w:start w:sz="10" w:val="single"/>
              <w:top w:sz="10" w:val="single"/>
              <w:end w:sz="10" w:val="single"/>
              <w:bottom w:sz="10" w:val="single"/>
              <w:insideV w:sz="10" w:val="single"/>
            </w:tcBorders>
            <w:vAlign w:val="top"/>
          </w:tcPr>
          <w:p>
            <w:pPr>
              <w:spacing w:before="0" w:after="0" w:line="240" w:lineRule="auto"/>
              <w:jc w:val="center"/>
            </w:pPr>
            <w:r>
              <w:rPr>
                <w:rFonts w:ascii="宋体" w:hAnsi="宋体" w:eastAsia="宋体" w:cs="宋体"/>
                <w:b w:val="0"/>
                <w:i w:val="0"/>
                <w:sz w:val="18"/>
              </w:rPr>
              <w:t>通过资助周边国家学生来华留学，按照教学计划完成留学生教学任务，组织留学生购买综合医疗保险，保障留学生生活补助以及学习期间举行丰富的活动，保障承担留学生教学任务的老师知识更新和教学资源使用，培养知华友华的国际学生。</w:t>
            </w:r>
          </w:p>
        </w:tc>
        <w:tc>
          <w:tcPr>
            <w:tcW w:type="dxa" w:w="519"/>
            <w:gridSpan w:val="8"/>
            <w:tcBorders>
              <w:start w:sz="10" w:val="single"/>
              <w:top w:sz="10" w:val="single"/>
              <w:end w:sz="10" w:val="single"/>
              <w:bottom w:sz="10" w:val="single"/>
              <w:insideV w:sz="10" w:val="single"/>
            </w:tcBorders>
            <w:vAlign w:val="top"/>
          </w:tcPr>
          <w:p>
            <w:pPr>
              <w:spacing w:before="0" w:after="0" w:line="240" w:lineRule="auto"/>
              <w:jc w:val="center"/>
            </w:pPr>
            <w:r>
              <w:rPr>
                <w:rFonts w:ascii="宋体" w:hAnsi="宋体" w:eastAsia="宋体" w:cs="宋体"/>
                <w:b w:val="0"/>
                <w:i w:val="0"/>
                <w:sz w:val="18"/>
              </w:rPr>
              <w:t>截至2025年年底，该项目实际来华人数43人，来华留学生综合医疗保险购买43人，补助发放准确率100%，助学金发放月份10月，留学生项目实际支出42.86万元，智能制造关键技术应用研究实际支出16万，通过项目提高留学生对中国的了解。</w:t>
            </w:r>
          </w:p>
        </w:tc>
      </w:tr>
      <w:tr>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519"/>
            <w:gridSpan w:val="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年度指标值</w:t>
            </w:r>
          </w:p>
        </w:tc>
        <w:tc>
          <w:tcPr>
            <w:tcW w:type="dxa" w:w="519"/>
            <w:gridSpan w:val="2"/>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分值</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得分</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实际完成值</w:t>
            </w:r>
          </w:p>
        </w:tc>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偏差原因分析及改进措施</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完成率</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指标性质</w:t>
            </w:r>
          </w:p>
        </w:tc>
      </w:tr>
      <w:tr>
        <w:trPr>
          <w:trHeight w:val="345"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gridSpan w:val="3"/>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r>
      <w:tr>
        <w:trPr>
          <w:trHeight w:val="580" w:hRule="atLeast"/>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年度绩效指标完成情况</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来华留学人数</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=43人</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=43人</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来华留学生综合医疗保险购买</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=43人</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=43人</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补助发放准确率</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助学金发放月份</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=10月</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=10月</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留学生经费</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=42.86万</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=42.86万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智能制造关键技术应用研究</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=16万</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提高留学生对中国的了解</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显著提高</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基本达成目标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定性</w:t>
            </w:r>
          </w:p>
        </w:tc>
      </w:tr>
      <w:tr>
        <w:trPr>
          <w:trHeight w:val="499" w:hRule="atLeast"/>
        </w:trPr>
        <w:tc>
          <w:tcPr>
            <w:tcW w:type="dxa" w:w="519"/>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总分</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614"/>
        <w:gridCol w:w="614"/>
        <w:gridCol w:w="597"/>
        <w:gridCol w:w="430"/>
        <w:gridCol w:w="451"/>
        <w:gridCol w:w="225"/>
        <w:gridCol w:w="821"/>
        <w:gridCol w:w="614"/>
        <w:gridCol w:w="558"/>
        <w:gridCol w:w="284"/>
        <w:gridCol w:w="520"/>
        <w:gridCol w:w="412"/>
        <w:gridCol w:w="464"/>
        <w:gridCol w:w="614"/>
        <w:gridCol w:w="473"/>
        <w:gridCol w:w="614"/>
      </w:tblGrid>
      <w:tr>
        <w:trPr>
          <w:trHeight w:val="405" w:hRule="atLeast"/>
        </w:trPr>
        <w:tc>
          <w:tcPr>
            <w:tcW w:type="dxa" w:w="519"/>
            <w:gridSpan w:val="1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400" w:hRule="atLeast"/>
        </w:trPr>
        <w:tc>
          <w:tcPr>
            <w:tcW w:type="dxa" w:w="519"/>
            <w:gridSpan w:val="1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499" w:hRule="atLeast"/>
        </w:trPr>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项目名称</w:t>
            </w:r>
          </w:p>
        </w:tc>
        <w:tc>
          <w:tcPr>
            <w:tcW w:type="dxa" w:w="519"/>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创新创业大赛项目经费</w:t>
            </w:r>
          </w:p>
        </w:tc>
      </w:tr>
      <w:tr>
        <w:trPr>
          <w:trHeight w:val="499" w:hRule="atLeast"/>
        </w:trPr>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主管部门</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乌鲁木齐职业大学</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实施单位</w:t>
            </w:r>
          </w:p>
        </w:tc>
        <w:tc>
          <w:tcPr>
            <w:tcW w:type="dxa" w:w="519"/>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乌鲁木齐职业大学</w:t>
            </w:r>
          </w:p>
        </w:tc>
      </w:tr>
      <w:tr>
        <w:trPr>
          <w:trHeight w:val="499" w:hRule="atLeast"/>
        </w:trPr>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项目资金
（万元）</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分值</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执行率</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得分</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年度资金总额</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9.65</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96.50%</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9.65分</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其中：当年财政拨款</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9.65</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499" w:hRule="atLeast"/>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519"/>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519"/>
            <w:gridSpan w:val="8"/>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实际完成情况</w:t>
            </w:r>
          </w:p>
        </w:tc>
      </w:tr>
      <w:tr>
        <w:trPr>
          <w:trHeight w:val="2430" w:hRule="atLeast"/>
        </w:trPr>
        <w:tc>
          <w:tcPr>
            <w:tcW w:type="dxa" w:w="519"/>
            <w:vMerge/>
            <w:tcBorders>
              <w:start w:sz="10" w:val="single"/>
              <w:top w:sz="10" w:val="single"/>
              <w:end w:sz="10" w:val="single"/>
              <w:bottom w:sz="10" w:val="single"/>
              <w:insideV w:sz="10" w:val="single"/>
            </w:tcBorders>
          </w:tcPr>
          <w:p/>
        </w:tc>
        <w:tc>
          <w:tcPr>
            <w:tcW w:type="dxa" w:w="519"/>
            <w:gridSpan w:val="7"/>
            <w:tcBorders>
              <w:start w:sz="10" w:val="single"/>
              <w:top w:sz="10" w:val="single"/>
              <w:end w:sz="10" w:val="single"/>
              <w:bottom w:sz="10" w:val="single"/>
              <w:insideV w:sz="10" w:val="single"/>
            </w:tcBorders>
            <w:vAlign w:val="top"/>
          </w:tcPr>
          <w:p>
            <w:pPr>
              <w:spacing w:before="0" w:after="0" w:line="240" w:lineRule="auto"/>
              <w:jc w:val="center"/>
            </w:pPr>
            <w:r>
              <w:rPr>
                <w:rFonts w:ascii="宋体" w:hAnsi="宋体" w:eastAsia="宋体" w:cs="宋体"/>
                <w:b w:val="0"/>
                <w:i w:val="0"/>
                <w:sz w:val="18"/>
              </w:rPr>
              <w:t>通过完成乌鲁木齐市第十一届“搏梦杯”职业院校学生创新创业大赛项目，展示职业院校创新创业教育成果。</w:t>
            </w:r>
          </w:p>
        </w:tc>
        <w:tc>
          <w:tcPr>
            <w:tcW w:type="dxa" w:w="519"/>
            <w:gridSpan w:val="8"/>
            <w:tcBorders>
              <w:start w:sz="10" w:val="single"/>
              <w:top w:sz="10" w:val="single"/>
              <w:end w:sz="10" w:val="single"/>
              <w:bottom w:sz="10" w:val="single"/>
              <w:insideV w:sz="10" w:val="single"/>
            </w:tcBorders>
            <w:vAlign w:val="top"/>
          </w:tcPr>
          <w:p>
            <w:pPr>
              <w:spacing w:before="0" w:after="0" w:line="240" w:lineRule="auto"/>
              <w:jc w:val="center"/>
            </w:pPr>
            <w:r>
              <w:rPr>
                <w:rFonts w:ascii="宋体" w:hAnsi="宋体" w:eastAsia="宋体" w:cs="宋体"/>
                <w:b w:val="0"/>
                <w:i w:val="0"/>
                <w:sz w:val="18"/>
              </w:rPr>
              <w:t>截至2025年底，我校与项目服务公司乌鲁木齐博得梦大学生创业基地管理有限公司举办乌鲁木齐市第十一届“搏梦杯”职业院校学生创新创业大赛项目，创新创业项目服务公司数量1个，我校参加比赛获奖17项，项目总支出96500元，圆满展示各职业院校创新创业教育成果。</w:t>
            </w:r>
          </w:p>
        </w:tc>
      </w:tr>
      <w:tr>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519"/>
            <w:gridSpan w:val="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年度指标值</w:t>
            </w:r>
          </w:p>
        </w:tc>
        <w:tc>
          <w:tcPr>
            <w:tcW w:type="dxa" w:w="519"/>
            <w:gridSpan w:val="2"/>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分值</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得分</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实际完成值</w:t>
            </w:r>
          </w:p>
        </w:tc>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偏差原因分析及改进措施</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完成率</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指标性质</w:t>
            </w:r>
          </w:p>
        </w:tc>
      </w:tr>
      <w:tr>
        <w:trPr>
          <w:trHeight w:val="345"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gridSpan w:val="3"/>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r>
      <w:tr>
        <w:trPr>
          <w:trHeight w:val="580" w:hRule="atLeast"/>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年度绩效指标完成情况</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获奖项目数量</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&gt;=6个</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=17个</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创新创业项目服务公司数量</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项目资金使用合格率</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项目资金使用及时性</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创新创业大赛项目成本</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&lt;=10万元</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=9.65万元</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提升学生创新创业能力</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基本达成目标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定性</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促进人才和行业发展相融合</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有效促进</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基本达成目标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定性</w:t>
            </w:r>
          </w:p>
        </w:tc>
      </w:tr>
      <w:tr>
        <w:trPr>
          <w:trHeight w:val="499" w:hRule="atLeast"/>
        </w:trPr>
        <w:tc>
          <w:tcPr>
            <w:tcW w:type="dxa" w:w="519"/>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总分</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99.65</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614"/>
        <w:gridCol w:w="614"/>
        <w:gridCol w:w="597"/>
        <w:gridCol w:w="430"/>
        <w:gridCol w:w="451"/>
        <w:gridCol w:w="225"/>
        <w:gridCol w:w="821"/>
        <w:gridCol w:w="614"/>
        <w:gridCol w:w="559"/>
        <w:gridCol w:w="284"/>
        <w:gridCol w:w="520"/>
        <w:gridCol w:w="412"/>
        <w:gridCol w:w="464"/>
        <w:gridCol w:w="614"/>
        <w:gridCol w:w="473"/>
        <w:gridCol w:w="614"/>
      </w:tblGrid>
      <w:tr>
        <w:trPr>
          <w:trHeight w:val="420" w:hRule="atLeast"/>
        </w:trPr>
        <w:tc>
          <w:tcPr>
            <w:tcW w:type="dxa" w:w="519"/>
            <w:gridSpan w:val="1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400" w:hRule="atLeast"/>
        </w:trPr>
        <w:tc>
          <w:tcPr>
            <w:tcW w:type="dxa" w:w="519"/>
            <w:gridSpan w:val="1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499" w:hRule="atLeast"/>
        </w:trPr>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项目名称</w:t>
            </w:r>
          </w:p>
        </w:tc>
        <w:tc>
          <w:tcPr>
            <w:tcW w:type="dxa" w:w="519"/>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后勤服务保障类、图书购置项目</w:t>
            </w:r>
          </w:p>
        </w:tc>
      </w:tr>
      <w:tr>
        <w:trPr>
          <w:trHeight w:val="499" w:hRule="atLeast"/>
        </w:trPr>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主管部门</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乌鲁木齐职业大学</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实施单位</w:t>
            </w:r>
          </w:p>
        </w:tc>
        <w:tc>
          <w:tcPr>
            <w:tcW w:type="dxa" w:w="519"/>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乌鲁木齐职业大学</w:t>
            </w:r>
          </w:p>
        </w:tc>
      </w:tr>
      <w:tr>
        <w:trPr>
          <w:trHeight w:val="499" w:hRule="atLeast"/>
        </w:trPr>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项目资金
（万元）</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分值</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执行率</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得分</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年度资金总额</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2,630.40</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2,630.40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2,499.25</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95.01%</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9.50分</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其中：当年财政拨款</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2,630.40</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2,630.40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2,499.25</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499" w:hRule="atLeast"/>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519"/>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519"/>
            <w:gridSpan w:val="8"/>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实际完成情况</w:t>
            </w:r>
          </w:p>
        </w:tc>
      </w:tr>
      <w:tr>
        <w:trPr>
          <w:trHeight w:val="2430" w:hRule="atLeast"/>
        </w:trPr>
        <w:tc>
          <w:tcPr>
            <w:tcW w:type="dxa" w:w="519"/>
            <w:vMerge/>
            <w:tcBorders>
              <w:start w:sz="10" w:val="single"/>
              <w:top w:sz="10" w:val="single"/>
              <w:end w:sz="10" w:val="single"/>
              <w:bottom w:sz="10" w:val="single"/>
              <w:insideV w:sz="10" w:val="single"/>
            </w:tcBorders>
          </w:tcPr>
          <w:p/>
        </w:tc>
        <w:tc>
          <w:tcPr>
            <w:tcW w:type="dxa" w:w="519"/>
            <w:gridSpan w:val="7"/>
            <w:tcBorders>
              <w:start w:sz="10" w:val="single"/>
              <w:top w:sz="10" w:val="single"/>
              <w:end w:sz="10" w:val="single"/>
              <w:bottom w:sz="10" w:val="single"/>
              <w:insideV w:sz="10" w:val="single"/>
            </w:tcBorders>
            <w:vAlign w:val="top"/>
          </w:tcPr>
          <w:p>
            <w:pPr>
              <w:spacing w:before="0" w:after="0" w:line="240" w:lineRule="auto"/>
              <w:jc w:val="center"/>
            </w:pPr>
            <w:r>
              <w:rPr>
                <w:rFonts w:ascii="宋体" w:hAnsi="宋体" w:eastAsia="宋体" w:cs="宋体"/>
                <w:b w:val="0"/>
                <w:i w:val="0"/>
                <w:sz w:val="18"/>
              </w:rPr>
              <w:t>2025年后勤保障经费共计2630.4万元包括：
1、各校区老旧教学楼、宿舍楼以及学生、教师反映突出问题进行维修维护，通过大型维修完善公共区域设施及解决师生反映的突出问题，以及对全校师生提供并购买专用设备用来改善办学条件780.4万元
2、引入专业化的社会资源对全校师生使用的专业设备进行定期的保养及维修工作，延长专业化设备的使用寿命，为保证学校正常的教育教学活动，对全校师生提供校园保障1800万元。
3、图书购置项目的内容包含购置纸质图书、纸质期刊和数字资源等内容50万元。
通过以上经费投入，有效进一步改善乌鲁木齐职业大学办学条件。</w:t>
            </w:r>
          </w:p>
        </w:tc>
        <w:tc>
          <w:tcPr>
            <w:tcW w:type="dxa" w:w="519"/>
            <w:gridSpan w:val="8"/>
            <w:tcBorders>
              <w:start w:sz="10" w:val="single"/>
              <w:top w:sz="10" w:val="single"/>
              <w:end w:sz="10" w:val="single"/>
              <w:bottom w:sz="10" w:val="single"/>
              <w:insideV w:sz="10" w:val="single"/>
            </w:tcBorders>
            <w:vAlign w:val="top"/>
          </w:tcPr>
          <w:p>
            <w:pPr>
              <w:spacing w:before="0" w:after="0" w:line="240" w:lineRule="auto"/>
              <w:jc w:val="center"/>
            </w:pPr>
            <w:r>
              <w:rPr>
                <w:rFonts w:ascii="宋体" w:hAnsi="宋体" w:eastAsia="宋体" w:cs="宋体"/>
                <w:b w:val="0"/>
                <w:i w:val="0"/>
                <w:sz w:val="18"/>
              </w:rPr>
              <w:t>截至2025年底，该项目实际完成保安维护校区数量4个，安排保安岗位数量59岗，纸质图书购置数量10897册。维修工程验收合格率达到100%，图书购置正版率达到100%，项目实际支出2499.25万元，通过项目的实施，有效提高了我校的办学条件。</w:t>
            </w:r>
          </w:p>
        </w:tc>
      </w:tr>
      <w:tr>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519"/>
            <w:gridSpan w:val="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年度指标值</w:t>
            </w:r>
          </w:p>
        </w:tc>
        <w:tc>
          <w:tcPr>
            <w:tcW w:type="dxa" w:w="519"/>
            <w:gridSpan w:val="2"/>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分值</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得分</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实际完成值</w:t>
            </w:r>
          </w:p>
        </w:tc>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偏差原因分析及改进措施</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完成率</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指标性质</w:t>
            </w:r>
          </w:p>
        </w:tc>
      </w:tr>
      <w:tr>
        <w:trPr>
          <w:trHeight w:val="345"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gridSpan w:val="3"/>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r>
      <w:tr>
        <w:trPr>
          <w:trHeight w:val="580" w:hRule="atLeast"/>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年度绩效指标完成情况</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维护校区数量</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=4个</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=4个</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保安岗位数量</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&gt;=65岗</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9.08</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=59岗</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根据合同签订具体岗位安排</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90.77</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图书购置数量</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&gt;=10000册</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=10897册</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根据图书验收单数量据实填写</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维修工程验收合格率</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购置图书正版率（%）</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保障学校后勤保障经费</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&lt;=2630.4万元</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=2449.25万元</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根据该项目执行金额据实填写</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改善办学条件</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有效改善</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基本达成目标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定性</w:t>
            </w:r>
          </w:p>
        </w:tc>
      </w:tr>
      <w:tr>
        <w:trPr>
          <w:trHeight w:val="499" w:hRule="atLeast"/>
        </w:trPr>
        <w:tc>
          <w:tcPr>
            <w:tcW w:type="dxa" w:w="519"/>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总分</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98.58</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614"/>
        <w:gridCol w:w="614"/>
        <w:gridCol w:w="597"/>
        <w:gridCol w:w="430"/>
        <w:gridCol w:w="451"/>
        <w:gridCol w:w="225"/>
        <w:gridCol w:w="821"/>
        <w:gridCol w:w="614"/>
        <w:gridCol w:w="559"/>
        <w:gridCol w:w="284"/>
        <w:gridCol w:w="520"/>
        <w:gridCol w:w="412"/>
        <w:gridCol w:w="464"/>
        <w:gridCol w:w="614"/>
        <w:gridCol w:w="473"/>
        <w:gridCol w:w="614"/>
      </w:tblGrid>
      <w:tr>
        <w:trPr>
          <w:trHeight w:val="420" w:hRule="atLeast"/>
        </w:trPr>
        <w:tc>
          <w:tcPr>
            <w:tcW w:type="dxa" w:w="519"/>
            <w:gridSpan w:val="1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400" w:hRule="atLeast"/>
        </w:trPr>
        <w:tc>
          <w:tcPr>
            <w:tcW w:type="dxa" w:w="519"/>
            <w:gridSpan w:val="1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499" w:hRule="atLeast"/>
        </w:trPr>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项目名称</w:t>
            </w:r>
          </w:p>
        </w:tc>
        <w:tc>
          <w:tcPr>
            <w:tcW w:type="dxa" w:w="519"/>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文光校区维修、祥云校区屋面防水、校本部8号学生宿舍楼维修（乌财科教【2024】77号、乌财建【2024】175号）</w:t>
            </w:r>
          </w:p>
        </w:tc>
      </w:tr>
      <w:tr>
        <w:trPr>
          <w:trHeight w:val="499" w:hRule="atLeast"/>
        </w:trPr>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主管部门</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乌鲁木齐职业大学</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实施单位</w:t>
            </w:r>
          </w:p>
        </w:tc>
        <w:tc>
          <w:tcPr>
            <w:tcW w:type="dxa" w:w="519"/>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乌鲁木齐职业大学</w:t>
            </w:r>
          </w:p>
        </w:tc>
      </w:tr>
      <w:tr>
        <w:trPr>
          <w:trHeight w:val="499" w:hRule="atLeast"/>
        </w:trPr>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项目资金
（万元）</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分值</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执行率</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得分</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年度资金总额</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424.52</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424.52</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371.78</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87.58%</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8.76分</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其中：当年财政拨款</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424.52</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424.52</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371.78</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499" w:hRule="atLeast"/>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519"/>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519"/>
            <w:gridSpan w:val="8"/>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实际完成情况</w:t>
            </w:r>
          </w:p>
        </w:tc>
      </w:tr>
      <w:tr>
        <w:trPr>
          <w:trHeight w:val="2430" w:hRule="atLeast"/>
        </w:trPr>
        <w:tc>
          <w:tcPr>
            <w:tcW w:type="dxa" w:w="519"/>
            <w:vMerge/>
            <w:tcBorders>
              <w:start w:sz="10" w:val="single"/>
              <w:top w:sz="10" w:val="single"/>
              <w:end w:sz="10" w:val="single"/>
              <w:bottom w:sz="10" w:val="single"/>
              <w:insideV w:sz="10" w:val="single"/>
            </w:tcBorders>
          </w:tcPr>
          <w:p/>
        </w:tc>
        <w:tc>
          <w:tcPr>
            <w:tcW w:type="dxa" w:w="519"/>
            <w:gridSpan w:val="7"/>
            <w:tcBorders>
              <w:start w:sz="10" w:val="single"/>
              <w:top w:sz="10" w:val="single"/>
              <w:end w:sz="10" w:val="single"/>
              <w:bottom w:sz="10" w:val="single"/>
              <w:insideV w:sz="10" w:val="single"/>
            </w:tcBorders>
            <w:vAlign w:val="top"/>
          </w:tcPr>
          <w:p>
            <w:pPr>
              <w:spacing w:before="0" w:after="0" w:line="240" w:lineRule="auto"/>
              <w:jc w:val="center"/>
            </w:pPr>
            <w:r>
              <w:rPr>
                <w:rFonts w:ascii="宋体" w:hAnsi="宋体" w:eastAsia="宋体" w:cs="宋体"/>
                <w:b w:val="0"/>
                <w:i w:val="0"/>
                <w:sz w:val="18"/>
              </w:rPr>
              <w:t>2025年完成文光校区建筑装饰维修工作、完成文光校区给排水工程维修工作，完成祥云校区屋面防水和校本部8号学生宿舍楼维修工作。以上维修能够有效改善我校办学硬件条件</w:t>
            </w:r>
          </w:p>
        </w:tc>
        <w:tc>
          <w:tcPr>
            <w:tcW w:type="dxa" w:w="519"/>
            <w:gridSpan w:val="8"/>
            <w:tcBorders>
              <w:start w:sz="10" w:val="single"/>
              <w:top w:sz="10" w:val="single"/>
              <w:end w:sz="10" w:val="single"/>
              <w:bottom w:sz="10" w:val="single"/>
              <w:insideV w:sz="10" w:val="single"/>
            </w:tcBorders>
            <w:vAlign w:val="top"/>
          </w:tcPr>
          <w:p>
            <w:pPr>
              <w:spacing w:before="0" w:after="0" w:line="240" w:lineRule="auto"/>
              <w:jc w:val="center"/>
            </w:pPr>
            <w:r>
              <w:rPr>
                <w:rFonts w:ascii="宋体" w:hAnsi="宋体" w:eastAsia="宋体" w:cs="宋体"/>
                <w:b w:val="0"/>
                <w:i w:val="0"/>
                <w:sz w:val="18"/>
              </w:rPr>
              <w:t>截至2025年底，该项目实际完成文光校区修缮楼宇6项，校本部8号宿舍楼栏杆拆除数量15个，祥云校区防水层拆除面积5244.86平方米，项目实际支出371.78万元，维修工程全部验收合格。通过项目实施达到有效改善办学硬件条件的效益。</w:t>
            </w:r>
          </w:p>
        </w:tc>
      </w:tr>
      <w:tr>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519"/>
            <w:gridSpan w:val="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年度指标值</w:t>
            </w:r>
          </w:p>
        </w:tc>
        <w:tc>
          <w:tcPr>
            <w:tcW w:type="dxa" w:w="519"/>
            <w:gridSpan w:val="2"/>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分值</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得分</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实际完成值</w:t>
            </w:r>
          </w:p>
        </w:tc>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偏差原因分析及改进措施</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完成率</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指标性质</w:t>
            </w:r>
          </w:p>
        </w:tc>
      </w:tr>
      <w:tr>
        <w:trPr>
          <w:trHeight w:val="345"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gridSpan w:val="3"/>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r>
      <w:tr>
        <w:trPr>
          <w:trHeight w:val="580" w:hRule="atLeast"/>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年度绩效指标完成情况</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文光校区修缮楼宇数量</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&gt;=6项</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=6项</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校本部8号宿舍楼栏杆拆除数量拆除阳台数量</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&gt;=15个</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=15个</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祥云校区防水层拆除面积</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&gt;=5244.86平方木</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=5244.86平方米</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维修工程验收合格率（%）</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文光校区建筑工程维修成本</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&lt;=361.55万元</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=324.67万元</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因该项目存在项目设计变更情况，无法按照年初立项评审区分出建工工程维修和给排水维修工程量，故将该项目所有维修成本算入建工工程维修成本。</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文光校区给排水工程维修成本</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&lt;=15.86万元</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=0万元</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因该项目存在项目设计变更情况，无法按照年初立项评审区分出建工工程维修和给排水维修工程量，故将该项目所有维修成本算入建工工程维修成本。</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祥云校区屋面防水、校本部8号宿舍楼维修工程</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&lt;=47.11万元</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=47.11万元</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改善办学条件</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有效改善</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基本达成目标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定性</w:t>
            </w:r>
          </w:p>
        </w:tc>
      </w:tr>
      <w:tr>
        <w:trPr>
          <w:trHeight w:val="499" w:hRule="atLeast"/>
        </w:trPr>
        <w:tc>
          <w:tcPr>
            <w:tcW w:type="dxa" w:w="519"/>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总分</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98.76</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614"/>
        <w:gridCol w:w="614"/>
        <w:gridCol w:w="597"/>
        <w:gridCol w:w="430"/>
        <w:gridCol w:w="451"/>
        <w:gridCol w:w="225"/>
        <w:gridCol w:w="821"/>
        <w:gridCol w:w="614"/>
        <w:gridCol w:w="559"/>
        <w:gridCol w:w="284"/>
        <w:gridCol w:w="520"/>
        <w:gridCol w:w="412"/>
        <w:gridCol w:w="464"/>
        <w:gridCol w:w="614"/>
        <w:gridCol w:w="473"/>
        <w:gridCol w:w="614"/>
      </w:tblGrid>
      <w:tr>
        <w:trPr>
          <w:trHeight w:val="420" w:hRule="atLeast"/>
        </w:trPr>
        <w:tc>
          <w:tcPr>
            <w:tcW w:type="dxa" w:w="519"/>
            <w:gridSpan w:val="1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400" w:hRule="atLeast"/>
        </w:trPr>
        <w:tc>
          <w:tcPr>
            <w:tcW w:type="dxa" w:w="519"/>
            <w:gridSpan w:val="1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499" w:hRule="atLeast"/>
        </w:trPr>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项目名称</w:t>
            </w:r>
          </w:p>
        </w:tc>
        <w:tc>
          <w:tcPr>
            <w:tcW w:type="dxa" w:w="519"/>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新校区二期（祥云校区5、6号宿舍楼工程款等费用）</w:t>
            </w:r>
          </w:p>
        </w:tc>
      </w:tr>
      <w:tr>
        <w:trPr>
          <w:trHeight w:val="499" w:hRule="atLeast"/>
        </w:trPr>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主管部门</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乌鲁木齐职业大学</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实施单位</w:t>
            </w:r>
          </w:p>
        </w:tc>
        <w:tc>
          <w:tcPr>
            <w:tcW w:type="dxa" w:w="519"/>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乌鲁木齐职业大学</w:t>
            </w:r>
          </w:p>
        </w:tc>
      </w:tr>
      <w:tr>
        <w:trPr>
          <w:trHeight w:val="499" w:hRule="atLeast"/>
        </w:trPr>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项目资金
（万元）</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分值</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执行率</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得分</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年度资金总额</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800.25</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800.25</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800.25</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10.00分</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其中：当年财政拨款</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800.25</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800.25</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800.25</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499" w:hRule="atLeast"/>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519"/>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519"/>
            <w:gridSpan w:val="8"/>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实际完成情况</w:t>
            </w:r>
          </w:p>
        </w:tc>
      </w:tr>
      <w:tr>
        <w:trPr>
          <w:trHeight w:val="2430" w:hRule="atLeast"/>
        </w:trPr>
        <w:tc>
          <w:tcPr>
            <w:tcW w:type="dxa" w:w="519"/>
            <w:vMerge/>
            <w:tcBorders>
              <w:start w:sz="10" w:val="single"/>
              <w:top w:sz="10" w:val="single"/>
              <w:end w:sz="10" w:val="single"/>
              <w:bottom w:sz="10" w:val="single"/>
              <w:insideV w:sz="10" w:val="single"/>
            </w:tcBorders>
          </w:tcPr>
          <w:p/>
        </w:tc>
        <w:tc>
          <w:tcPr>
            <w:tcW w:type="dxa" w:w="519"/>
            <w:gridSpan w:val="7"/>
            <w:tcBorders>
              <w:start w:sz="10" w:val="single"/>
              <w:top w:sz="10" w:val="single"/>
              <w:end w:sz="10" w:val="single"/>
              <w:bottom w:sz="10" w:val="single"/>
              <w:insideV w:sz="10" w:val="single"/>
            </w:tcBorders>
            <w:vAlign w:val="top"/>
          </w:tcPr>
          <w:p>
            <w:pPr>
              <w:spacing w:before="0" w:after="0" w:line="240" w:lineRule="auto"/>
              <w:jc w:val="center"/>
            </w:pPr>
            <w:r>
              <w:rPr>
                <w:rFonts w:ascii="宋体" w:hAnsi="宋体" w:eastAsia="宋体" w:cs="宋体"/>
                <w:b w:val="0"/>
                <w:i w:val="0"/>
                <w:sz w:val="18"/>
              </w:rPr>
              <w:t>通过祥云新校区二期主体宿舍楼和配套设施建设，使用项目前期费用于支付土地出让金64.52万元，支付项目工程款700万元，支付项目前期费35.73万元，改善学校基础设施不足。</w:t>
            </w:r>
          </w:p>
        </w:tc>
        <w:tc>
          <w:tcPr>
            <w:tcW w:type="dxa" w:w="519"/>
            <w:gridSpan w:val="8"/>
            <w:tcBorders>
              <w:start w:sz="10" w:val="single"/>
              <w:top w:sz="10" w:val="single"/>
              <w:end w:sz="10" w:val="single"/>
              <w:bottom w:sz="10" w:val="single"/>
              <w:insideV w:sz="10" w:val="single"/>
            </w:tcBorders>
            <w:vAlign w:val="top"/>
          </w:tcPr>
          <w:p>
            <w:pPr>
              <w:spacing w:before="0" w:after="0" w:line="240" w:lineRule="auto"/>
              <w:jc w:val="center"/>
            </w:pPr>
            <w:r>
              <w:rPr>
                <w:rFonts w:ascii="宋体" w:hAnsi="宋体" w:eastAsia="宋体" w:cs="宋体"/>
                <w:b w:val="0"/>
                <w:i w:val="0"/>
                <w:sz w:val="18"/>
              </w:rPr>
              <w:t>截至2025年底，该项目实际完成新建校舍面积37467.56平方米，新增土地面积21505.77平方米，校舍验收合格率为100%，项目实际支出800.25万元，通过项目实施达到有效改善办学条件，改善学校基础设施不足。</w:t>
            </w:r>
          </w:p>
        </w:tc>
      </w:tr>
      <w:tr>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519"/>
            <w:gridSpan w:val="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年度指标值</w:t>
            </w:r>
          </w:p>
        </w:tc>
        <w:tc>
          <w:tcPr>
            <w:tcW w:type="dxa" w:w="519"/>
            <w:gridSpan w:val="2"/>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分值</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得分</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实际完成值</w:t>
            </w:r>
          </w:p>
        </w:tc>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偏差原因分析及改进措施</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完成率</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指标性质</w:t>
            </w:r>
          </w:p>
        </w:tc>
      </w:tr>
      <w:tr>
        <w:trPr>
          <w:trHeight w:val="345"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gridSpan w:val="3"/>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r>
      <w:tr>
        <w:trPr>
          <w:trHeight w:val="580" w:hRule="atLeast"/>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年度绩效指标完成情况</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新建校舍面积</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&gt;=35773平方米</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=37467.56平方米</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按实际校舍面积填列</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新增土地面积</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=21506.13平方米</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=21505.77平方米</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按实际新增土地面积填列</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99.99</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校舍验收合格率</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支付工程款</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&lt;=700万元</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=689.82万元</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按实际支付工程款填列</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支付土地出让金</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&lt;=64.52万元</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=64.52万元</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支付项目前期费</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&lt;=35.73万元</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=45.91万元</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按实际支付工程款填列</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改善办学条件</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有效改善</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基本达成目标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定性</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住宿学生满意度</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=91.3%</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499" w:hRule="atLeast"/>
        </w:trPr>
        <w:tc>
          <w:tcPr>
            <w:tcW w:type="dxa" w:w="519"/>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总分</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95.00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614"/>
        <w:gridCol w:w="614"/>
        <w:gridCol w:w="597"/>
        <w:gridCol w:w="430"/>
        <w:gridCol w:w="451"/>
        <w:gridCol w:w="225"/>
        <w:gridCol w:w="821"/>
        <w:gridCol w:w="614"/>
        <w:gridCol w:w="559"/>
        <w:gridCol w:w="284"/>
        <w:gridCol w:w="520"/>
        <w:gridCol w:w="412"/>
        <w:gridCol w:w="464"/>
        <w:gridCol w:w="614"/>
        <w:gridCol w:w="473"/>
        <w:gridCol w:w="614"/>
      </w:tblGrid>
      <w:tr>
        <w:trPr>
          <w:trHeight w:val="420" w:hRule="atLeast"/>
        </w:trPr>
        <w:tc>
          <w:tcPr>
            <w:tcW w:type="dxa" w:w="519"/>
            <w:gridSpan w:val="1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400" w:hRule="atLeast"/>
        </w:trPr>
        <w:tc>
          <w:tcPr>
            <w:tcW w:type="dxa" w:w="519"/>
            <w:gridSpan w:val="1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499" w:hRule="atLeast"/>
        </w:trPr>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项目名称</w:t>
            </w:r>
          </w:p>
        </w:tc>
        <w:tc>
          <w:tcPr>
            <w:tcW w:type="dxa" w:w="519"/>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科研课题项目经费</w:t>
            </w:r>
          </w:p>
        </w:tc>
      </w:tr>
      <w:tr>
        <w:trPr>
          <w:trHeight w:val="499" w:hRule="atLeast"/>
        </w:trPr>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主管部门</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乌鲁木齐职业大学</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实施单位</w:t>
            </w:r>
          </w:p>
        </w:tc>
        <w:tc>
          <w:tcPr>
            <w:tcW w:type="dxa" w:w="519"/>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乌鲁木齐职业大学</w:t>
            </w:r>
          </w:p>
        </w:tc>
      </w:tr>
      <w:tr>
        <w:trPr>
          <w:trHeight w:val="499" w:hRule="atLeast"/>
        </w:trPr>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项目资金
（万元）</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分值</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执行率</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得分</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年度资金总额</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793.80</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268.47</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165.82</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61.76%</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6.18分</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其中：当年财政拨款</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793.80</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268.47</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165.82</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499" w:hRule="atLeast"/>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519"/>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519"/>
            <w:gridSpan w:val="8"/>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实际完成情况</w:t>
            </w:r>
          </w:p>
        </w:tc>
      </w:tr>
      <w:tr>
        <w:trPr>
          <w:trHeight w:val="2430" w:hRule="atLeast"/>
        </w:trPr>
        <w:tc>
          <w:tcPr>
            <w:tcW w:type="dxa" w:w="519"/>
            <w:vMerge/>
            <w:tcBorders>
              <w:start w:sz="10" w:val="single"/>
              <w:top w:sz="10" w:val="single"/>
              <w:end w:sz="10" w:val="single"/>
              <w:bottom w:sz="10" w:val="single"/>
              <w:insideV w:sz="10" w:val="single"/>
            </w:tcBorders>
          </w:tcPr>
          <w:p/>
        </w:tc>
        <w:tc>
          <w:tcPr>
            <w:tcW w:type="dxa" w:w="519"/>
            <w:gridSpan w:val="7"/>
            <w:tcBorders>
              <w:start w:sz="10" w:val="single"/>
              <w:top w:sz="10" w:val="single"/>
              <w:end w:sz="10" w:val="single"/>
              <w:bottom w:sz="10" w:val="single"/>
              <w:insideV w:sz="10" w:val="single"/>
            </w:tcBorders>
            <w:vAlign w:val="top"/>
          </w:tcPr>
          <w:p>
            <w:pPr>
              <w:spacing w:before="0" w:after="0" w:line="240" w:lineRule="auto"/>
              <w:jc w:val="center"/>
            </w:pPr>
            <w:r>
              <w:rPr>
                <w:rFonts w:ascii="宋体" w:hAnsi="宋体" w:eastAsia="宋体" w:cs="宋体"/>
                <w:b w:val="0"/>
                <w:i w:val="0"/>
                <w:sz w:val="18"/>
              </w:rPr>
              <w:t>完成2025年科研课题的立项申报、项目研究开展，及课题结题工作。</w:t>
            </w:r>
          </w:p>
        </w:tc>
        <w:tc>
          <w:tcPr>
            <w:tcW w:type="dxa" w:w="519"/>
            <w:gridSpan w:val="8"/>
            <w:tcBorders>
              <w:start w:sz="10" w:val="single"/>
              <w:top w:sz="10" w:val="single"/>
              <w:end w:sz="10" w:val="single"/>
              <w:bottom w:sz="10" w:val="single"/>
              <w:insideV w:sz="10" w:val="single"/>
            </w:tcBorders>
            <w:vAlign w:val="top"/>
          </w:tcPr>
          <w:p>
            <w:pPr>
              <w:spacing w:before="0" w:after="0" w:line="240" w:lineRule="auto"/>
              <w:jc w:val="center"/>
            </w:pPr>
            <w:r>
              <w:rPr>
                <w:rFonts w:ascii="宋体" w:hAnsi="宋体" w:eastAsia="宋体" w:cs="宋体"/>
                <w:b w:val="0"/>
                <w:i w:val="0"/>
                <w:sz w:val="18"/>
              </w:rPr>
              <w:t>截至2025年底，该项目实际完成专利权转化数量4个，三大检索期刊论文数168篇，横向课题立项44个，纵向课题立项94个，发表论文数168篇，项目实际支出165.82万元，通过项目实施达到提高学校科研水平的目标。</w:t>
            </w:r>
          </w:p>
        </w:tc>
      </w:tr>
      <w:tr>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519"/>
            <w:gridSpan w:val="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年度指标值</w:t>
            </w:r>
          </w:p>
        </w:tc>
        <w:tc>
          <w:tcPr>
            <w:tcW w:type="dxa" w:w="519"/>
            <w:gridSpan w:val="2"/>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分值</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得分</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实际完成值</w:t>
            </w:r>
          </w:p>
        </w:tc>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偏差原因分析及改进措施</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完成率</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指标性质</w:t>
            </w:r>
          </w:p>
        </w:tc>
      </w:tr>
      <w:tr>
        <w:trPr>
          <w:trHeight w:val="345"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gridSpan w:val="3"/>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r>
      <w:tr>
        <w:trPr>
          <w:trHeight w:val="580" w:hRule="atLeast"/>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年度绩效指标完成情况</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专利权转化数量</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&gt;=4个</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=4个</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三大检索期刊论文数</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&gt;=81篇</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=168篇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根据科研平台据实填报</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207.41</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横向课题数量</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&gt;=50个</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8.8</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=44个</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根据科研平台据实填报</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88</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纵向课题数量</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&gt;=91个</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=94个</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根据科研平台据实填报</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发表论文数（篇）</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&gt;=168篇</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=168篇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科研课题结项率</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&gt;=85%</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=85%</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科研成果提高学校知名度</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有效提高</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36</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基本达成目标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项目按计划进行</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定性</w:t>
            </w:r>
          </w:p>
        </w:tc>
      </w:tr>
      <w:tr>
        <w:trPr>
          <w:trHeight w:val="499" w:hRule="atLeast"/>
        </w:trPr>
        <w:tc>
          <w:tcPr>
            <w:tcW w:type="dxa" w:w="519"/>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总分</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90.98</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614"/>
        <w:gridCol w:w="614"/>
        <w:gridCol w:w="597"/>
        <w:gridCol w:w="430"/>
        <w:gridCol w:w="451"/>
        <w:gridCol w:w="225"/>
        <w:gridCol w:w="821"/>
        <w:gridCol w:w="614"/>
        <w:gridCol w:w="558"/>
        <w:gridCol w:w="284"/>
        <w:gridCol w:w="520"/>
        <w:gridCol w:w="412"/>
        <w:gridCol w:w="464"/>
        <w:gridCol w:w="614"/>
        <w:gridCol w:w="473"/>
        <w:gridCol w:w="614"/>
      </w:tblGrid>
      <w:tr>
        <w:trPr>
          <w:trHeight w:val="405" w:hRule="atLeast"/>
        </w:trPr>
        <w:tc>
          <w:tcPr>
            <w:tcW w:type="dxa" w:w="519"/>
            <w:gridSpan w:val="1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400" w:hRule="atLeast"/>
        </w:trPr>
        <w:tc>
          <w:tcPr>
            <w:tcW w:type="dxa" w:w="519"/>
            <w:gridSpan w:val="1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499" w:hRule="atLeast"/>
        </w:trPr>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项目名称</w:t>
            </w:r>
          </w:p>
        </w:tc>
        <w:tc>
          <w:tcPr>
            <w:tcW w:type="dxa" w:w="519"/>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自治区大学生实习支教项目</w:t>
            </w:r>
          </w:p>
        </w:tc>
      </w:tr>
      <w:tr>
        <w:trPr>
          <w:trHeight w:val="499" w:hRule="atLeast"/>
        </w:trPr>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主管部门</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乌鲁木齐职业大学</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实施单位</w:t>
            </w:r>
          </w:p>
        </w:tc>
        <w:tc>
          <w:tcPr>
            <w:tcW w:type="dxa" w:w="519"/>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乌鲁木齐职业大学</w:t>
            </w:r>
          </w:p>
        </w:tc>
      </w:tr>
      <w:tr>
        <w:trPr>
          <w:trHeight w:val="499" w:hRule="atLeast"/>
        </w:trPr>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项目资金
（万元）</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分值</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执行率</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得分</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年度资金总额</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160.42</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85.13</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85.13</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10.00分</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其中：当年财政拨款</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160.42</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85.13</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85.13</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499" w:hRule="atLeast"/>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519"/>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519"/>
            <w:gridSpan w:val="8"/>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实际完成情况</w:t>
            </w:r>
          </w:p>
        </w:tc>
      </w:tr>
      <w:tr>
        <w:trPr>
          <w:trHeight w:val="2430" w:hRule="atLeast"/>
        </w:trPr>
        <w:tc>
          <w:tcPr>
            <w:tcW w:type="dxa" w:w="519"/>
            <w:vMerge/>
            <w:tcBorders>
              <w:start w:sz="10" w:val="single"/>
              <w:top w:sz="10" w:val="single"/>
              <w:end w:sz="10" w:val="single"/>
              <w:bottom w:sz="10" w:val="single"/>
              <w:insideV w:sz="10" w:val="single"/>
            </w:tcBorders>
          </w:tcPr>
          <w:p/>
        </w:tc>
        <w:tc>
          <w:tcPr>
            <w:tcW w:type="dxa" w:w="519"/>
            <w:gridSpan w:val="7"/>
            <w:tcBorders>
              <w:start w:sz="10" w:val="single"/>
              <w:top w:sz="10" w:val="single"/>
              <w:end w:sz="10" w:val="single"/>
              <w:bottom w:sz="10" w:val="single"/>
              <w:insideV w:sz="10" w:val="single"/>
            </w:tcBorders>
            <w:vAlign w:val="top"/>
          </w:tcPr>
          <w:p>
            <w:pPr>
              <w:spacing w:before="0" w:after="0" w:line="240" w:lineRule="auto"/>
              <w:jc w:val="center"/>
            </w:pPr>
            <w:r>
              <w:rPr>
                <w:rFonts w:ascii="宋体" w:hAnsi="宋体" w:eastAsia="宋体" w:cs="宋体"/>
                <w:b w:val="0"/>
                <w:i w:val="0"/>
                <w:sz w:val="18"/>
              </w:rPr>
              <w:t>通过春季赴喀什地区开展为期一个学期的顶岗实习支教活动，学生60人，带队老师1人，秋季南疆开展实习支教，两个学院学生140人，带队老师2人。按时按照教育厅标准给师生发放每人每月600元补助，达到提高支教学生就业率的效果。</w:t>
            </w:r>
          </w:p>
        </w:tc>
        <w:tc>
          <w:tcPr>
            <w:tcW w:type="dxa" w:w="519"/>
            <w:gridSpan w:val="8"/>
            <w:tcBorders>
              <w:start w:sz="10" w:val="single"/>
              <w:top w:sz="10" w:val="single"/>
              <w:end w:sz="10" w:val="single"/>
              <w:bottom w:sz="10" w:val="single"/>
              <w:insideV w:sz="10" w:val="single"/>
            </w:tcBorders>
            <w:vAlign w:val="top"/>
          </w:tcPr>
          <w:p>
            <w:pPr>
              <w:spacing w:before="0" w:after="0" w:line="240" w:lineRule="auto"/>
              <w:jc w:val="center"/>
            </w:pPr>
            <w:r>
              <w:rPr>
                <w:rFonts w:ascii="宋体" w:hAnsi="宋体" w:eastAsia="宋体" w:cs="宋体"/>
                <w:b w:val="0"/>
                <w:i w:val="0"/>
                <w:sz w:val="18"/>
              </w:rPr>
              <w:t>截至2025年底，该项目实际完成春季支教师范学院带队教师1人，学生人数60人；秋季支教师范学院带队教师1人学生102人和外国语学院带队教师1人学生96人，全年合计实习支教带队教师3人，实习支教学生258人，按时按照教育厅标准给师生发放每人每月600元补助，项目实际支出85.13万元，通过项目实施圆满完成有效提高支教学生就业率目标。</w:t>
            </w:r>
          </w:p>
        </w:tc>
      </w:tr>
      <w:tr>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519"/>
            <w:gridSpan w:val="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年度指标值</w:t>
            </w:r>
          </w:p>
        </w:tc>
        <w:tc>
          <w:tcPr>
            <w:tcW w:type="dxa" w:w="519"/>
            <w:gridSpan w:val="2"/>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分值</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得分</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实际完成值</w:t>
            </w:r>
          </w:p>
        </w:tc>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偏差原因分析及改进措施</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完成率</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指标性质</w:t>
            </w:r>
          </w:p>
        </w:tc>
      </w:tr>
      <w:tr>
        <w:trPr>
          <w:trHeight w:val="345"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gridSpan w:val="3"/>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r>
      <w:tr>
        <w:trPr>
          <w:trHeight w:val="580" w:hRule="atLeast"/>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年度绩效指标完成情况</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支教学生人数</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&gt;=200人</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=258人</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支教教师人数</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&gt;=3人</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=3人</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资金使用合格率</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支教补助及时发放率</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支教教师补助标准</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=600元/人/月</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=600元/人/月</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支教学生补助标准</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=600元/人/月</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=600元/人/月</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提高支教学生就业率</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有效提高</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基本达成目标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定性</w:t>
            </w:r>
          </w:p>
        </w:tc>
      </w:tr>
      <w:tr>
        <w:trPr>
          <w:trHeight w:val="499" w:hRule="atLeast"/>
        </w:trPr>
        <w:tc>
          <w:tcPr>
            <w:tcW w:type="dxa" w:w="519"/>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总分</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614"/>
        <w:gridCol w:w="614"/>
        <w:gridCol w:w="597"/>
        <w:gridCol w:w="430"/>
        <w:gridCol w:w="451"/>
        <w:gridCol w:w="225"/>
        <w:gridCol w:w="821"/>
        <w:gridCol w:w="614"/>
        <w:gridCol w:w="559"/>
        <w:gridCol w:w="284"/>
        <w:gridCol w:w="520"/>
        <w:gridCol w:w="412"/>
        <w:gridCol w:w="464"/>
        <w:gridCol w:w="614"/>
        <w:gridCol w:w="473"/>
        <w:gridCol w:w="614"/>
      </w:tblGrid>
      <w:tr>
        <w:trPr>
          <w:trHeight w:val="420" w:hRule="atLeast"/>
        </w:trPr>
        <w:tc>
          <w:tcPr>
            <w:tcW w:type="dxa" w:w="519"/>
            <w:gridSpan w:val="1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400" w:hRule="atLeast"/>
        </w:trPr>
        <w:tc>
          <w:tcPr>
            <w:tcW w:type="dxa" w:w="519"/>
            <w:gridSpan w:val="1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499" w:hRule="atLeast"/>
        </w:trPr>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项目名称</w:t>
            </w:r>
          </w:p>
        </w:tc>
        <w:tc>
          <w:tcPr>
            <w:tcW w:type="dxa" w:w="519"/>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自治区高校班主任、辅导员补贴经费</w:t>
            </w:r>
          </w:p>
        </w:tc>
      </w:tr>
      <w:tr>
        <w:trPr>
          <w:trHeight w:val="499" w:hRule="atLeast"/>
        </w:trPr>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主管部门</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乌鲁木齐职业大学</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实施单位</w:t>
            </w:r>
          </w:p>
        </w:tc>
        <w:tc>
          <w:tcPr>
            <w:tcW w:type="dxa" w:w="519"/>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乌鲁木齐职业大学</w:t>
            </w:r>
          </w:p>
        </w:tc>
      </w:tr>
      <w:tr>
        <w:trPr>
          <w:trHeight w:val="499" w:hRule="atLeast"/>
        </w:trPr>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项目资金
（万元）</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分值</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执行率</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得分</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年度资金总额</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84.21</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84.21</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84.21</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10.00分</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其中：当年财政拨款</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84.21</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84.21</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84.21</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499" w:hRule="atLeast"/>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519"/>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519"/>
            <w:gridSpan w:val="8"/>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实际完成情况</w:t>
            </w:r>
          </w:p>
        </w:tc>
      </w:tr>
      <w:tr>
        <w:trPr>
          <w:trHeight w:val="2430" w:hRule="atLeast"/>
        </w:trPr>
        <w:tc>
          <w:tcPr>
            <w:tcW w:type="dxa" w:w="519"/>
            <w:vMerge/>
            <w:tcBorders>
              <w:start w:sz="10" w:val="single"/>
              <w:top w:sz="10" w:val="single"/>
              <w:end w:sz="10" w:val="single"/>
              <w:bottom w:sz="10" w:val="single"/>
              <w:insideV w:sz="10" w:val="single"/>
            </w:tcBorders>
          </w:tcPr>
          <w:p/>
        </w:tc>
        <w:tc>
          <w:tcPr>
            <w:tcW w:type="dxa" w:w="519"/>
            <w:gridSpan w:val="7"/>
            <w:tcBorders>
              <w:start w:sz="10" w:val="single"/>
              <w:top w:sz="10" w:val="single"/>
              <w:end w:sz="10" w:val="single"/>
              <w:bottom w:sz="10" w:val="single"/>
              <w:insideV w:sz="10" w:val="single"/>
            </w:tcBorders>
            <w:vAlign w:val="top"/>
          </w:tcPr>
          <w:p>
            <w:pPr>
              <w:spacing w:before="0" w:after="0" w:line="240" w:lineRule="auto"/>
              <w:jc w:val="center"/>
            </w:pPr>
            <w:r>
              <w:rPr>
                <w:rFonts w:ascii="宋体" w:hAnsi="宋体" w:eastAsia="宋体" w:cs="宋体"/>
                <w:b w:val="0"/>
                <w:i w:val="0"/>
                <w:sz w:val="18"/>
              </w:rPr>
              <w:t>2025年3月开始发放2025年班主任津贴，按照每学生10元/月，按10个月发放，10元/人/月*9342人*10个月*1/2=467100元；共467100计元。辅导员津贴为每年2次发放，其中考核等级优秀者15人，按照发放津贴500元/月标准，发放10个月，共计75000元；考核等级为称职者75人，按照400元/月*10个月*75人共计发放300000元；考核等级为不称职者，不发放考核津贴。</w:t>
            </w:r>
          </w:p>
        </w:tc>
        <w:tc>
          <w:tcPr>
            <w:tcW w:type="dxa" w:w="519"/>
            <w:gridSpan w:val="8"/>
            <w:tcBorders>
              <w:start w:sz="10" w:val="single"/>
              <w:top w:sz="10" w:val="single"/>
              <w:end w:sz="10" w:val="single"/>
              <w:bottom w:sz="10" w:val="single"/>
              <w:insideV w:sz="10" w:val="single"/>
            </w:tcBorders>
            <w:vAlign w:val="top"/>
          </w:tcPr>
          <w:p>
            <w:pPr>
              <w:spacing w:before="0" w:after="0" w:line="240" w:lineRule="auto"/>
              <w:jc w:val="center"/>
            </w:pPr>
            <w:r>
              <w:rPr>
                <w:rFonts w:ascii="宋体" w:hAnsi="宋体" w:eastAsia="宋体" w:cs="宋体"/>
                <w:b w:val="0"/>
                <w:i w:val="0"/>
                <w:sz w:val="18"/>
              </w:rPr>
              <w:t>截至2025年底，项目实际开展辅导员津贴补助人次115人，发放10个月，辅导员津贴分2次发放，项目实际支出84.21万元。通过项目实施，圆满完成2025年班主任和辅导员各项工作，提高教师生活水平，为学生工作打好坚实基础。</w:t>
            </w:r>
          </w:p>
        </w:tc>
      </w:tr>
      <w:tr>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519"/>
            <w:gridSpan w:val="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年度指标值</w:t>
            </w:r>
          </w:p>
        </w:tc>
        <w:tc>
          <w:tcPr>
            <w:tcW w:type="dxa" w:w="519"/>
            <w:gridSpan w:val="2"/>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分值</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得分</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实际完成值</w:t>
            </w:r>
          </w:p>
        </w:tc>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偏差原因分析及改进措施</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完成率</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指标性质</w:t>
            </w:r>
          </w:p>
        </w:tc>
      </w:tr>
      <w:tr>
        <w:trPr>
          <w:trHeight w:val="345"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gridSpan w:val="3"/>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r>
      <w:tr>
        <w:trPr>
          <w:trHeight w:val="580" w:hRule="atLeast"/>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年度绩效指标完成情况</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开展辅导员津贴补助人次</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&gt;=90人</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=115人</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班主任费补贴次数</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=10个月</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=10个月</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辅导员津贴发放次数</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资金发放准确率（%）</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班主任津贴标准</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=10元/月/人</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=10元/月/人</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辅导员补贴标准</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&lt;=500元/人/月</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=500元/人/月</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提高教师生活水平</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有效提高</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基本达成目标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定性</w:t>
            </w:r>
          </w:p>
        </w:tc>
      </w:tr>
      <w:tr>
        <w:trPr>
          <w:trHeight w:val="499" w:hRule="atLeast"/>
        </w:trPr>
        <w:tc>
          <w:tcPr>
            <w:tcW w:type="dxa" w:w="519"/>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总分</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614"/>
        <w:gridCol w:w="614"/>
        <w:gridCol w:w="597"/>
        <w:gridCol w:w="430"/>
        <w:gridCol w:w="451"/>
        <w:gridCol w:w="225"/>
        <w:gridCol w:w="821"/>
        <w:gridCol w:w="614"/>
        <w:gridCol w:w="559"/>
        <w:gridCol w:w="284"/>
        <w:gridCol w:w="520"/>
        <w:gridCol w:w="412"/>
        <w:gridCol w:w="464"/>
        <w:gridCol w:w="614"/>
        <w:gridCol w:w="473"/>
        <w:gridCol w:w="614"/>
      </w:tblGrid>
      <w:tr>
        <w:trPr>
          <w:trHeight w:val="420" w:hRule="atLeast"/>
        </w:trPr>
        <w:tc>
          <w:tcPr>
            <w:tcW w:type="dxa" w:w="519"/>
            <w:gridSpan w:val="1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400" w:hRule="atLeast"/>
        </w:trPr>
        <w:tc>
          <w:tcPr>
            <w:tcW w:type="dxa" w:w="519"/>
            <w:gridSpan w:val="1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499" w:hRule="atLeast"/>
        </w:trPr>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项目名称</w:t>
            </w:r>
          </w:p>
        </w:tc>
        <w:tc>
          <w:tcPr>
            <w:tcW w:type="dxa" w:w="519"/>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辅助履职人员支出</w:t>
            </w:r>
          </w:p>
        </w:tc>
      </w:tr>
      <w:tr>
        <w:trPr>
          <w:trHeight w:val="499" w:hRule="atLeast"/>
        </w:trPr>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主管部门</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乌鲁木齐职业大学</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实施单位</w:t>
            </w:r>
          </w:p>
        </w:tc>
        <w:tc>
          <w:tcPr>
            <w:tcW w:type="dxa" w:w="519"/>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乌鲁木齐职业大学</w:t>
            </w:r>
          </w:p>
        </w:tc>
      </w:tr>
      <w:tr>
        <w:trPr>
          <w:trHeight w:val="499" w:hRule="atLeast"/>
        </w:trPr>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项目资金
（万元）</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分值</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执行率</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得分</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年度资金总额</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1,452.00</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1,452.00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1,245.74</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85.79%</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8.58分</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其中：当年财政拨款</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1,452.00</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1,452.00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1,245.74</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499" w:hRule="atLeast"/>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519"/>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519"/>
            <w:gridSpan w:val="8"/>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实际完成情况</w:t>
            </w:r>
          </w:p>
        </w:tc>
      </w:tr>
      <w:tr>
        <w:trPr>
          <w:trHeight w:val="2430" w:hRule="atLeast"/>
        </w:trPr>
        <w:tc>
          <w:tcPr>
            <w:tcW w:type="dxa" w:w="519"/>
            <w:vMerge/>
            <w:tcBorders>
              <w:start w:sz="10" w:val="single"/>
              <w:top w:sz="10" w:val="single"/>
              <w:end w:sz="10" w:val="single"/>
              <w:bottom w:sz="10" w:val="single"/>
              <w:insideV w:sz="10" w:val="single"/>
            </w:tcBorders>
          </w:tcPr>
          <w:p/>
        </w:tc>
        <w:tc>
          <w:tcPr>
            <w:tcW w:type="dxa" w:w="519"/>
            <w:gridSpan w:val="7"/>
            <w:tcBorders>
              <w:start w:sz="10" w:val="single"/>
              <w:top w:sz="10" w:val="single"/>
              <w:end w:sz="10" w:val="single"/>
              <w:bottom w:sz="10" w:val="single"/>
              <w:insideV w:sz="10" w:val="single"/>
            </w:tcBorders>
            <w:vAlign w:val="top"/>
          </w:tcPr>
          <w:p>
            <w:pPr>
              <w:spacing w:before="0" w:after="0" w:line="240" w:lineRule="auto"/>
              <w:jc w:val="center"/>
            </w:pPr>
            <w:r>
              <w:rPr>
                <w:rFonts w:ascii="宋体" w:hAnsi="宋体" w:eastAsia="宋体" w:cs="宋体"/>
                <w:b w:val="0"/>
                <w:i w:val="0"/>
                <w:sz w:val="18"/>
              </w:rPr>
              <w:t>2025年根据学校业务发展需要，聘用辅助履职人员224人，发放12个月劳务费1452万元，其中：劳务派遣人员90人432万元，聘用人员88人606万元；同职级辅导员46人414万元。保障学校正常运转。</w:t>
            </w:r>
          </w:p>
        </w:tc>
        <w:tc>
          <w:tcPr>
            <w:tcW w:type="dxa" w:w="519"/>
            <w:gridSpan w:val="8"/>
            <w:tcBorders>
              <w:start w:sz="10" w:val="single"/>
              <w:top w:sz="10" w:val="single"/>
              <w:end w:sz="10" w:val="single"/>
              <w:bottom w:sz="10" w:val="single"/>
              <w:insideV w:sz="10" w:val="single"/>
            </w:tcBorders>
            <w:vAlign w:val="top"/>
          </w:tcPr>
          <w:p>
            <w:pPr>
              <w:spacing w:before="0" w:after="0" w:line="240" w:lineRule="auto"/>
              <w:jc w:val="center"/>
            </w:pPr>
            <w:r>
              <w:rPr>
                <w:rFonts w:ascii="宋体" w:hAnsi="宋体" w:eastAsia="宋体" w:cs="宋体"/>
                <w:b w:val="0"/>
                <w:i w:val="0"/>
                <w:sz w:val="18"/>
              </w:rPr>
              <w:t>截至2025年底，实际保障长期聘用人数88人、劳务派遣人员46人、聘用辅导员（同职级）46人，项目实际支出1245.74万元，通过项目实施，达到了提高了聘用人员生活水平，学校正常运转得到保障的效益。</w:t>
            </w:r>
          </w:p>
        </w:tc>
      </w:tr>
      <w:tr>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519"/>
            <w:gridSpan w:val="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年度指标值</w:t>
            </w:r>
          </w:p>
        </w:tc>
        <w:tc>
          <w:tcPr>
            <w:tcW w:type="dxa" w:w="519"/>
            <w:gridSpan w:val="2"/>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分值</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得分</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实际完成值</w:t>
            </w:r>
          </w:p>
        </w:tc>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偏差原因分析及改进措施</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完成率</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指标性质</w:t>
            </w:r>
          </w:p>
        </w:tc>
      </w:tr>
      <w:tr>
        <w:trPr>
          <w:trHeight w:val="345"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gridSpan w:val="3"/>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r>
      <w:tr>
        <w:trPr>
          <w:trHeight w:val="580" w:hRule="atLeast"/>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年度绩效指标完成情况</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长期聘用人数</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=88人</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=88人</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劳务派遣人员数量</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=90人</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5.11</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=46人</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为响应相关部门对于消减编制外工作人员的要求，我校逐步减少劳务派遣人员数量。</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51.11</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聘用辅导员（同职级）</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=46人</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=46人</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长期聘用辅导员享受补贴覆盖率</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劳务派遣人员工资标准</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&lt;=4000元/人/月</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=4000元/人/月</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临聘人员工资工资标准</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&lt;=6343元/人/月</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=6343元/人/月</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聘用辅导员（同职级）工资标准</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&lt;=7500元/月/人</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=7470.89元/月/人</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提高聘用人员生活水平</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有效提高</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基本达成目标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定性</w:t>
            </w:r>
          </w:p>
        </w:tc>
      </w:tr>
      <w:tr>
        <w:trPr>
          <w:trHeight w:val="499" w:hRule="atLeast"/>
        </w:trPr>
        <w:tc>
          <w:tcPr>
            <w:tcW w:type="dxa" w:w="519"/>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总分</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93.69</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614"/>
        <w:gridCol w:w="614"/>
        <w:gridCol w:w="597"/>
        <w:gridCol w:w="430"/>
        <w:gridCol w:w="451"/>
        <w:gridCol w:w="225"/>
        <w:gridCol w:w="821"/>
        <w:gridCol w:w="614"/>
        <w:gridCol w:w="558"/>
        <w:gridCol w:w="284"/>
        <w:gridCol w:w="520"/>
        <w:gridCol w:w="412"/>
        <w:gridCol w:w="464"/>
        <w:gridCol w:w="614"/>
        <w:gridCol w:w="473"/>
        <w:gridCol w:w="614"/>
      </w:tblGrid>
      <w:tr>
        <w:trPr>
          <w:trHeight w:val="405" w:hRule="atLeast"/>
        </w:trPr>
        <w:tc>
          <w:tcPr>
            <w:tcW w:type="dxa" w:w="519"/>
            <w:gridSpan w:val="1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400" w:hRule="atLeast"/>
        </w:trPr>
        <w:tc>
          <w:tcPr>
            <w:tcW w:type="dxa" w:w="519"/>
            <w:gridSpan w:val="1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499" w:hRule="atLeast"/>
        </w:trPr>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项目名称</w:t>
            </w:r>
          </w:p>
        </w:tc>
        <w:tc>
          <w:tcPr>
            <w:tcW w:type="dxa" w:w="519"/>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非学历培训项目</w:t>
            </w:r>
          </w:p>
        </w:tc>
      </w:tr>
      <w:tr>
        <w:trPr>
          <w:trHeight w:val="499" w:hRule="atLeast"/>
        </w:trPr>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主管部门</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乌鲁木齐职业大学</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实施单位</w:t>
            </w:r>
          </w:p>
        </w:tc>
        <w:tc>
          <w:tcPr>
            <w:tcW w:type="dxa" w:w="519"/>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乌鲁木齐职业大学</w:t>
            </w:r>
          </w:p>
        </w:tc>
      </w:tr>
      <w:tr>
        <w:trPr>
          <w:trHeight w:val="499" w:hRule="atLeast"/>
        </w:trPr>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项目资金
（万元）</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分值</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执行率</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得分</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年度资金总额</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500.00</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500.00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243.98</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48.80%</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4.88分</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其中：当年财政拨款</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500.00</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500.00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243.98</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499" w:hRule="atLeast"/>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519"/>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519"/>
            <w:gridSpan w:val="8"/>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实际完成情况</w:t>
            </w:r>
          </w:p>
        </w:tc>
      </w:tr>
      <w:tr>
        <w:trPr>
          <w:trHeight w:val="2430" w:hRule="atLeast"/>
        </w:trPr>
        <w:tc>
          <w:tcPr>
            <w:tcW w:type="dxa" w:w="519"/>
            <w:vMerge/>
            <w:tcBorders>
              <w:start w:sz="10" w:val="single"/>
              <w:top w:sz="10" w:val="single"/>
              <w:end w:sz="10" w:val="single"/>
              <w:bottom w:sz="10" w:val="single"/>
              <w:insideV w:sz="10" w:val="single"/>
            </w:tcBorders>
          </w:tcPr>
          <w:p/>
        </w:tc>
        <w:tc>
          <w:tcPr>
            <w:tcW w:type="dxa" w:w="519"/>
            <w:gridSpan w:val="7"/>
            <w:tcBorders>
              <w:start w:sz="10" w:val="single"/>
              <w:top w:sz="10" w:val="single"/>
              <w:end w:sz="10" w:val="single"/>
              <w:bottom w:sz="10" w:val="single"/>
              <w:insideV w:sz="10" w:val="single"/>
            </w:tcBorders>
            <w:vAlign w:val="top"/>
          </w:tcPr>
          <w:p>
            <w:pPr>
              <w:spacing w:before="0" w:after="0" w:line="240" w:lineRule="auto"/>
              <w:jc w:val="center"/>
            </w:pPr>
            <w:r>
              <w:rPr>
                <w:rFonts w:ascii="宋体" w:hAnsi="宋体" w:eastAsia="宋体" w:cs="宋体"/>
                <w:b w:val="0"/>
                <w:i w:val="0"/>
                <w:sz w:val="18"/>
              </w:rPr>
              <w:t>2025年在我校学历教育之外面向社会举办以提升受教育者专业素质、职业技能、文化水平为目的各类培训教育活动。</w:t>
            </w:r>
          </w:p>
        </w:tc>
        <w:tc>
          <w:tcPr>
            <w:tcW w:type="dxa" w:w="519"/>
            <w:gridSpan w:val="8"/>
            <w:tcBorders>
              <w:start w:sz="10" w:val="single"/>
              <w:top w:sz="10" w:val="single"/>
              <w:end w:sz="10" w:val="single"/>
              <w:bottom w:sz="10" w:val="single"/>
              <w:insideV w:sz="10" w:val="single"/>
            </w:tcBorders>
            <w:vAlign w:val="top"/>
          </w:tcPr>
          <w:p>
            <w:pPr>
              <w:spacing w:before="0" w:after="0" w:line="240" w:lineRule="auto"/>
              <w:jc w:val="center"/>
            </w:pPr>
            <w:r>
              <w:rPr>
                <w:rFonts w:ascii="宋体" w:hAnsi="宋体" w:eastAsia="宋体" w:cs="宋体"/>
                <w:b w:val="0"/>
                <w:i w:val="0"/>
                <w:sz w:val="18"/>
              </w:rPr>
              <w:t>截至2025年底，教师培训学院扎实推进非学历培训工作，全年共开展非学历培训项目15次，开展非学历培训种类9种，开展非学历培训平均课程数量13.9门，有效覆盖不同岗位不同层次的参训人员，切实提升了培训的针对性与实效性。该项目全年总支出金额2439800元，通过开展本项目，基本完成我校学历教育之外面向社会举办以提升受教育者专业素质、职业技能、文化水平为目的各类培训教育活动的目标。</w:t>
            </w:r>
          </w:p>
        </w:tc>
      </w:tr>
      <w:tr>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519"/>
            <w:gridSpan w:val="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年度指标值</w:t>
            </w:r>
          </w:p>
        </w:tc>
        <w:tc>
          <w:tcPr>
            <w:tcW w:type="dxa" w:w="519"/>
            <w:gridSpan w:val="2"/>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分值</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得分</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实际完成值</w:t>
            </w:r>
          </w:p>
        </w:tc>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偏差原因分析及改进措施</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完成率</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指标性质</w:t>
            </w:r>
          </w:p>
        </w:tc>
      </w:tr>
      <w:tr>
        <w:trPr>
          <w:trHeight w:val="345"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gridSpan w:val="3"/>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r>
      <w:tr>
        <w:trPr>
          <w:trHeight w:val="580" w:hRule="atLeast"/>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年度绩效指标完成情况</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开展非学历培训次数</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&gt;=5次</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=15次</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开展非学历培训前填写培训次数担心不能完成，设立5次目标过于保守，实际完成远大于初设目标，造成偏差率佷大。</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开展非学历培训种类</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&gt;=5种</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=9种</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开展非学历培训前填写培训种类担心不能完成，设立5种目标过于保守，实际完成远大于初设目标，造成偏差率较大。</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180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开展非学历培训平均课程数量</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&gt;=2门</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=13.9门</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开展非学历培训前填写培训平均课程数量担心不能完成，设立2门目标过于保守，实际完成远大于初设目标，造成偏差率佷大。</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695</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参加非学历培训人员结课率</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=99.9%</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主题培训开展及时率(%)</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提高非学历培训人员履职能力</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有效提高</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基本达成目标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定性</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参训人员满意度（%）</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=97%</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499" w:hRule="atLeast"/>
        </w:trPr>
        <w:tc>
          <w:tcPr>
            <w:tcW w:type="dxa" w:w="519"/>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总分</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94.88</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614"/>
        <w:gridCol w:w="614"/>
        <w:gridCol w:w="597"/>
        <w:gridCol w:w="430"/>
        <w:gridCol w:w="451"/>
        <w:gridCol w:w="225"/>
        <w:gridCol w:w="821"/>
        <w:gridCol w:w="614"/>
        <w:gridCol w:w="559"/>
        <w:gridCol w:w="284"/>
        <w:gridCol w:w="520"/>
        <w:gridCol w:w="412"/>
        <w:gridCol w:w="464"/>
        <w:gridCol w:w="614"/>
        <w:gridCol w:w="473"/>
        <w:gridCol w:w="614"/>
      </w:tblGrid>
      <w:tr>
        <w:trPr>
          <w:trHeight w:val="420" w:hRule="atLeast"/>
        </w:trPr>
        <w:tc>
          <w:tcPr>
            <w:tcW w:type="dxa" w:w="519"/>
            <w:gridSpan w:val="1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400" w:hRule="atLeast"/>
        </w:trPr>
        <w:tc>
          <w:tcPr>
            <w:tcW w:type="dxa" w:w="519"/>
            <w:gridSpan w:val="1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499" w:hRule="atLeast"/>
        </w:trPr>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项目名称</w:t>
            </w:r>
          </w:p>
        </w:tc>
        <w:tc>
          <w:tcPr>
            <w:tcW w:type="dxa" w:w="519"/>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高职学生资助补助（国家奖助学金中央、自治区、市级资金）</w:t>
            </w:r>
          </w:p>
        </w:tc>
      </w:tr>
      <w:tr>
        <w:trPr>
          <w:trHeight w:val="499" w:hRule="atLeast"/>
        </w:trPr>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主管部门</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乌鲁木齐职业大学</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实施单位</w:t>
            </w:r>
          </w:p>
        </w:tc>
        <w:tc>
          <w:tcPr>
            <w:tcW w:type="dxa" w:w="519"/>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乌鲁木齐职业大学</w:t>
            </w:r>
          </w:p>
        </w:tc>
      </w:tr>
      <w:tr>
        <w:trPr>
          <w:trHeight w:val="499" w:hRule="atLeast"/>
        </w:trPr>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项目资金
（万元）</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分值</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执行率</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得分</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年度资金总额</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1,858.63</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1,670.30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1,670.30</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10.00分</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其中：当年财政拨款</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1,858.63</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1,670.30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1,670.30</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499" w:hRule="atLeast"/>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519"/>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519"/>
            <w:gridSpan w:val="8"/>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实际完成情况</w:t>
            </w:r>
          </w:p>
        </w:tc>
      </w:tr>
      <w:tr>
        <w:trPr>
          <w:trHeight w:val="2430" w:hRule="atLeast"/>
        </w:trPr>
        <w:tc>
          <w:tcPr>
            <w:tcW w:type="dxa" w:w="519"/>
            <w:vMerge/>
            <w:tcBorders>
              <w:start w:sz="10" w:val="single"/>
              <w:top w:sz="10" w:val="single"/>
              <w:end w:sz="10" w:val="single"/>
              <w:bottom w:sz="10" w:val="single"/>
              <w:insideV w:sz="10" w:val="single"/>
            </w:tcBorders>
          </w:tcPr>
          <w:p/>
        </w:tc>
        <w:tc>
          <w:tcPr>
            <w:tcW w:type="dxa" w:w="519"/>
            <w:gridSpan w:val="7"/>
            <w:tcBorders>
              <w:start w:sz="10" w:val="single"/>
              <w:top w:sz="10" w:val="single"/>
              <w:end w:sz="10" w:val="single"/>
              <w:bottom w:sz="10" w:val="single"/>
              <w:insideV w:sz="10" w:val="single"/>
            </w:tcBorders>
            <w:vAlign w:val="top"/>
          </w:tcPr>
          <w:p>
            <w:pPr>
              <w:spacing w:before="0" w:after="0" w:line="240" w:lineRule="auto"/>
              <w:jc w:val="center"/>
            </w:pPr>
            <w:r>
              <w:rPr>
                <w:rFonts w:ascii="宋体" w:hAnsi="宋体" w:eastAsia="宋体" w:cs="宋体"/>
                <w:b w:val="0"/>
                <w:i w:val="0"/>
                <w:sz w:val="18"/>
              </w:rPr>
              <w:t>通过2025年上半年及下半年共计发放国家助学金4129人、励志奖学金376人、退役士兵学费补助，实现有效减轻学生家庭负担，有效提高学生成长成才的效果。</w:t>
            </w:r>
          </w:p>
        </w:tc>
        <w:tc>
          <w:tcPr>
            <w:tcW w:type="dxa" w:w="519"/>
            <w:gridSpan w:val="8"/>
            <w:tcBorders>
              <w:start w:sz="10" w:val="single"/>
              <w:top w:sz="10" w:val="single"/>
              <w:end w:sz="10" w:val="single"/>
              <w:bottom w:sz="10" w:val="single"/>
              <w:insideV w:sz="10" w:val="single"/>
            </w:tcBorders>
            <w:vAlign w:val="top"/>
          </w:tcPr>
          <w:p>
            <w:pPr>
              <w:spacing w:before="0" w:after="0" w:line="240" w:lineRule="auto"/>
              <w:jc w:val="center"/>
            </w:pPr>
            <w:r>
              <w:rPr>
                <w:rFonts w:ascii="宋体" w:hAnsi="宋体" w:eastAsia="宋体" w:cs="宋体"/>
                <w:b w:val="0"/>
                <w:i w:val="0"/>
                <w:sz w:val="18"/>
              </w:rPr>
              <w:t>截至2025年底，2025年全年共计发放国家奖学金20人，国家励志奖学金376人、国家助学金7368人、国家退役士兵助学金学费补助191人，项目总支出金额1670.30万元，基本实现有效减轻学生家庭负担，有效提高学生成长成才的效果。</w:t>
            </w:r>
          </w:p>
        </w:tc>
      </w:tr>
      <w:tr>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519"/>
            <w:gridSpan w:val="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年度指标值</w:t>
            </w:r>
          </w:p>
        </w:tc>
        <w:tc>
          <w:tcPr>
            <w:tcW w:type="dxa" w:w="519"/>
            <w:gridSpan w:val="2"/>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分值</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得分</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实际完成值</w:t>
            </w:r>
          </w:p>
        </w:tc>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偏差原因分析及改进措施</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完成率</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指标性质</w:t>
            </w:r>
          </w:p>
        </w:tc>
      </w:tr>
      <w:tr>
        <w:trPr>
          <w:trHeight w:val="345"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gridSpan w:val="3"/>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r>
      <w:tr>
        <w:trPr>
          <w:trHeight w:val="580" w:hRule="atLeast"/>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年度绩效指标完成情况</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国家励志奖学金资助学生人数</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&gt;=360人</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=376人</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国家助学金资助学生人数</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&gt;=4128人</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=7368人</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年初设立国家助学金资助学生人数目标时只预计了2025年春季国家助学金资助学生人数，未考虑助学金秋季资助学生人数，造成偏差率较大。</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178.49</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国家励志奖学金资金使用合格率</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国家助学金资金使用合格率</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奖助学金及时发放率</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有效激励学生成长</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有效激励</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基本达成目标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定性</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受助学生满意度</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=97.82%</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499" w:hRule="atLeast"/>
        </w:trPr>
        <w:tc>
          <w:tcPr>
            <w:tcW w:type="dxa" w:w="519"/>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总分</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p>
      <w:pPr>
        <w:sectPr>
          <w:type w:val="continuous"/>
          <w:pgSz w:w="11906" w:h="16838"/>
          <w:pgMar w:top="1440" w:right="1800" w:bottom="1440" w:left="1800" w:header="851" w:footer="992" w:gutter="0"/>
          <w:cols w:space="720" w:num="1"/>
          <w:docGrid w:type="lines" w:linePitch="312" w:charSpace="0"/>
        </w:sectPr>
      </w:pPr>
    </w:p>
    <w:p>
      <w:pPr>
        <w:spacing w:line="640" w:lineRule="exact"/>
        <w:ind w:firstLine="640"/>
        <w:jc w:val="both"/>
        <w:outlineLvl w:val="2"/>
      </w:pPr>
      <w:r>
        <w:rPr>
          <w:rFonts w:ascii="黑体" w:hAnsi="黑体" w:eastAsia="黑体"/>
          <w:sz w:val="32"/>
        </w:rPr>
        <w:t>十二、其他需说明的事项</w:t>
      </w:r>
    </w:p>
    <w:p>
      <w:pPr>
        <w:spacing w:line="580" w:lineRule="exact"/>
        <w:ind w:firstLine="640"/>
        <w:jc w:val="both"/>
      </w:pPr>
      <w:r>
        <w:rPr>
          <w:rFonts w:ascii="仿宋_GB2312" w:hAnsi="仿宋_GB2312" w:eastAsia="仿宋_GB2312"/>
          <w:b w:val="0"/>
          <w:sz w:val="32"/>
        </w:rPr>
        <w:t>本部门无其他需说明的事项。</w:t>
      </w:r>
    </w:p>
    <w:p>
      <w:r>
        <w:br w:type="page"/>
      </w:r>
    </w:p>
    <w:p>
      <w:pPr>
        <w:spacing w:lineRule="exact" w:line="600"/>
        <w:jc w:val="center"/>
        <w:outlineLvl w:val="0"/>
      </w:pPr>
      <w:r>
        <w:rPr>
          <w:rFonts w:ascii="黑体" w:hAnsi="黑体" w:eastAsia="黑体"/>
          <w:sz w:val="32"/>
        </w:rPr>
        <w:t>第三部分 专业名词解释</w:t>
      </w:r>
    </w:p>
    <w:p>
      <w:pPr>
        <w:spacing w:lineRule="exact" w:line="600"/>
        <w:ind w:firstLine="643" w:firstLineChars="200"/>
        <w:autoSpaceDE w:val="0"/>
        <w:autoSpaceDN w:val="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pPr>
        <w:spacing w:lineRule="exact" w:line="600"/>
        <w:ind w:firstLine="643" w:firstLineChars="200"/>
        <w:autoSpaceDE w:val="0"/>
        <w:autoSpaceDN w:val="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pPr>
        <w:spacing w:lineRule="exact" w:line="600"/>
        <w:ind w:firstLine="643" w:firstLineChars="200"/>
        <w:autoSpaceDE w:val="0"/>
        <w:autoSpaceDN w:val="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pPr>
        <w:spacing w:lineRule="exact" w:line="600"/>
        <w:ind w:firstLine="643" w:firstLineChars="200"/>
        <w:autoSpaceDE w:val="0"/>
        <w:autoSpaceDN w:val="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pPr>
        <w:spacing w:lineRule="exact" w:line="600"/>
        <w:ind w:firstLine="643" w:firstLineChars="200"/>
        <w:autoSpaceDE w:val="0"/>
        <w:autoSpaceDN w:val="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pPr>
        <w:spacing w:lineRule="exact" w:line="600"/>
        <w:ind w:firstLine="643" w:firstLineChars="200"/>
        <w:autoSpaceDE w:val="0"/>
        <w:autoSpaceDN w:val="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pPr>
        <w:spacing w:lineRule="exact" w:line="600"/>
        <w:ind w:firstLine="643" w:firstLineChars="200"/>
        <w:autoSpaceDE w:val="0"/>
        <w:autoSpaceDN w:val="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pPr>
        <w:spacing w:lineRule="exact" w:line="600"/>
        <w:ind w:firstLine="643" w:firstLineChars="200"/>
        <w:autoSpaceDE w:val="0"/>
        <w:autoSpaceDN w:val="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pPr>
        <w:spacing w:lineRule="exact" w:line="600"/>
        <w:ind w:firstLine="643" w:firstLineChars="200"/>
        <w:autoSpaceDE w:val="0"/>
        <w:autoSpaceDN w:val="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pPr>
        <w:spacing w:lineRule="exact" w:line="600"/>
        <w:ind w:firstLine="643" w:firstLineChars="200"/>
        <w:autoSpaceDE w:val="0"/>
        <w:autoSpaceDN w:val="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pPr>
        <w:spacing w:lineRule="exact" w:line="600"/>
        <w:ind w:firstLine="643" w:firstLineChars="200"/>
        <w:autoSpaceDE w:val="0"/>
        <w:autoSpaceDN w:val="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pPr>
        <w:spacing w:lineRule="exact" w:line="600"/>
        <w:ind w:firstLine="643" w:firstLineChars="200"/>
        <w:autoSpaceDE w:val="0"/>
        <w:autoSpaceDN w:val="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pPr>
        <w:spacing w:lineRule="exact" w:line="600"/>
        <w:ind w:firstLine="643" w:firstLineChars="200"/>
        <w:autoSpaceDE w:val="0"/>
        <w:autoSpaceDN w:val="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pPr>
        <w:spacing w:lineRule="exact" w:line="600"/>
        <w:ind w:firstLine="643" w:firstLineChars="200"/>
        <w:autoSpaceDE w:val="0"/>
        <w:autoSpaceDN w:val="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pPr>
        <w:spacing w:lineRule="exact" w:line="600"/>
        <w:ind w:firstLine="643" w:firstLineChars="200"/>
        <w:autoSpaceDE w:val="0"/>
        <w:autoSpaceDN w:val="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r>
        <w:br w:type="page"/>
      </w:r>
    </w:p>
    <w:p>
      <w:pPr>
        <w:spacing w:line="240" w:lineRule="auto"/>
        <w:jc w:val="center"/>
        <w:outlineLvl w:val="1"/>
      </w:pPr>
      <w:r>
        <w:rPr>
          <w:rFonts w:ascii="黑体" w:hAnsi="黑体" w:eastAsia="黑体"/>
          <w:sz w:val="32"/>
        </w:rPr>
        <w:t>第四部分 部门决算报表（见附表）</w:t>
      </w:r>
    </w:p>
    <w:p>
      <w:pPr>
        <w:spacing w:lineRule="exact" w:line="600"/>
        <w:ind w:firstLine="643" w:firstLineChars="200"/>
        <w:autoSpaceDE w:val="0"/>
        <w:autoSpaceDN w:val="0"/>
      </w:pPr>
      <w:r>
        <w:rPr>
          <w:rFonts w:ascii="仿宋_GB2312" w:hAnsi="仿宋_GB2312" w:eastAsia="仿宋_GB2312"/>
          <w:b w:val="0"/>
          <w:sz w:val="32"/>
        </w:rPr>
        <w:t>一、《收入支出决算总表》</w:t>
      </w:r>
    </w:p>
    <w:p>
      <w:pPr>
        <w:spacing w:lineRule="exact" w:line="600"/>
        <w:ind w:firstLine="643" w:firstLineChars="200"/>
        <w:autoSpaceDE w:val="0"/>
        <w:autoSpaceDN w:val="0"/>
      </w:pPr>
      <w:r>
        <w:rPr>
          <w:rFonts w:ascii="仿宋_GB2312" w:hAnsi="仿宋_GB2312" w:eastAsia="仿宋_GB2312"/>
          <w:b w:val="0"/>
          <w:sz w:val="32"/>
        </w:rPr>
        <w:t>二、《收入决算表》</w:t>
      </w:r>
    </w:p>
    <w:p>
      <w:pPr>
        <w:spacing w:lineRule="exact" w:line="600"/>
        <w:ind w:firstLine="643" w:firstLineChars="200"/>
        <w:autoSpaceDE w:val="0"/>
        <w:autoSpaceDN w:val="0"/>
      </w:pPr>
      <w:r>
        <w:rPr>
          <w:rFonts w:ascii="仿宋_GB2312" w:hAnsi="仿宋_GB2312" w:eastAsia="仿宋_GB2312"/>
          <w:b w:val="0"/>
          <w:sz w:val="32"/>
        </w:rPr>
        <w:t>三、《支出决算表》</w:t>
      </w:r>
    </w:p>
    <w:p>
      <w:pPr>
        <w:spacing w:lineRule="exact" w:line="600"/>
        <w:ind w:firstLine="643" w:firstLineChars="200"/>
        <w:autoSpaceDE w:val="0"/>
        <w:autoSpaceDN w:val="0"/>
      </w:pPr>
      <w:r>
        <w:rPr>
          <w:rFonts w:ascii="仿宋_GB2312" w:hAnsi="仿宋_GB2312" w:eastAsia="仿宋_GB2312"/>
          <w:b w:val="0"/>
          <w:sz w:val="32"/>
        </w:rPr>
        <w:t>四、《财政拨款收入支出决算总表》</w:t>
      </w:r>
    </w:p>
    <w:p>
      <w:pPr>
        <w:spacing w:lineRule="exact" w:line="600"/>
        <w:ind w:firstLine="643" w:firstLineChars="200"/>
        <w:autoSpaceDE w:val="0"/>
        <w:autoSpaceDN w:val="0"/>
      </w:pPr>
      <w:r>
        <w:rPr>
          <w:rFonts w:ascii="仿宋_GB2312" w:hAnsi="仿宋_GB2312" w:eastAsia="仿宋_GB2312"/>
          <w:b w:val="0"/>
          <w:sz w:val="32"/>
        </w:rPr>
        <w:t>五、《一般公共预算财政拨款支出决算表》</w:t>
      </w:r>
    </w:p>
    <w:p>
      <w:pPr>
        <w:spacing w:lineRule="exact" w:line="600"/>
        <w:ind w:firstLine="643" w:firstLineChars="200"/>
        <w:autoSpaceDE w:val="0"/>
        <w:autoSpaceDN w:val="0"/>
      </w:pPr>
      <w:r>
        <w:rPr>
          <w:rFonts w:ascii="仿宋_GB2312" w:hAnsi="仿宋_GB2312" w:eastAsia="仿宋_GB2312"/>
          <w:b w:val="0"/>
          <w:sz w:val="32"/>
        </w:rPr>
        <w:t>六、《一般公共预算财政拨款基本支出决算表》</w:t>
      </w:r>
    </w:p>
    <w:p>
      <w:pPr>
        <w:spacing w:lineRule="exact" w:line="600"/>
        <w:ind w:firstLine="643" w:firstLineChars="200"/>
        <w:autoSpaceDE w:val="0"/>
        <w:autoSpaceDN w:val="0"/>
      </w:pPr>
      <w:r>
        <w:rPr>
          <w:rFonts w:ascii="仿宋_GB2312" w:hAnsi="仿宋_GB2312" w:eastAsia="仿宋_GB2312"/>
          <w:b w:val="0"/>
          <w:sz w:val="32"/>
        </w:rPr>
        <w:t>七、《政府性基金预算财政拨款收入支出决算表》</w:t>
      </w:r>
    </w:p>
    <w:p>
      <w:pPr>
        <w:spacing w:lineRule="exact" w:line="600"/>
        <w:ind w:firstLine="643" w:firstLineChars="200"/>
        <w:autoSpaceDE w:val="0"/>
        <w:autoSpaceDN w:val="0"/>
      </w:pPr>
      <w:r>
        <w:rPr>
          <w:rFonts w:ascii="仿宋_GB2312" w:hAnsi="仿宋_GB2312" w:eastAsia="仿宋_GB2312"/>
          <w:b w:val="0"/>
          <w:sz w:val="32"/>
        </w:rPr>
        <w:t>八、《国有资本经营预算财政拨款收入支出决算表》</w:t>
      </w:r>
    </w:p>
    <w:p>
      <w:pPr>
        <w:spacing w:lineRule="exact" w:line="600"/>
        <w:ind w:firstLine="643" w:firstLineChars="200"/>
        <w:autoSpaceDE w:val="0"/>
        <w:autoSpaceDN w:val="0"/>
      </w:pPr>
      <w:r>
        <w:rPr>
          <w:rFonts w:ascii="仿宋_GB2312" w:hAnsi="仿宋_GB2312" w:eastAsia="仿宋_GB2312"/>
          <w:b w:val="0"/>
          <w:sz w:val="32"/>
        </w:rPr>
        <w:t>九、《财政拨款“三公”经费支出决算表》</w:t>
      </w: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A382358-5FB0-4BFB-AA9D-340FD89383C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0000000000000000000"/>
    <w:charset w:val="86"/>
    <w:family w:val="script"/>
    <w:pitch w:val="default"/>
    <w:sig w:usb0="00000000" w:usb1="00000000" w:usb2="00082016" w:usb3="00000000" w:csb0="00040001" w:csb1="00000000"/>
    <w:embedRegular r:id="rId2" w:fontKey="{B0E6D792-6E8F-4F84-99FA-9970FA3A7C22}"/>
  </w:font>
  <w:font w:name="仿宋_GB2312">
    <w:altName w:val="微软雅黑"/>
    <w:panose1 w:val="02010609030101010101"/>
    <w:charset w:val="86"/>
    <w:family w:val="modern"/>
    <w:pitch w:val="default"/>
    <w:sig w:usb0="00000001" w:usb1="080E0000" w:usb2="00000000" w:usb3="00000000" w:csb0="00040000" w:csb1="00000000"/>
    <w:embedRegular r:id="rId3" w:fontKey="{45C515A8-30E2-40B7-BB08-E73601327DDD}"/>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3</Pages>
  <Words>519</Words>
  <Characters>537</Characters>
  <Lines>10</Lines>
  <Paragraphs>2</Paragraphs>
  <TotalTime>7</TotalTime>
  <ScaleCrop>false</ScaleCrop>
  <LinksUpToDate>false</LinksUpToDate>
  <CharactersWithSpaces>543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净</cp:lastModifiedBy>
  <cp:lastPrinted>2024-07-22T11:58:00Z</cp:lastPrinted>
  <dcterms:modified xsi:type="dcterms:W3CDTF">2026-08-25T03:09:34Z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8FDA567F26D84A8C8A1B02E29FDE1AE6_13</vt:lpwstr>
  </property>
  <property fmtid="{D5CDD505-2E9C-101B-9397-08002B2CF9AE}" pid="4" name="KSOTemplateDocerSaveRecord">
    <vt:lpwstr>eyJoZGlkIjoiYzdkNWY5OGM4OTRiMDBlYmMyNmZmZGZhMDgxMzY1MzQiLCJ1c2VySWQiOiI0MDU5MTQxNzUifQ==</vt:lpwstr>
  </property>
</Properties>
</file>