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乌鲁木齐市委老干部局</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部门概况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部门概况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一）负责指导全市离退休干部政治建设、思想建设和党组织建设，组织引导离退休干部在贯彻以习近平同志为核心的党中央治疆方略、特别是社会稳定和长治久安总目标中发挥作用，为党和人民事业增添正能量。</w:t>
      </w:r>
    </w:p>
    <w:p>
      <w:pPr>
        <w:spacing w:line="580" w:lineRule="exact"/>
        <w:ind w:firstLine="640"/>
        <w:jc w:val="both"/>
      </w:pPr>
      <w:r>
        <w:rPr>
          <w:rFonts w:ascii="仿宋_GB2312" w:hAnsi="仿宋_GB2312" w:eastAsia="仿宋_GB2312"/>
          <w:sz w:val="32"/>
        </w:rPr>
        <w:t>（二）组织开展全市离退休干部工作调查研究，制定全市离退休干部工作的具体意见和措施。</w:t>
      </w:r>
    </w:p>
    <w:p>
      <w:pPr>
        <w:spacing w:line="580" w:lineRule="exact"/>
        <w:ind w:firstLine="640"/>
        <w:jc w:val="both"/>
      </w:pPr>
      <w:r>
        <w:rPr>
          <w:rFonts w:ascii="仿宋_GB2312" w:hAnsi="仿宋_GB2312" w:eastAsia="仿宋_GB2312"/>
          <w:sz w:val="32"/>
        </w:rPr>
        <w:t>（三）负责全市离退休干部工作政策业务的指导和检查工作，并办理相关业务，督促有关部门落实离退休干部政治待遇和生活待遇。</w:t>
      </w:r>
    </w:p>
    <w:p>
      <w:pPr>
        <w:spacing w:line="580" w:lineRule="exact"/>
        <w:ind w:firstLine="640"/>
        <w:jc w:val="both"/>
      </w:pPr>
      <w:r>
        <w:rPr>
          <w:rFonts w:ascii="仿宋_GB2312" w:hAnsi="仿宋_GB2312" w:eastAsia="仿宋_GB2312"/>
          <w:sz w:val="32"/>
        </w:rPr>
        <w:t>（四）负责推动全市离退休干部工作精准化、信息化建设；指导全市老干部工作部门自身建设。</w:t>
      </w:r>
    </w:p>
    <w:p>
      <w:pPr>
        <w:spacing w:line="580" w:lineRule="exact"/>
        <w:ind w:firstLine="640"/>
        <w:jc w:val="both"/>
      </w:pPr>
      <w:r>
        <w:rPr>
          <w:rFonts w:ascii="仿宋_GB2312" w:hAnsi="仿宋_GB2312" w:eastAsia="仿宋_GB2312"/>
          <w:sz w:val="32"/>
        </w:rPr>
        <w:t>（五）组织协调开展离退休干部各项活动；严格管理、合理使用离退休干部各项专用经费。</w:t>
      </w:r>
    </w:p>
    <w:p>
      <w:pPr>
        <w:spacing w:line="580" w:lineRule="exact"/>
        <w:ind w:firstLine="640"/>
        <w:jc w:val="both"/>
      </w:pPr>
      <w:r>
        <w:rPr>
          <w:rFonts w:ascii="仿宋_GB2312" w:hAnsi="仿宋_GB2312" w:eastAsia="仿宋_GB2312"/>
          <w:sz w:val="32"/>
        </w:rPr>
        <w:t>（六）负责宣传党的离退休干部工作方针政策。</w:t>
      </w:r>
    </w:p>
    <w:p>
      <w:pPr>
        <w:spacing w:line="580" w:lineRule="exact"/>
        <w:ind w:firstLine="640"/>
        <w:jc w:val="both"/>
      </w:pPr>
      <w:r>
        <w:rPr>
          <w:rFonts w:ascii="仿宋_GB2312" w:hAnsi="仿宋_GB2312" w:eastAsia="仿宋_GB2312"/>
          <w:sz w:val="32"/>
        </w:rPr>
        <w:t>（七）承办市委交办的其他事项。</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从部门决算单位构成看，乌鲁木齐市委老干部局部门决算包括：乌鲁木齐市委老干部局（本级）决算及所属单位决算。</w:t>
      </w:r>
    </w:p>
    <w:p>
      <w:pPr>
        <w:spacing w:line="580" w:lineRule="exact"/>
        <w:ind w:firstLine="640"/>
        <w:jc w:val="both"/>
      </w:pPr>
      <w:r>
        <w:rPr>
          <w:rFonts w:ascii="仿宋_GB2312" w:hAnsi="仿宋_GB2312" w:eastAsia="仿宋_GB2312"/>
          <w:sz w:val="32"/>
        </w:rPr>
        <w:t>纳入乌鲁木齐市委老干部局2025年度部门决算编制范围的下属预算单位包括：</w:t>
      </w:r>
    </w:p>
    <w:p>
      <w:pPr>
        <w:spacing w:line="580" w:lineRule="exact"/>
        <w:ind w:firstLine="640"/>
        <w:jc w:val="both"/>
      </w:pPr>
      <w:r>
        <w:rPr>
          <w:rFonts w:ascii="仿宋_GB2312" w:hAnsi="仿宋_GB2312" w:eastAsia="仿宋_GB2312"/>
          <w:sz w:val="32"/>
        </w:rPr>
        <w:t>1.乌鲁木齐市委老干部局（本级）</w:t>
      </w:r>
    </w:p>
    <w:p>
      <w:pPr>
        <w:spacing w:line="580" w:lineRule="exact"/>
        <w:ind w:firstLine="640"/>
        <w:jc w:val="both"/>
      </w:pPr>
      <w:r>
        <w:rPr>
          <w:rFonts w:ascii="仿宋_GB2312" w:hAnsi="仿宋_GB2312" w:eastAsia="仿宋_GB2312"/>
          <w:sz w:val="32"/>
        </w:rPr>
        <w:t>2.乌鲁木齐市老干部活动中心</w:t>
      </w:r>
    </w:p>
    <w:p>
      <w:pPr>
        <w:spacing w:line="580" w:lineRule="exact"/>
        <w:ind w:firstLine="640"/>
        <w:jc w:val="both"/>
      </w:pPr>
      <w:r>
        <w:rPr>
          <w:rFonts w:ascii="仿宋_GB2312" w:hAnsi="仿宋_GB2312" w:eastAsia="仿宋_GB2312"/>
          <w:sz w:val="32"/>
        </w:rPr>
        <w:t>3.乌鲁木齐市老干部休养所</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2025年度收入总计1,799.08万元，</w:t>
      </w:r>
      <w:r>
        <w:rPr>
          <w:rFonts w:ascii="仿宋_GB2312" w:hAnsi="仿宋_GB2312" w:eastAsia="仿宋_GB2312"/>
          <w:b w:val="0"/>
          <w:sz w:val="32"/>
        </w:rPr>
        <w:t>其中：本年收入合计1,799.08万元，使用非财政拨款结余（含专用结余）0.00万元，年初结转和结余0.00万元。</w:t>
      </w:r>
    </w:p>
    <w:p>
      <w:pPr>
        <w:spacing w:line="580" w:lineRule="exact"/>
        <w:ind w:firstLine="640"/>
        <w:jc w:val="both"/>
      </w:pPr>
      <w:r>
        <w:rPr>
          <w:rFonts w:ascii="仿宋_GB2312" w:hAnsi="仿宋_GB2312" w:eastAsia="仿宋_GB2312"/>
          <w:b/>
          <w:sz w:val="32"/>
        </w:rPr>
        <w:t>2025年度支出总计1,799.08万元，</w:t>
      </w:r>
      <w:r>
        <w:rPr>
          <w:rFonts w:ascii="仿宋_GB2312" w:hAnsi="仿宋_GB2312" w:eastAsia="仿宋_GB2312"/>
          <w:b w:val="0"/>
          <w:sz w:val="32"/>
        </w:rPr>
        <w:t>其中：本年支出合计1,799.08万元，结余分配0.00万元，年末结转和结余0.00万元。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减少300.51万元，下降14.31%，主要原因是：本年离休干部及地市级项目资金以及收回项目市属改制破产企业离休人员管理活动费较上年减少。</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本年收入1,799.08万元，</w:t>
      </w:r>
      <w:r>
        <w:rPr>
          <w:rFonts w:ascii="仿宋_GB2312" w:hAnsi="仿宋_GB2312" w:eastAsia="仿宋_GB2312"/>
          <w:b w:val="0"/>
          <w:sz w:val="32"/>
        </w:rPr>
        <w:t>其中：财政拨款收入1,799.08万元，占100.00%；上级补助收入0.00万元，占0.00%；事业收入0.00万元，占0.00%；经营收入0.00万元，占0.00%；附属单位上缴收入0.00万元，占0.00%；其他收入0.00万元，占0.00%。</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本年支出1,799.08万元，</w:t>
      </w:r>
      <w:r>
        <w:rPr>
          <w:rFonts w:ascii="仿宋_GB2312" w:hAnsi="仿宋_GB2312" w:eastAsia="仿宋_GB2312"/>
          <w:b w:val="0"/>
          <w:sz w:val="32"/>
        </w:rPr>
        <w:t>其中：基本支出927.99万元，占51.58%；项目支出871.09万元，占48.42%；上缴上级支出0.00万元，占0.00%；经营支出0.00万元，占0.00%；对附属单位补助支出0.00万元，占0.00%。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2025年度财政拨款收入总计1,799.08万元，</w:t>
      </w:r>
      <w:r>
        <w:rPr>
          <w:rFonts w:ascii="仿宋_GB2312" w:hAnsi="仿宋_GB2312" w:eastAsia="仿宋_GB2312"/>
          <w:b w:val="0"/>
          <w:sz w:val="32"/>
        </w:rPr>
        <w:t>其中：年初财政拨款结转和结余0.00万元，本年财政拨款收入1,799.08万元。</w:t>
      </w:r>
      <w:r>
        <w:rPr>
          <w:rFonts w:ascii="仿宋_GB2312" w:hAnsi="仿宋_GB2312" w:eastAsia="仿宋_GB2312"/>
          <w:b/>
          <w:sz w:val="32"/>
        </w:rPr>
        <w:t>财政拨款支出总计1,799.08万元，</w:t>
      </w:r>
      <w:r>
        <w:rPr>
          <w:rFonts w:ascii="仿宋_GB2312" w:hAnsi="仿宋_GB2312" w:eastAsia="仿宋_GB2312"/>
          <w:b w:val="0"/>
          <w:sz w:val="32"/>
        </w:rPr>
        <w:t>其中：年末财政拨款结转和结余0.00万元，本年财政拨款支出1,799.08万元。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减少295.51万元，下降14.11%，主要原因是：本年离休干部及地市级项目资金以及收回项目市属改制破产企业离休人员管理活动费较上年减少。</w:t>
      </w:r>
      <w:r>
        <w:rPr>
          <w:rFonts w:ascii="仿宋_GB2312" w:hAnsi="仿宋_GB2312" w:eastAsia="仿宋_GB2312"/>
          <w:b/>
          <w:sz w:val="32"/>
        </w:rPr>
        <w:t>与年初预算相比，</w:t>
      </w:r>
      <w:r>
        <w:rPr>
          <w:rFonts w:ascii="仿宋_GB2312" w:hAnsi="仿宋_GB2312" w:eastAsia="仿宋_GB2312"/>
          <w:b w:val="0"/>
          <w:sz w:val="32"/>
        </w:rPr>
        <w:t>年初预算数1,940.87万元，决算数1,799.08万元，预决算差异率-7.31%，主要原因是：本年市属改制破产企业离休人员人数减少，年中调减经费，导致预决算存在差异。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等重点支出，体现在有关支出科目中。</w:t>
      </w:r>
    </w:p>
    <w:p>
      <w:pPr>
        <w:spacing w:line="580" w:lineRule="exact"/>
        <w:ind w:firstLine="640"/>
        <w:jc w:val="both"/>
      </w:pPr>
      <w:r>
        <w:rPr>
          <w:rFonts w:ascii="仿宋_GB2312" w:hAnsi="仿宋_GB2312" w:eastAsia="仿宋_GB2312"/>
          <w:b w:val="0"/>
          <w:sz w:val="32"/>
        </w:rPr>
        <w:t>按照支出功能分类，一般公共服务支出（类）其他共产党事务支出（款）行政运行（项）的支出占本年财政拨款支出总额的比重最高，2025年度决算数为745.18万元，占比41.42%，主要用于人员工资福利。</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2025年度一般公共预算财政拨款支出1,799.08万元，</w:t>
      </w:r>
      <w:r>
        <w:rPr>
          <w:rFonts w:ascii="仿宋_GB2312" w:hAnsi="仿宋_GB2312" w:eastAsia="仿宋_GB2312"/>
          <w:b w:val="0"/>
          <w:sz w:val="32"/>
        </w:rPr>
        <w:t>占本年支出合计的100.00%。</w:t>
      </w:r>
      <w:r>
        <w:rPr>
          <w:rFonts w:ascii="仿宋_GB2312" w:hAnsi="仿宋_GB2312" w:eastAsia="仿宋_GB2312"/>
          <w:b/>
          <w:sz w:val="32"/>
        </w:rPr>
        <w:t>与上年相比，</w:t>
      </w:r>
      <w:r>
        <w:rPr>
          <w:rFonts w:ascii="仿宋_GB2312" w:hAnsi="仿宋_GB2312" w:eastAsia="仿宋_GB2312"/>
          <w:b w:val="0"/>
          <w:sz w:val="32"/>
        </w:rPr>
        <w:t>减少295.51万元，下降14.11%，主要原因是：本年离休干部及地市级项目资金以及收回项目市属改制破产企业离休人员管理活动费较上年减少。</w:t>
      </w:r>
      <w:r>
        <w:rPr>
          <w:rFonts w:ascii="仿宋_GB2312" w:hAnsi="仿宋_GB2312" w:eastAsia="仿宋_GB2312"/>
          <w:b/>
          <w:sz w:val="32"/>
        </w:rPr>
        <w:t>与年初预算相比，</w:t>
      </w:r>
      <w:r>
        <w:rPr>
          <w:rFonts w:ascii="仿宋_GB2312" w:hAnsi="仿宋_GB2312" w:eastAsia="仿宋_GB2312"/>
          <w:b w:val="0"/>
          <w:sz w:val="32"/>
        </w:rPr>
        <w:t>年初预算数1,940.87万元，决算数1,799.08万元，预决算差异率-7.31%，主要原因是：本年市属改制破产企业离休人员人数减少，年中调减经费，导致预决算存在差异。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1.一般公共服务支出（类）965.56万元，占53.67%。</w:t>
      </w:r>
    </w:p>
    <w:p>
      <w:pPr>
        <w:spacing w:line="580" w:lineRule="exact"/>
        <w:ind w:firstLine="640"/>
        <w:jc w:val="both"/>
      </w:pPr>
      <w:r>
        <w:rPr>
          <w:rFonts w:ascii="仿宋_GB2312" w:hAnsi="仿宋_GB2312" w:eastAsia="仿宋_GB2312"/>
          <w:b w:val="0"/>
          <w:sz w:val="32"/>
        </w:rPr>
        <w:t>2.社会保障和就业支出（类）833.52万元，占46.33%。</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一般公共服务支出（类）财政事务（款）行政运行（项）：支出决算数为6.58万元，比上年决算增加6.58万元，增长100.00%，主要原因是：本年新增人员及在职人员职务职级晋升经费在此科目支出，导致经费较上年增加。</w:t>
      </w:r>
    </w:p>
    <w:p>
      <w:pPr>
        <w:spacing w:line="580" w:lineRule="exact"/>
        <w:ind w:firstLine="640"/>
        <w:jc w:val="both"/>
      </w:pPr>
      <w:r>
        <w:rPr>
          <w:rFonts w:ascii="仿宋_GB2312" w:hAnsi="仿宋_GB2312" w:eastAsia="仿宋_GB2312"/>
          <w:b w:val="0"/>
          <w:sz w:val="32"/>
        </w:rPr>
        <w:t>2.一般公共服务支出（类）其他共产党事务支出（款）行政运行（项）：支出决算数为745.18万元，比上年决算增加31.99万元，增长4.49%，主要原因是：本年局本级新增在职人员，人员经费增加，导致经费较上年有所增加。</w:t>
      </w:r>
    </w:p>
    <w:p>
      <w:pPr>
        <w:spacing w:line="580" w:lineRule="exact"/>
        <w:ind w:firstLine="640"/>
        <w:jc w:val="both"/>
      </w:pPr>
      <w:r>
        <w:rPr>
          <w:rFonts w:ascii="仿宋_GB2312" w:hAnsi="仿宋_GB2312" w:eastAsia="仿宋_GB2312"/>
          <w:b w:val="0"/>
          <w:sz w:val="32"/>
        </w:rPr>
        <w:t>3.一般公共服务支出（类）其他共产党事务支出（款）一般行政管理事务（项）：支出决算数为146.14万元，比上年决算减少15.12万元，下降9.38%，主要原因是：老干部及遗孀人数减少，导致经费较上年有所减少。</w:t>
      </w:r>
    </w:p>
    <w:p>
      <w:pPr>
        <w:spacing w:line="580" w:lineRule="exact"/>
        <w:ind w:firstLine="640"/>
        <w:jc w:val="both"/>
      </w:pPr>
      <w:r>
        <w:rPr>
          <w:rFonts w:ascii="仿宋_GB2312" w:hAnsi="仿宋_GB2312" w:eastAsia="仿宋_GB2312"/>
          <w:b w:val="0"/>
          <w:sz w:val="32"/>
        </w:rPr>
        <w:t>4.一般公共服务支出（类）其他共产党事务支出（款）其他共产党事务支出（项）：支出决算数为67.65万元，比上年决算减少1.05万元，下降1.53%，主要原因是：本年维修维护费减少，导致经费较上年有所减少。</w:t>
      </w:r>
    </w:p>
    <w:p>
      <w:pPr>
        <w:spacing w:line="580" w:lineRule="exact"/>
        <w:ind w:firstLine="640"/>
        <w:jc w:val="both"/>
      </w:pPr>
      <w:r>
        <w:rPr>
          <w:rFonts w:ascii="仿宋_GB2312" w:hAnsi="仿宋_GB2312" w:eastAsia="仿宋_GB2312"/>
          <w:b w:val="0"/>
          <w:sz w:val="32"/>
        </w:rPr>
        <w:t>5.科学技术支出（类）其他科学技术支出（款）其他科学技术支出（项）：支出决算数为0.00万元，比上年决算减少1.47万元，下降100.00%，主要原因是：本年减少专用设备购置费。</w:t>
      </w:r>
    </w:p>
    <w:p>
      <w:pPr>
        <w:spacing w:line="580" w:lineRule="exact"/>
        <w:ind w:firstLine="640"/>
        <w:jc w:val="both"/>
      </w:pPr>
      <w:r>
        <w:rPr>
          <w:rFonts w:ascii="仿宋_GB2312" w:hAnsi="仿宋_GB2312" w:eastAsia="仿宋_GB2312"/>
          <w:b w:val="0"/>
          <w:sz w:val="32"/>
        </w:rPr>
        <w:t>6.社会保障和就业支出（类）行政事业单位养老支出（款）行政单位离退休（项）：支出决算数为81.03万元，比上年决算增加16.18万元，增长24.95%，主要原因是：本年退休人员增加，退休费支出增加。</w:t>
      </w:r>
    </w:p>
    <w:p>
      <w:pPr>
        <w:spacing w:line="580" w:lineRule="exact"/>
        <w:ind w:firstLine="640"/>
        <w:jc w:val="both"/>
      </w:pPr>
      <w:r>
        <w:rPr>
          <w:rFonts w:ascii="仿宋_GB2312" w:hAnsi="仿宋_GB2312" w:eastAsia="仿宋_GB2312"/>
          <w:b w:val="0"/>
          <w:sz w:val="32"/>
        </w:rPr>
        <w:t>7.社会保障和就业支出（类）行政事业单位养老支出（款）机关事业单位基本养老保险缴费支出（项）：支出决算数为72.89万元，比上年决算减少3.81万元，下降4.97%，主要原因是：本年在职人员调入调出，人员职级不同，缴费基数不同，导致养老保险缴费较上年减少。</w:t>
      </w:r>
    </w:p>
    <w:p>
      <w:pPr>
        <w:spacing w:line="580" w:lineRule="exact"/>
        <w:ind w:firstLine="640"/>
        <w:jc w:val="both"/>
      </w:pPr>
      <w:r>
        <w:rPr>
          <w:rFonts w:ascii="仿宋_GB2312" w:hAnsi="仿宋_GB2312" w:eastAsia="仿宋_GB2312"/>
          <w:b w:val="0"/>
          <w:sz w:val="32"/>
        </w:rPr>
        <w:t>8.社会保障和就业支出（类）行政事业单位养老支出（款）机关事业单位职业年金缴费支出（项）：支出决算数为22.31万元，比上年决算减少27.22万元，下降54.96%，主要原因是：本年新增退休人员较上年减少，职业年金缴费较上年减少。</w:t>
      </w:r>
    </w:p>
    <w:p>
      <w:pPr>
        <w:spacing w:line="580" w:lineRule="exact"/>
        <w:ind w:firstLine="640"/>
        <w:jc w:val="both"/>
      </w:pPr>
      <w:r>
        <w:rPr>
          <w:rFonts w:ascii="仿宋_GB2312" w:hAnsi="仿宋_GB2312" w:eastAsia="仿宋_GB2312"/>
          <w:b w:val="0"/>
          <w:sz w:val="32"/>
        </w:rPr>
        <w:t>9.社会保障和就业支出（类）抚恤（款）死亡抚恤（项）：支出决算数为0.00万元，比上年决算减少40.29万元，下降100.00%，主要原因是：本年无死亡人员，死亡抚恤支出减少。</w:t>
      </w:r>
    </w:p>
    <w:p>
      <w:pPr>
        <w:spacing w:line="580" w:lineRule="exact"/>
        <w:ind w:firstLine="640"/>
        <w:jc w:val="both"/>
      </w:pPr>
      <w:r>
        <w:rPr>
          <w:rFonts w:ascii="仿宋_GB2312" w:hAnsi="仿宋_GB2312" w:eastAsia="仿宋_GB2312"/>
          <w:b w:val="0"/>
          <w:sz w:val="32"/>
        </w:rPr>
        <w:t>10.社会保障和就业支出（类）其他社会保障和就业支出（款）其他社会保障和就业支出（项）：支出决算数为657.30万元，比上年决算减少261.30万元，下降28.45%，主要原因是：本年市属改制破产企业离休人员减少，导致经费较上年减少。</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2025年度一般公共预算财政拨款基本支出927.99万元，其中：</w:t>
      </w:r>
      <w:r>
        <w:rPr>
          <w:rFonts w:ascii="仿宋_GB2312" w:hAnsi="仿宋_GB2312" w:eastAsia="仿宋_GB2312"/>
          <w:b/>
          <w:sz w:val="32"/>
        </w:rPr>
        <w:t>人员经费822.55万元，</w:t>
      </w:r>
      <w:r>
        <w:rPr>
          <w:rFonts w:ascii="仿宋_GB2312" w:hAnsi="仿宋_GB2312" w:eastAsia="仿宋_GB2312"/>
          <w:b w:val="0"/>
          <w:sz w:val="32"/>
        </w:rPr>
        <w:t>包括：基本工资、津贴补贴、奖金、机关事业单位基本养老保险缴费、职业年金缴费、职工基本医疗保险缴费、公务员医疗补助缴费、其他社会保障缴费、住房公积金、离休费、退休费、生活补助、医疗费补助。</w:t>
      </w:r>
    </w:p>
    <w:p>
      <w:pPr>
        <w:spacing w:line="580" w:lineRule="exact"/>
        <w:ind w:firstLine="640"/>
        <w:jc w:val="both"/>
      </w:pPr>
      <w:r>
        <w:rPr>
          <w:rFonts w:ascii="仿宋_GB2312" w:hAnsi="仿宋_GB2312" w:eastAsia="仿宋_GB2312"/>
          <w:b/>
          <w:sz w:val="32"/>
        </w:rPr>
        <w:t>公用经费105.44万元，</w:t>
      </w:r>
      <w:r>
        <w:rPr>
          <w:rFonts w:ascii="仿宋_GB2312" w:hAnsi="仿宋_GB2312" w:eastAsia="仿宋_GB2312"/>
          <w:b w:val="0"/>
          <w:sz w:val="32"/>
        </w:rPr>
        <w:t>包括：办公费、水费、电费、邮电费、取暖费、差旅费、维修（护）费、工会经费、福利费、公务用车运行维护费、其他商品和服务支出。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本部门本年度无政府性基金预算财政拨款收入、支出及结转和结余，政府性基金预算财政拨款收入支出决算表为空表。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本部门本年度无国有资本经营预算财政拨款收入、支出及结转和结余，国有资本经营预算财政拨款收入支出决算表为空表。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2025年度财政拨款“三公”经费支出16.01万元，</w:t>
      </w:r>
      <w:r>
        <w:rPr>
          <w:rFonts w:ascii="仿宋_GB2312" w:hAnsi="仿宋_GB2312" w:eastAsia="仿宋_GB2312"/>
          <w:b w:val="0"/>
          <w:sz w:val="32"/>
        </w:rPr>
        <w:t>比上年增加5.67万元，增长54.84%，主要原因是：本年因业务需求，用车次数增加，燃油费增加，导致公务用车运行维护费较上年增加。</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公务用车购置及运行维护费支出16.01万元，占100.00%，比上年增加5.67万元，增长54.84%，主要原因是：本年因业务需求，用车次数增加，燃油费增加，导致公务用车运行维护费较上年增加。</w:t>
      </w:r>
      <w:r>
        <w:rPr>
          <w:rFonts w:ascii="仿宋_GB2312" w:hAnsi="仿宋_GB2312" w:eastAsia="仿宋_GB2312"/>
          <w:b w:val="0"/>
          <w:sz w:val="32"/>
        </w:rPr>
        <w:t>公务接待费支出0.00万元，占0.00%，比上年增加0.00万元，增长0.00%，主要原因是：2024年与2025年均无公务接待费支出。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因公出国（境）费用0.00万元，开支内容包括本部门无因公出国（境）费用。部门全年安排的因公出国（境）团组0个，因公出国（境）0人次。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16.01万元，其中：公务用车购置费0.00万元，公务用车运行维护费16.01万元。公务用车运行维护费开支内容包括公务用车维修费、公务用车燃料费用、公务用车保险费用。公务用车购置数0辆，公务用车保有量11辆。国有资产占用情况中固定资产车辆11辆，与公务用车保有量差异原因是：本部门公务用车保有量与固定资产车辆一致无差异。</w:t>
      </w:r>
    </w:p>
    <w:p>
      <w:pPr>
        <w:spacing w:line="580" w:lineRule="exact"/>
        <w:ind w:firstLine="640"/>
        <w:jc w:val="both"/>
      </w:pPr>
      <w:r>
        <w:rPr>
          <w:rFonts w:ascii="仿宋_GB2312" w:hAnsi="仿宋_GB2312" w:eastAsia="仿宋_GB2312"/>
          <w:b w:val="0"/>
          <w:sz w:val="32"/>
        </w:rPr>
        <w:t>公务接待费0.00万元，开支内容包括本部门无公务接待费。部门全年安排的国内公务接待0批次，0人次。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16.01万元，决算数16.01万元，预决算差异率0.00%，主要原因是：严格按照预算执行，预决算无差异。其中：因公出国（境）费用全年预算数0.00万元，决算数0.00万元，预决算差异率0.00%，主要原因是：本部门无因公出国（境）费用。公务用车购置费全年预算数0.00万元，决算数0.00万元，预决算差异率0.00%，主要原因是：本部门无公务用车购置费。公务用车运行维护费全年预算数16.01万元，决算数16.01万元，预决算差异率0.00%，主要原因是：严格按照预算执行，预决算无差异。公务接待费全年预算数0.00万元，决算数0.00万元，预决算差异率0.00%，主要原因是：本部门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2025年度乌鲁木齐市委老干部局（行政单位和参照公务员法管理事业单位）机关运行经费支出105.44万元，比上年减少2.45万元，下降2.27%，主要原因是：本年减少差旅经费，导致机关运行经费减少。</w:t>
      </w:r>
    </w:p>
    <w:p>
      <w:pPr>
        <w:spacing w:line="580" w:lineRule="exact"/>
        <w:ind w:firstLine="640"/>
        <w:jc w:val="both"/>
      </w:pPr>
      <w:r>
        <w:rPr>
          <w:rFonts w:ascii="仿宋_GB2312" w:hAnsi="仿宋_GB2312" w:eastAsia="仿宋_GB2312"/>
          <w:b w:val="0"/>
          <w:sz w:val="32"/>
        </w:rPr>
        <w:t>2025年度乌鲁木齐市委老干部局（事业单位）公用经费支出0.00万元，比上年增加0.00万元，增长0.00%，主要原因是：2024年与2025年均无公用经费支出。</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2025年度政府采购支出总额12.72万元，其中：政府采购货物支出5.68万元、政府采购工程支出0.00万元、政府采购服务支出7.04万元。</w:t>
      </w:r>
    </w:p>
    <w:p>
      <w:pPr>
        <w:spacing w:line="580" w:lineRule="exact"/>
        <w:ind w:firstLine="640"/>
        <w:jc w:val="both"/>
      </w:pPr>
      <w:r>
        <w:rPr>
          <w:rFonts w:ascii="仿宋_GB2312" w:hAnsi="仿宋_GB2312" w:eastAsia="仿宋_GB2312"/>
          <w:b w:val="0"/>
          <w:sz w:val="32"/>
        </w:rPr>
        <w:t>授予中小企业合同金额10.37万元，占政府采购支出总额的81.53%，其中：授予小微企业合同金额10.08万元，占政府采购支出总额的79.25%。</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114.75平方米，价值2.69万元。车辆11辆，价值203.60万元，其中：副部（省）级及以上领导用车0辆、主要负责人用车0辆、机要通信用车0辆、应急保障用车0辆、执法执勤用车0辆、特种专业技术用车0辆、离退休干部服务用车0辆、其他用车11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部门2025年度预算绩效管理形成整体支出绩效自评表1个，全年预算总额1,799.08万元，实际执行总额1,799.08万元；预算绩效评价项目9个，全年预算数871.49万元，全年执行数857.59万元。预算绩效管理取得的成效：一是抓好绩效目标编制，及时报送绩效目标。二是探索绩效跟踪监控，要求加强过程监控。三是深入开展财政支出绩效评价对专项资金实施绩效自评和项目核查，在此基础上形成自评报告。四是强化评价结果应用，组织绩效自评和绩效跟踪监控，对发现的问题及时改进，加强评价结果与项目资金安排的衔接。五是健全绩效管理工作机制，明确职责分工，努力提高了绩效管理工作水平。发现的问题及原因：一是预算编制科学性的问题；二是预算编制的不合理性还表现在绩效目标设置不明确，年度目标与长期规划衔接的紧密程度需要增强。下一步改进措施：一是加强预算制定过程的科学性管理，提升预算、方案的质量；二是注重长短期目标的衔接，合理设置年度绩效指标。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355"/>
        <w:gridCol w:w="884"/>
        <w:gridCol w:w="933"/>
        <w:gridCol w:w="1957"/>
        <w:gridCol w:w="1240"/>
        <w:gridCol w:w="1483"/>
        <w:gridCol w:w="592"/>
        <w:gridCol w:w="696"/>
        <w:gridCol w:w="703"/>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乌鲁木齐市委老干部局</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得分</w:t>
            </w:r>
          </w:p>
        </w:tc>
      </w:tr>
      <w:tr>
        <w:trPr>
          <w:trHeight w:val="882"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1,940.87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1,799.08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1,799.08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10</w:t>
            </w:r>
          </w:p>
        </w:tc>
      </w:tr>
      <w:tr>
        <w:trPr>
          <w:trHeight w:val="882"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2"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1,940.87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1,799.08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1,799.08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2"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实际完成情况</w:t>
            </w:r>
          </w:p>
        </w:tc>
      </w:tr>
      <w:tr>
        <w:trPr>
          <w:trHeight w:val="1999"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负责指导全市离退休干部政治建设、思想建设和党组织建设，落实老干部政治待遇和生活待遇，组织协调开展离退休干部各项活动。
目标1：市委老干部局指导全市离退休干部党组织建设，进一步完善党建融合阵地。
目标2：市委老干部局对离退休干部在重大节日进行慰问。
目标3：市老干部休养所组织离休干部开展各项活动：每月每个节日组织老干部活动，请艺术团体等来干休所为老干部表演节目，丰富老干部的业余生活，组织老干部学党史听党课，教党课。积极组织老干部参加文体活动，各种展览、比赛和文艺联欢活动，丰富和充实老干部精神文化生活，提高生活质量。确保老干部老有所依、老有所养。
目标4：市老干部活动中心开展老干部特色培训班。"</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负责指导完成全市离退休干部政治建设、思想建设和党组织建设，全面落实了老干部政治待遇和生活待遇，组织协调开展离退休干部各项活动。1、市委老干部局指导全市离退休干部党组织建设，组织宣讲团宣讲共15场，完善党建融合阵地。2、市委老干部局对离退休干部在重大节日进行慰问2次。3、市老干部休养所组织离休干部开展各项活动共4次：请艺术团体等来干休所为老干部表演节目，丰富老干部的业余生活，组织老干部学党史听党课，教党课。积极组织老干部参加文体活动，各种展览、比赛和文艺联欢活动，丰富和充实老干部精神文化生活，提高生活质量。确保老干部老有所依、老有所养。4、市老干部活动中心开展老干部特色培训班共完成370场次。达到了预期的目标，成效明显提高，做到全心全意为老干部服务。</w:t>
            </w:r>
          </w:p>
        </w:tc>
      </w:tr>
      <w:tr>
        <w:trPr>
          <w:trHeight w:val="582"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得分</w:t>
            </w:r>
          </w:p>
        </w:tc>
      </w:tr>
      <w:tr>
        <w:trPr>
          <w:trHeight w:val="739"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组织老干部特色培训班</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&gt;=50场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市老干部活动中心2025年工作计划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370场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39"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开展重大节日慰问工作</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市委老干部局2025年工作计划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w:t>
            </w:r>
          </w:p>
        </w:tc>
      </w:tr>
      <w:tr>
        <w:trPr>
          <w:trHeight w:val="739"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老干部宣讲团宣讲</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&gt;=15场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市委老干部局2025年工作计划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39"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组织老干部活动</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市干休所2025年工作计划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614"/>
        <w:gridCol w:w="614"/>
        <w:gridCol w:w="597"/>
        <w:gridCol w:w="430"/>
        <w:gridCol w:w="451"/>
        <w:gridCol w:w="224"/>
        <w:gridCol w:w="821"/>
        <w:gridCol w:w="614"/>
        <w:gridCol w:w="558"/>
        <w:gridCol w:w="284"/>
        <w:gridCol w:w="520"/>
        <w:gridCol w:w="413"/>
        <w:gridCol w:w="464"/>
        <w:gridCol w:w="614"/>
        <w:gridCol w:w="473"/>
        <w:gridCol w:w="614"/>
      </w:tblGrid>
      <w:tr>
        <w:trPr>
          <w:trHeight w:val="408"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40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项目名称</w:t>
            </w:r>
          </w:p>
        </w:tc>
        <w:tc>
          <w:tcPr>
            <w:tcW w:type="dxa" w:w="519"/>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公益帮扶、宣讲及活动经费</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主管部门</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乌鲁木齐市委老干部局</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实施单位</w:t>
            </w:r>
          </w:p>
        </w:tc>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乌鲁木齐市委老干部局</w:t>
            </w:r>
          </w:p>
        </w:tc>
      </w:tr>
      <w:tr>
        <w:trPr>
          <w:trHeight w:val="499" w:hRule="atLeast"/>
        </w:trPr>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项目资金
（万元）</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分值</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执行率</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得分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年度资金总额</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19.70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19.70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17.80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90.36%</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9.04分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其中：当年财政拨款</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19.70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19.70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17.80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519"/>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519"/>
            <w:gridSpan w:val="8"/>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实际完成情况</w:t>
            </w:r>
          </w:p>
        </w:tc>
      </w:tr>
      <w:tr>
        <w:trPr>
          <w:trHeight w:val="2430" w:hRule="atLeast"/>
        </w:trPr>
        <w:tc>
          <w:tcPr>
            <w:tcW w:type="dxa" w:w="519"/>
            <w:vMerge/>
            <w:tcBorders>
              <w:start w:sz="10" w:val="single"/>
              <w:top w:sz="10" w:val="single"/>
              <w:end w:sz="10" w:val="single"/>
              <w:bottom w:sz="10" w:val="single"/>
              <w:insideV w:sz="10" w:val="single"/>
            </w:tcBorders>
          </w:tcPr>
          <w:p/>
        </w:tc>
        <w:tc>
          <w:tcPr>
            <w:tcW w:type="dxa" w:w="519"/>
            <w:gridSpan w:val="7"/>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通过与相关部门协同做好农村留守儿童和困境儿童等群体的关爱与服务工作； 党建工作科、老干部活动中心、老干部休养所坚持因地制宜，创新形式，建好全国关心下一代党史国史教育基地、中国关心下一代教育基地、“五老”工作室等教育阵地，达到提高利用率和青少年参与度。</w:t>
            </w:r>
          </w:p>
        </w:tc>
        <w:tc>
          <w:tcPr>
            <w:tcW w:type="dxa" w:w="519"/>
            <w:gridSpan w:val="8"/>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截至2025年底，我单位举办宣讲活动覆盖人数72人，发放关工委副主任补贴人次101人次，对从事关心下一代工作的9名五老（关工委副主任）给予适当经费补助10.1万元； 采取灵活多样的形式，有计划的开展学习培训及按照国务院要求，通过与相关部门协同做好农村留守儿童和困境儿童等群体的关爱与服务工作共计7.7万元；实际完成共计17.8万元，达到提高农村留守儿童的幸福感。</w:t>
            </w:r>
          </w:p>
        </w:tc>
      </w:tr>
      <w:tr>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519"/>
            <w:gridSpan w:val="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年度指标值</w:t>
            </w:r>
          </w:p>
        </w:tc>
        <w:tc>
          <w:tcPr>
            <w:tcW w:type="dxa" w:w="519"/>
            <w:gridSpan w:val="2"/>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分值</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得分</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实际完成值</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偏差原因分析及改进措施</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完成率</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指标性质</w:t>
            </w:r>
          </w:p>
        </w:tc>
      </w:tr>
      <w:tr>
        <w:trPr>
          <w:trHeight w:val="345"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gridSpan w:val="3"/>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r>
      <w:tr>
        <w:trPr>
          <w:trHeight w:val="580"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年度绩效指标完成情况</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举办宣讲活动覆盖人数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&gt;=70人</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=72人</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发放关工委副主任补贴人次</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=120人次</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8.42</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=101人次</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按照单位实际情况进行发放</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84.17</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活动记录完整率（%）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困难儿童节日慰问及时率（%）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计划内活动及时开展率（%）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持续宣传关心关爱工作</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持续有效</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基本达成目标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定性</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困难儿童及五老人员的满意度</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499" w:hRule="atLeast"/>
        </w:trPr>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总分</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97.46</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614"/>
        <w:gridCol w:w="614"/>
        <w:gridCol w:w="597"/>
        <w:gridCol w:w="430"/>
        <w:gridCol w:w="451"/>
        <w:gridCol w:w="224"/>
        <w:gridCol w:w="821"/>
        <w:gridCol w:w="614"/>
        <w:gridCol w:w="558"/>
        <w:gridCol w:w="284"/>
        <w:gridCol w:w="520"/>
        <w:gridCol w:w="413"/>
        <w:gridCol w:w="464"/>
        <w:gridCol w:w="614"/>
        <w:gridCol w:w="473"/>
        <w:gridCol w:w="614"/>
      </w:tblGrid>
      <w:tr>
        <w:trPr>
          <w:trHeight w:val="408"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40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项目名称</w:t>
            </w:r>
          </w:p>
        </w:tc>
        <w:tc>
          <w:tcPr>
            <w:tcW w:type="dxa" w:w="519"/>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市属改制破产企业离休人员医疗统筹补助</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主管部门</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乌鲁木齐市委老干部局</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实施单位</w:t>
            </w:r>
          </w:p>
        </w:tc>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乌鲁木齐市委老干部局</w:t>
            </w:r>
          </w:p>
        </w:tc>
      </w:tr>
      <w:tr>
        <w:trPr>
          <w:trHeight w:val="499" w:hRule="atLeast"/>
        </w:trPr>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项目资金
（万元）</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分值</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执行率</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得分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年度资金总额</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918.60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657.30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657.30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其中：当年财政拨款</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918.60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657.30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657.30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519"/>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519"/>
            <w:gridSpan w:val="8"/>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实际完成情况</w:t>
            </w:r>
          </w:p>
        </w:tc>
      </w:tr>
      <w:tr>
        <w:trPr>
          <w:trHeight w:val="2430" w:hRule="atLeast"/>
        </w:trPr>
        <w:tc>
          <w:tcPr>
            <w:tcW w:type="dxa" w:w="519"/>
            <w:vMerge/>
            <w:tcBorders>
              <w:start w:sz="10" w:val="single"/>
              <w:top w:sz="10" w:val="single"/>
              <w:end w:sz="10" w:val="single"/>
              <w:bottom w:sz="10" w:val="single"/>
              <w:insideV w:sz="10" w:val="single"/>
            </w:tcBorders>
          </w:tcPr>
          <w:p/>
        </w:tc>
        <w:tc>
          <w:tcPr>
            <w:tcW w:type="dxa" w:w="519"/>
            <w:gridSpan w:val="7"/>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2025年度共需补助45家企业102人，需要医疗统筹补助资金657.3万元。其中：补助标准每人每年6.6万元的86人，计567.6万元；补助标准每人每年6万元的11人，计66万元；补助标准每人每年5.7万元的1人，计5.7万元；补助标准每人每年4.5万元的4人，计18万元。合计657.3万元。</w:t>
            </w:r>
          </w:p>
        </w:tc>
        <w:tc>
          <w:tcPr>
            <w:tcW w:type="dxa" w:w="519"/>
            <w:gridSpan w:val="8"/>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截至2025年度，共补助45家企业102人，需要医疗统筹补助资金657.3万元，医疗补助金发放准确率100%，资金拨付及时性100%，通过项目实施完善考核监督机制，强化结果运用，推动后勤服务精细化、规范化，为本单位安全有序运行提供坚实保障。</w:t>
            </w:r>
          </w:p>
        </w:tc>
      </w:tr>
      <w:tr>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519"/>
            <w:gridSpan w:val="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年度指标值</w:t>
            </w:r>
          </w:p>
        </w:tc>
        <w:tc>
          <w:tcPr>
            <w:tcW w:type="dxa" w:w="519"/>
            <w:gridSpan w:val="2"/>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分值</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得分</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实际完成值</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偏差原因分析及改进措施</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完成率</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指标性质</w:t>
            </w:r>
          </w:p>
        </w:tc>
      </w:tr>
      <w:tr>
        <w:trPr>
          <w:trHeight w:val="345"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gridSpan w:val="3"/>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r>
      <w:tr>
        <w:trPr>
          <w:trHeight w:val="580"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年度绩效指标完成情况</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医疗救助帮扶人次</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&gt;=102人</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=102人</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帮扶破产企业个数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&gt;=45家</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=45家</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医疗补助金发放准确率（%）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资金拨付及时性（%）</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离休人员待遇，社会氛围良好</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有效果</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基本达成目标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定性</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离休人员满意度（%）</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499" w:hRule="atLeast"/>
        </w:trPr>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总分</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614"/>
        <w:gridCol w:w="614"/>
        <w:gridCol w:w="597"/>
        <w:gridCol w:w="430"/>
        <w:gridCol w:w="451"/>
        <w:gridCol w:w="224"/>
        <w:gridCol w:w="821"/>
        <w:gridCol w:w="614"/>
        <w:gridCol w:w="558"/>
        <w:gridCol w:w="284"/>
        <w:gridCol w:w="520"/>
        <w:gridCol w:w="413"/>
        <w:gridCol w:w="464"/>
        <w:gridCol w:w="614"/>
        <w:gridCol w:w="473"/>
        <w:gridCol w:w="614"/>
      </w:tblGrid>
      <w:tr>
        <w:trPr>
          <w:trHeight w:val="408"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40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项目名称</w:t>
            </w:r>
          </w:p>
        </w:tc>
        <w:tc>
          <w:tcPr>
            <w:tcW w:type="dxa" w:w="519"/>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离休干部及地市级退休干部管理活动费</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主管部门</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乌鲁木齐市委老干部局</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实施单位</w:t>
            </w:r>
          </w:p>
        </w:tc>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乌鲁木齐市委老干部局</w:t>
            </w:r>
          </w:p>
        </w:tc>
      </w:tr>
      <w:tr>
        <w:trPr>
          <w:trHeight w:val="499" w:hRule="atLeast"/>
        </w:trPr>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项目资金
（万元）</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分值</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执行率</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得分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年度资金总额</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69.57</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69.57</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69.29</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99.60%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9.96分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其中：当年财政拨款</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69.57</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69.57</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69.29</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519"/>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519"/>
            <w:gridSpan w:val="8"/>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实际完成情况</w:t>
            </w:r>
          </w:p>
        </w:tc>
      </w:tr>
      <w:tr>
        <w:trPr>
          <w:trHeight w:val="2430" w:hRule="atLeast"/>
        </w:trPr>
        <w:tc>
          <w:tcPr>
            <w:tcW w:type="dxa" w:w="519"/>
            <w:vMerge/>
            <w:tcBorders>
              <w:start w:sz="10" w:val="single"/>
              <w:top w:sz="10" w:val="single"/>
              <w:end w:sz="10" w:val="single"/>
              <w:bottom w:sz="10" w:val="single"/>
              <w:insideV w:sz="10" w:val="single"/>
            </w:tcBorders>
          </w:tcPr>
          <w:p/>
        </w:tc>
        <w:tc>
          <w:tcPr>
            <w:tcW w:type="dxa" w:w="519"/>
            <w:gridSpan w:val="7"/>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1.完善和落实阅读文件、参加重要会议和重大活动、通报情况、组织参观学习、走访慰问等制度。2.在重要纪念日、重大庆典和老年节、春节、古尔邦节等重要节日期间集中走访慰问，在离退休干部生日、患病住院、家庭出现重大变故时及时关心看望。对易地安置离休干部每年至少走访慰问1次，对异地居住的离休干部原单位合居住地应予以关心照顾。3.采取“请进来”和走出去相结合的方式，对离退休干部党支部书记、党支部委员、党小组组长、党务专干进行为期不少于2天的集中培训。4.加强活动学习阵地建设，推动党建资源共建共享，为离退休干部党组织开展活动提供保障”订阅资料、保障老干部服务用车。</w:t>
            </w:r>
          </w:p>
        </w:tc>
        <w:tc>
          <w:tcPr>
            <w:tcW w:type="dxa" w:w="519"/>
            <w:gridSpan w:val="8"/>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截至2025年底，我单位开展行业宣传推广活动举办次数3场，走访慰问人数85人，组织培训、参观人数30人，通过项目实施体现党对老干部的关怀，以物质慰问、事务性关怀为主，对老干部精神文化需求、心理慰藉关注提升。</w:t>
            </w:r>
          </w:p>
        </w:tc>
      </w:tr>
      <w:tr>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519"/>
            <w:gridSpan w:val="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年度指标值</w:t>
            </w:r>
          </w:p>
        </w:tc>
        <w:tc>
          <w:tcPr>
            <w:tcW w:type="dxa" w:w="519"/>
            <w:gridSpan w:val="2"/>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分值</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得分</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实际完成值</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偏差原因分析及改进措施</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完成率</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指标性质</w:t>
            </w:r>
          </w:p>
        </w:tc>
      </w:tr>
      <w:tr>
        <w:trPr>
          <w:trHeight w:val="345"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gridSpan w:val="3"/>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r>
      <w:tr>
        <w:trPr>
          <w:trHeight w:val="580"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年度绩效指标完成情况</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行业宣传推广活动举办次数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&gt;=3场</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=3场</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走访慰问人数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&gt;=80人</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=85人</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组织培训、参观人数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&gt;=30人</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=30人</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资金发放准确率（%）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资金拨付及时性（%）</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体现党对老干部的关怀</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效果明显</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基本达成目标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定性</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老干部满意度</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499" w:hRule="atLeast"/>
        </w:trPr>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总分</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99.96</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614"/>
        <w:gridCol w:w="614"/>
        <w:gridCol w:w="597"/>
        <w:gridCol w:w="430"/>
        <w:gridCol w:w="451"/>
        <w:gridCol w:w="224"/>
        <w:gridCol w:w="821"/>
        <w:gridCol w:w="614"/>
        <w:gridCol w:w="558"/>
        <w:gridCol w:w="284"/>
        <w:gridCol w:w="520"/>
        <w:gridCol w:w="413"/>
        <w:gridCol w:w="464"/>
        <w:gridCol w:w="614"/>
        <w:gridCol w:w="473"/>
        <w:gridCol w:w="614"/>
      </w:tblGrid>
      <w:tr>
        <w:trPr>
          <w:trHeight w:val="408"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40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项目名称</w:t>
            </w:r>
          </w:p>
        </w:tc>
        <w:tc>
          <w:tcPr>
            <w:tcW w:type="dxa" w:w="519"/>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老干部及遗孀补贴资金</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主管部门</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乌鲁木齐市委老干部局</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实施单位</w:t>
            </w:r>
          </w:p>
        </w:tc>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乌鲁木齐市委老干部局</w:t>
            </w:r>
          </w:p>
        </w:tc>
      </w:tr>
      <w:tr>
        <w:trPr>
          <w:trHeight w:val="499" w:hRule="atLeast"/>
        </w:trPr>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项目资金
（万元）</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分值</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执行率</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得分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年度资金总额</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59.65</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59.65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47.96</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80.40%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8.04分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其中：当年财政拨款</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59.65</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59.65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47.96</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519"/>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519"/>
            <w:gridSpan w:val="8"/>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实际完成情况</w:t>
            </w:r>
          </w:p>
        </w:tc>
      </w:tr>
      <w:tr>
        <w:trPr>
          <w:trHeight w:val="2430" w:hRule="atLeast"/>
        </w:trPr>
        <w:tc>
          <w:tcPr>
            <w:tcW w:type="dxa" w:w="519"/>
            <w:vMerge/>
            <w:tcBorders>
              <w:start w:sz="10" w:val="single"/>
              <w:top w:sz="10" w:val="single"/>
              <w:end w:sz="10" w:val="single"/>
              <w:bottom w:sz="10" w:val="single"/>
              <w:insideV w:sz="10" w:val="single"/>
            </w:tcBorders>
          </w:tcPr>
          <w:p/>
        </w:tc>
        <w:tc>
          <w:tcPr>
            <w:tcW w:type="dxa" w:w="519"/>
            <w:gridSpan w:val="7"/>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对已故离休干部和同期参加革命工作已故老工人无固定收入的配偶存在生活困难进行补助帮扶，保障老干部及遗孀的基本生活，按月按标准足额发放生活补助、采暖费、医药费补助，让受帮扶者感受到党和国家对其真切的关怀。</w:t>
            </w:r>
          </w:p>
        </w:tc>
        <w:tc>
          <w:tcPr>
            <w:tcW w:type="dxa" w:w="519"/>
            <w:gridSpan w:val="8"/>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截至2025年底，对已故离休干部和同期参加革命工作已故老工人无固定收入的配偶存在生活困难进行补助帮扶，发放补贴人次216人，按月按标准足额发放生活补助、采暖费、医药费补助，通过项目实施帮扶保障待遇，社会氛围良好。</w:t>
            </w:r>
          </w:p>
        </w:tc>
      </w:tr>
      <w:tr>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519"/>
            <w:gridSpan w:val="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年度指标值</w:t>
            </w:r>
          </w:p>
        </w:tc>
        <w:tc>
          <w:tcPr>
            <w:tcW w:type="dxa" w:w="519"/>
            <w:gridSpan w:val="2"/>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分值</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得分</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实际完成值</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偏差原因分析及改进措施</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完成率</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指标性质</w:t>
            </w:r>
          </w:p>
        </w:tc>
      </w:tr>
      <w:tr>
        <w:trPr>
          <w:trHeight w:val="345"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gridSpan w:val="3"/>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r>
      <w:tr>
        <w:trPr>
          <w:trHeight w:val="580"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年度绩效指标完成情况</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发放补贴人次</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=216人</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=216人</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资金发放准确率（%）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资金发放及时率（%）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老干部遗孀生活补贴资金</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&lt;=28.51万元</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7.95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=22.66万元</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因有去世人员，减少支出。</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79.48</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特困离退休干部及遗孀帮扶资金</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&lt;=31.14万元</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8.13</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=25.3万元</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因有去世人员，减少支出。</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81.25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帮扶保障待遇，社会氛围良好</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基本达成目标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定性</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老干部及遗孀满意度</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499" w:hRule="atLeast"/>
        </w:trPr>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总分</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94.12</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614"/>
        <w:gridCol w:w="614"/>
        <w:gridCol w:w="597"/>
        <w:gridCol w:w="430"/>
        <w:gridCol w:w="451"/>
        <w:gridCol w:w="224"/>
        <w:gridCol w:w="821"/>
        <w:gridCol w:w="614"/>
        <w:gridCol w:w="558"/>
        <w:gridCol w:w="284"/>
        <w:gridCol w:w="520"/>
        <w:gridCol w:w="413"/>
        <w:gridCol w:w="464"/>
        <w:gridCol w:w="614"/>
        <w:gridCol w:w="473"/>
        <w:gridCol w:w="614"/>
      </w:tblGrid>
      <w:tr>
        <w:trPr>
          <w:trHeight w:val="408"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40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项目名称</w:t>
            </w:r>
          </w:p>
        </w:tc>
        <w:tc>
          <w:tcPr>
            <w:tcW w:type="dxa" w:w="519"/>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辅助履职人员支出</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主管部门</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乌鲁木齐市委老干部局</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实施单位</w:t>
            </w:r>
          </w:p>
        </w:tc>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乌鲁木齐市委老干部局</w:t>
            </w:r>
          </w:p>
        </w:tc>
      </w:tr>
      <w:tr>
        <w:trPr>
          <w:trHeight w:val="499" w:hRule="atLeast"/>
        </w:trPr>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项目资金
（万元）</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分值</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执行率</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得分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年度资金总额</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11.10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11.09</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99.91%</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9.99分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其中：当年财政拨款</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11.10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11.09</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519"/>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519"/>
            <w:gridSpan w:val="8"/>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实际完成情况</w:t>
            </w:r>
          </w:p>
        </w:tc>
      </w:tr>
      <w:tr>
        <w:trPr>
          <w:trHeight w:val="2430" w:hRule="atLeast"/>
        </w:trPr>
        <w:tc>
          <w:tcPr>
            <w:tcW w:type="dxa" w:w="519"/>
            <w:vMerge/>
            <w:tcBorders>
              <w:start w:sz="10" w:val="single"/>
              <w:top w:sz="10" w:val="single"/>
              <w:end w:sz="10" w:val="single"/>
              <w:bottom w:sz="10" w:val="single"/>
              <w:insideV w:sz="10" w:val="single"/>
            </w:tcBorders>
          </w:tcPr>
          <w:p/>
        </w:tc>
        <w:tc>
          <w:tcPr>
            <w:tcW w:type="dxa" w:w="519"/>
            <w:gridSpan w:val="7"/>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加强活动学习阵地建设，推动党建资源共建共享，为离退休干部党组织开展活动提供保障”订阅资料、保障老干部服务用车。</w:t>
            </w:r>
          </w:p>
        </w:tc>
        <w:tc>
          <w:tcPr>
            <w:tcW w:type="dxa" w:w="519"/>
            <w:gridSpan w:val="8"/>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截至2025年底，我单位临聘人员人数20人，临聘人员到岗率100%，通过项目实施帮扶保障老干部服务，对老干部热情周到，主动协助上下车，满足就医、参会等个性化需求，提升满意度，做到安全零事故，保障老干部服务需求。</w:t>
            </w:r>
          </w:p>
        </w:tc>
      </w:tr>
      <w:tr>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519"/>
            <w:gridSpan w:val="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年度指标值</w:t>
            </w:r>
          </w:p>
        </w:tc>
        <w:tc>
          <w:tcPr>
            <w:tcW w:type="dxa" w:w="519"/>
            <w:gridSpan w:val="2"/>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分值</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得分</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实际完成值</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偏差原因分析及改进措施</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完成率</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指标性质</w:t>
            </w:r>
          </w:p>
        </w:tc>
      </w:tr>
      <w:tr>
        <w:trPr>
          <w:trHeight w:val="345"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gridSpan w:val="3"/>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r>
      <w:tr>
        <w:trPr>
          <w:trHeight w:val="580"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年度绩效指标完成情况</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临聘人员人数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=24人</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8.33</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=20人</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83.33</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临聘人员到岗率（%）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资金发放及时率（%）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帮扶保障老干部服务</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基本达成目标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定性</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为老干部服务的满意度</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499" w:hRule="atLeast"/>
        </w:trPr>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总分</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98.32</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614"/>
        <w:gridCol w:w="614"/>
        <w:gridCol w:w="597"/>
        <w:gridCol w:w="430"/>
        <w:gridCol w:w="451"/>
        <w:gridCol w:w="224"/>
        <w:gridCol w:w="821"/>
        <w:gridCol w:w="614"/>
        <w:gridCol w:w="558"/>
        <w:gridCol w:w="284"/>
        <w:gridCol w:w="520"/>
        <w:gridCol w:w="413"/>
        <w:gridCol w:w="464"/>
        <w:gridCol w:w="614"/>
        <w:gridCol w:w="473"/>
        <w:gridCol w:w="614"/>
      </w:tblGrid>
      <w:tr>
        <w:trPr>
          <w:trHeight w:val="408"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40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项目名称</w:t>
            </w:r>
          </w:p>
        </w:tc>
        <w:tc>
          <w:tcPr>
            <w:tcW w:type="dxa" w:w="519"/>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老年大学（相关活动费）</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主管部门</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乌鲁木齐市委老干部局</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实施单位</w:t>
            </w:r>
          </w:p>
        </w:tc>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乌鲁木齐市老干部活动中心</w:t>
            </w:r>
          </w:p>
        </w:tc>
      </w:tr>
      <w:tr>
        <w:trPr>
          <w:trHeight w:val="499" w:hRule="atLeast"/>
        </w:trPr>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项目资金
（万元）</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分值</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执行率</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得分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年度资金总额</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1.74</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1.74</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1.72</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98.85%</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9.89分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其中：当年财政拨款</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1.74</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1.74</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1.72</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519"/>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519"/>
            <w:gridSpan w:val="8"/>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实际完成情况</w:t>
            </w:r>
          </w:p>
        </w:tc>
      </w:tr>
      <w:tr>
        <w:trPr>
          <w:trHeight w:val="2430" w:hRule="atLeast"/>
        </w:trPr>
        <w:tc>
          <w:tcPr>
            <w:tcW w:type="dxa" w:w="519"/>
            <w:vMerge/>
            <w:tcBorders>
              <w:start w:sz="10" w:val="single"/>
              <w:top w:sz="10" w:val="single"/>
              <w:end w:sz="10" w:val="single"/>
              <w:bottom w:sz="10" w:val="single"/>
              <w:insideV w:sz="10" w:val="single"/>
            </w:tcBorders>
          </w:tcPr>
          <w:p/>
        </w:tc>
        <w:tc>
          <w:tcPr>
            <w:tcW w:type="dxa" w:w="519"/>
            <w:gridSpan w:val="7"/>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老年大学（相关活动）项目是按时完成老年大学的相关课程安排及相关活动，承办上级安排的各项老年大学的活动和任务，使老干部门能在一个舒适的环境下上课，组织丰富的老干部活动，提升老干部的生活质量及最大程度发挥余热。</w:t>
            </w:r>
          </w:p>
        </w:tc>
        <w:tc>
          <w:tcPr>
            <w:tcW w:type="dxa" w:w="519"/>
            <w:gridSpan w:val="8"/>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截至2025年底，该项目实际组织完成6场活动，活动记录完整率100%，老干部满意度100%，项目实际支出1.72万元，通过项目实际增强老干部精神文化需求，提升老干部的生活质量及最大程度发挥余热，在文化传承中找到价值感。</w:t>
            </w:r>
          </w:p>
        </w:tc>
      </w:tr>
      <w:tr>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519"/>
            <w:gridSpan w:val="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年度指标值</w:t>
            </w:r>
          </w:p>
        </w:tc>
        <w:tc>
          <w:tcPr>
            <w:tcW w:type="dxa" w:w="519"/>
            <w:gridSpan w:val="2"/>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分值</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得分</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实际完成值</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偏差原因分析及改进措施</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完成率</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指标性质</w:t>
            </w:r>
          </w:p>
        </w:tc>
      </w:tr>
      <w:tr>
        <w:trPr>
          <w:trHeight w:val="345"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gridSpan w:val="3"/>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r>
      <w:tr>
        <w:trPr>
          <w:trHeight w:val="580"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年度绩效指标完成情况</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老年大学活动种类</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&gt;=3种</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=6种</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年初目标设置较保守，项目实际活动开展较多</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活动开展次数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&gt;=5场</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=6场</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活动记录完整率（%）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计划内活动及时开展率（%）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提升老干部生活质量</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基本达成目标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定性</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丰富老干部文化活动</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效果良好</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基本达成目标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定性</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老干部满意度</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499" w:hRule="atLeast"/>
        </w:trPr>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总分</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99.89</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614"/>
        <w:gridCol w:w="614"/>
        <w:gridCol w:w="597"/>
        <w:gridCol w:w="430"/>
        <w:gridCol w:w="451"/>
        <w:gridCol w:w="224"/>
        <w:gridCol w:w="821"/>
        <w:gridCol w:w="614"/>
        <w:gridCol w:w="558"/>
        <w:gridCol w:w="284"/>
        <w:gridCol w:w="520"/>
        <w:gridCol w:w="413"/>
        <w:gridCol w:w="464"/>
        <w:gridCol w:w="614"/>
        <w:gridCol w:w="473"/>
        <w:gridCol w:w="614"/>
      </w:tblGrid>
      <w:tr>
        <w:trPr>
          <w:trHeight w:val="408"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40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项目名称</w:t>
            </w:r>
          </w:p>
        </w:tc>
        <w:tc>
          <w:tcPr>
            <w:tcW w:type="dxa" w:w="519"/>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辅助履职人员支出</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主管部门</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乌鲁木齐市委老干部局</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实施单位</w:t>
            </w:r>
          </w:p>
        </w:tc>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乌鲁木齐市老干部活动中心</w:t>
            </w:r>
          </w:p>
        </w:tc>
      </w:tr>
      <w:tr>
        <w:trPr>
          <w:trHeight w:val="499" w:hRule="atLeast"/>
        </w:trPr>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项目资金
（万元）</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分值</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执行率</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得分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年度资金总额</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15.31</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15.31</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15.31</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其中：当年财政拨款</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15.31</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15.31</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15.31</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519"/>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519"/>
            <w:gridSpan w:val="8"/>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实际完成情况</w:t>
            </w:r>
          </w:p>
        </w:tc>
      </w:tr>
      <w:tr>
        <w:trPr>
          <w:trHeight w:val="2430" w:hRule="atLeast"/>
        </w:trPr>
        <w:tc>
          <w:tcPr>
            <w:tcW w:type="dxa" w:w="519"/>
            <w:vMerge/>
            <w:tcBorders>
              <w:start w:sz="10" w:val="single"/>
              <w:top w:sz="10" w:val="single"/>
              <w:end w:sz="10" w:val="single"/>
              <w:bottom w:sz="10" w:val="single"/>
              <w:insideV w:sz="10" w:val="single"/>
            </w:tcBorders>
          </w:tcPr>
          <w:p/>
        </w:tc>
        <w:tc>
          <w:tcPr>
            <w:tcW w:type="dxa" w:w="519"/>
            <w:gridSpan w:val="7"/>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此项资金属历年项目，活动中心作为老干部活动窗口，同时按照街道管委会、社区等要求，为贯彻落实自治区对于维稳的要求，看好自己的门，保证“不出事”。</w:t>
            </w:r>
          </w:p>
        </w:tc>
        <w:tc>
          <w:tcPr>
            <w:tcW w:type="dxa" w:w="519"/>
            <w:gridSpan w:val="8"/>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截至2025年底，该项目实际达成聘用辅助履职人数3人，其中：保安人数2人、保洁人数1人，安保人员到岗率100%，通过项目实施保障中心全楼安全稳定，楼内卫生提升效果，全面达成保安、保洁任务指标，全年无事故率，出色完成门禁管理目标，为活动中心营造安全有序、干净整洁的工作环境。</w:t>
            </w:r>
          </w:p>
        </w:tc>
      </w:tr>
      <w:tr>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519"/>
            <w:gridSpan w:val="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年度指标值</w:t>
            </w:r>
          </w:p>
        </w:tc>
        <w:tc>
          <w:tcPr>
            <w:tcW w:type="dxa" w:w="519"/>
            <w:gridSpan w:val="2"/>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分值</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得分</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实际完成值</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偏差原因分析及改进措施</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完成率</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指标性质</w:t>
            </w:r>
          </w:p>
        </w:tc>
      </w:tr>
      <w:tr>
        <w:trPr>
          <w:trHeight w:val="345"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gridSpan w:val="3"/>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r>
      <w:tr>
        <w:trPr>
          <w:trHeight w:val="580"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年度绩效指标完成情况</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聘用辅助履职人数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=3人</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=3人</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后勤安保人员到岗</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应急值守规范性</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资金发放及时率（%）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保障中心全楼安全稳定</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保障安全</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基本达成目标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定性</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楼内卫生提升效果</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显著提高</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基本达成目标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定性</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老干部的满意度</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499" w:hRule="atLeast"/>
        </w:trPr>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总分</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614"/>
        <w:gridCol w:w="614"/>
        <w:gridCol w:w="597"/>
        <w:gridCol w:w="430"/>
        <w:gridCol w:w="451"/>
        <w:gridCol w:w="224"/>
        <w:gridCol w:w="821"/>
        <w:gridCol w:w="614"/>
        <w:gridCol w:w="558"/>
        <w:gridCol w:w="284"/>
        <w:gridCol w:w="520"/>
        <w:gridCol w:w="413"/>
        <w:gridCol w:w="464"/>
        <w:gridCol w:w="614"/>
        <w:gridCol w:w="473"/>
        <w:gridCol w:w="614"/>
      </w:tblGrid>
      <w:tr>
        <w:trPr>
          <w:trHeight w:val="408"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40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项目名称</w:t>
            </w:r>
          </w:p>
        </w:tc>
        <w:tc>
          <w:tcPr>
            <w:tcW w:type="dxa" w:w="519"/>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老干部业务及活动费</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主管部门</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乌鲁木齐市委老干部局</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实施单位</w:t>
            </w:r>
          </w:p>
        </w:tc>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乌鲁木齐市老干部休养所</w:t>
            </w:r>
          </w:p>
        </w:tc>
      </w:tr>
      <w:tr>
        <w:trPr>
          <w:trHeight w:val="499" w:hRule="atLeast"/>
        </w:trPr>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项目资金
（万元）</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分值</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执行率</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得分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年度资金总额</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0.94</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0.94</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0.94</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其中：当年财政拨款</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0.94</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0.94</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0.94</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519"/>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519"/>
            <w:gridSpan w:val="8"/>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实际完成情况</w:t>
            </w:r>
          </w:p>
        </w:tc>
      </w:tr>
      <w:tr>
        <w:trPr>
          <w:trHeight w:val="2430" w:hRule="atLeast"/>
        </w:trPr>
        <w:tc>
          <w:tcPr>
            <w:tcW w:type="dxa" w:w="519"/>
            <w:vMerge/>
            <w:tcBorders>
              <w:start w:sz="10" w:val="single"/>
              <w:top w:sz="10" w:val="single"/>
              <w:end w:sz="10" w:val="single"/>
              <w:bottom w:sz="10" w:val="single"/>
              <w:insideV w:sz="10" w:val="single"/>
            </w:tcBorders>
          </w:tcPr>
          <w:p/>
        </w:tc>
        <w:tc>
          <w:tcPr>
            <w:tcW w:type="dxa" w:w="519"/>
            <w:gridSpan w:val="7"/>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通过组织开展特定节日组织老干部文艺活动、各类棋牌比赛的用品及奖品。达到让老干部老有所乐，老有所享，发挥余热的目标。今年的预算为0.94万元。每次活动预算不超过2500元，计划一年活动最少四次。</w:t>
            </w:r>
          </w:p>
        </w:tc>
        <w:tc>
          <w:tcPr>
            <w:tcW w:type="dxa" w:w="519"/>
            <w:gridSpan w:val="8"/>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截至2025年底，该项目实际完成了全年组织老干部活动4场次，每次活动举办时间2小时，参加活动的老干部人数22人，老干部参加活动覆盖率100%，通过该项目达到了达到了让老干部老有所乐，老有所享，发挥余热，组织丰富的老干部活动，提升老干部生活质量的目标。</w:t>
            </w:r>
          </w:p>
        </w:tc>
      </w:tr>
      <w:tr>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519"/>
            <w:gridSpan w:val="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年度指标值</w:t>
            </w:r>
          </w:p>
        </w:tc>
        <w:tc>
          <w:tcPr>
            <w:tcW w:type="dxa" w:w="519"/>
            <w:gridSpan w:val="2"/>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分值</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得分</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实际完成值</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偏差原因分析及改进措施</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完成率</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指标性质</w:t>
            </w:r>
          </w:p>
        </w:tc>
      </w:tr>
      <w:tr>
        <w:trPr>
          <w:trHeight w:val="345"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gridSpan w:val="3"/>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r>
      <w:tr>
        <w:trPr>
          <w:trHeight w:val="580"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年度绩效指标完成情况</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举办节日活动次数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&gt;=4场</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=4场</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每次活动举办时间</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&gt;=2小时</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=2小时</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参加活动的老干部人数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&gt;=20人</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=22人</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参加活动的离退休老干部共22人</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老干部参加活动覆盖率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活动开展及时率</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组织丰富的老干部活动，提升老干部生活质量</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基本达成目标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定性</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老干部满意度</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499" w:hRule="atLeast"/>
        </w:trPr>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总分</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614"/>
        <w:gridCol w:w="614"/>
        <w:gridCol w:w="597"/>
        <w:gridCol w:w="430"/>
        <w:gridCol w:w="451"/>
        <w:gridCol w:w="224"/>
        <w:gridCol w:w="821"/>
        <w:gridCol w:w="614"/>
        <w:gridCol w:w="558"/>
        <w:gridCol w:w="284"/>
        <w:gridCol w:w="520"/>
        <w:gridCol w:w="413"/>
        <w:gridCol w:w="464"/>
        <w:gridCol w:w="614"/>
        <w:gridCol w:w="473"/>
        <w:gridCol w:w="614"/>
      </w:tblGrid>
      <w:tr>
        <w:trPr>
          <w:trHeight w:val="408"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400" w:hRule="atLeast"/>
        </w:trPr>
        <w:tc>
          <w:tcPr>
            <w:tcW w:type="dxa" w:w="519"/>
            <w:gridSpan w:val="1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项目名称</w:t>
            </w:r>
          </w:p>
        </w:tc>
        <w:tc>
          <w:tcPr>
            <w:tcW w:type="dxa" w:w="519"/>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辅助履职人员支出</w:t>
            </w:r>
          </w:p>
        </w:tc>
      </w:tr>
      <w:tr>
        <w:trPr>
          <w:trHeight w:val="499" w:hRule="atLeast"/>
        </w:trPr>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主管部门</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乌鲁木齐市委老干部局</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实施单位</w:t>
            </w:r>
          </w:p>
        </w:tc>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乌鲁木齐市老干部休养所</w:t>
            </w:r>
          </w:p>
        </w:tc>
      </w:tr>
      <w:tr>
        <w:trPr>
          <w:trHeight w:val="499" w:hRule="atLeast"/>
        </w:trPr>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项目资金
（万元）</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分值</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执行率</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得分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年度资金总额</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36.18</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36.18</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36.18</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10.00分</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其中：当年财政拨款</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36.18</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36.18</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36.18</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gridSpan w:val="2"/>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19"/>
            <w:gridSpan w:val="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499"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519"/>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519"/>
            <w:gridSpan w:val="8"/>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实际完成情况</w:t>
            </w:r>
          </w:p>
        </w:tc>
      </w:tr>
      <w:tr>
        <w:trPr>
          <w:trHeight w:val="2430" w:hRule="atLeast"/>
        </w:trPr>
        <w:tc>
          <w:tcPr>
            <w:tcW w:type="dxa" w:w="519"/>
            <w:vMerge/>
            <w:tcBorders>
              <w:start w:sz="10" w:val="single"/>
              <w:top w:sz="10" w:val="single"/>
              <w:end w:sz="10" w:val="single"/>
              <w:bottom w:sz="10" w:val="single"/>
              <w:insideV w:sz="10" w:val="single"/>
            </w:tcBorders>
          </w:tcPr>
          <w:p/>
        </w:tc>
        <w:tc>
          <w:tcPr>
            <w:tcW w:type="dxa" w:w="519"/>
            <w:gridSpan w:val="7"/>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聘用保安人员4人，要求保安人员24小时在职在岗，认真对进出的车辆和外来人员做好登记；聘用司机1人，负责院内老干部因病等特殊情况出行；聘用保洁2人负责打扫干休所院内卫生。预算为36.18万元，驾驶员1人*4632元*12个月=5.56万元，保安4人*4456*12=21.39万元，保洁2人*3849*12=9.24万元</w:t>
            </w:r>
          </w:p>
        </w:tc>
        <w:tc>
          <w:tcPr>
            <w:tcW w:type="dxa" w:w="519"/>
            <w:gridSpan w:val="8"/>
            <w:tcBorders>
              <w:start w:sz="10" w:val="single"/>
              <w:top w:sz="10" w:val="single"/>
              <w:end w:sz="10" w:val="single"/>
              <w:bottom w:sz="10" w:val="single"/>
              <w:insideV w:sz="10" w:val="single"/>
            </w:tcBorders>
            <w:vAlign w:val="top"/>
          </w:tcPr>
          <w:p>
            <w:pPr>
              <w:spacing w:before="0" w:after="0" w:line="240" w:lineRule="auto"/>
              <w:jc w:val="center"/>
            </w:pPr>
            <w:r>
              <w:rPr>
                <w:rFonts w:ascii="宋体" w:hAnsi="宋体" w:eastAsia="宋体" w:cs="宋体"/>
                <w:b w:val="0"/>
                <w:i w:val="0"/>
                <w:sz w:val="18"/>
              </w:rPr>
              <w:t>截至2025年底，该项目通过与安保公司签订安保服务合同，聘用辅助履职人数7人，后勤安保人员到岗100%，提供四名安保人员24小时在职在岗，认真对进出的车辆和外来人员做好登记；达到保障了院内老干部出行及环境卫生的效益。</w:t>
            </w:r>
          </w:p>
        </w:tc>
      </w:tr>
      <w:tr>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519"/>
            <w:gridSpan w:val="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年度指标值</w:t>
            </w:r>
          </w:p>
        </w:tc>
        <w:tc>
          <w:tcPr>
            <w:tcW w:type="dxa" w:w="519"/>
            <w:gridSpan w:val="2"/>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分值</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得分</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实际完成值</w:t>
            </w:r>
          </w:p>
        </w:tc>
        <w:tc>
          <w:tcPr>
            <w:tcW w:type="dxa" w:w="519"/>
            <w:gridSpan w:val="2"/>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偏差原因分析及改进措施</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完成率</w:t>
            </w:r>
          </w:p>
        </w:tc>
        <w:tc>
          <w:tcPr>
            <w:tcW w:type="dxa" w:w="519"/>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val="0"/>
                <w:i w:val="0"/>
                <w:sz w:val="18"/>
              </w:rPr>
              <w:t>指标性质</w:t>
            </w:r>
          </w:p>
        </w:tc>
      </w:tr>
      <w:tr>
        <w:trPr>
          <w:trHeight w:val="345"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gridSpan w:val="3"/>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r>
      <w:tr>
        <w:trPr>
          <w:trHeight w:val="580" w:hRule="atLeast"/>
        </w:trPr>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年度绩效指标完成情况</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聘用辅助履职人数</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=7人</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=7人</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后勤安保人员到岗</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应急值守规范性</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安保活动开展所需时间（小时）</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=24小时</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=24小时</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19"/>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院内安全提升效果</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显著提高</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基本达成目标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定性</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vMerge/>
            <w:tcBorders>
              <w:start w:sz="10" w:val="single"/>
              <w:top w:sz="10" w:val="single"/>
              <w:end w:sz="10" w:val="single"/>
              <w:bottom w:sz="10" w:val="single"/>
              <w:insideV w:sz="10" w:val="single"/>
            </w:tcBorders>
          </w:tcP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院内卫生提升效果</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显著提高</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基本达成目标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定性</w:t>
            </w:r>
          </w:p>
        </w:tc>
      </w:tr>
      <w:tr>
        <w:trPr>
          <w:trHeight w:val="580" w:hRule="atLeast"/>
        </w:trPr>
        <w:tc>
          <w:tcPr>
            <w:tcW w:type="dxa" w:w="519"/>
            <w:vMerge/>
            <w:tcBorders>
              <w:start w:sz="10" w:val="single"/>
              <w:top w:sz="10" w:val="single"/>
              <w:end w:sz="10" w:val="single"/>
              <w:bottom w:sz="10" w:val="single"/>
              <w:insideV w:sz="10" w:val="single"/>
            </w:tcBorders>
          </w:tcP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老干部满意度</w:t>
            </w:r>
          </w:p>
        </w:tc>
        <w:tc>
          <w:tcPr>
            <w:tcW w:type="dxa" w:w="519"/>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定量</w:t>
            </w:r>
          </w:p>
        </w:tc>
      </w:tr>
      <w:tr>
        <w:trPr>
          <w:trHeight w:val="499" w:hRule="atLeast"/>
        </w:trPr>
        <w:tc>
          <w:tcPr>
            <w:tcW w:type="dxa" w:w="519"/>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总分</w:t>
            </w:r>
          </w:p>
        </w:tc>
        <w:tc>
          <w:tcPr>
            <w:tcW w:type="dxa" w:w="519"/>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1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本部门无其他需说明的事项。</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