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乌鲁木齐市老干部活动中心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（1）宗旨：为离退休干部提供学习、娱乐场所及服务；业务范围：组织离退休老干部开展文体娱乐活动，做好相关协调服务。</w:t>
      </w:r>
    </w:p>
    <w:p>
      <w:pPr>
        <w:spacing w:line="580" w:lineRule="exact"/>
        <w:ind w:firstLine="640"/>
        <w:jc w:val="both"/>
      </w:pPr>
      <w:r>
        <w:rPr>
          <w:rFonts w:ascii="仿宋_GB2312" w:hAnsi="仿宋_GB2312" w:eastAsia="仿宋_GB2312"/>
          <w:sz w:val="32"/>
        </w:rPr>
        <w:t>（2）服务总目标：创新实践，突出思想政治引领，着力加强为离退休干部服务意识，始终聚焦总目标，充分发挥老干部独特优势和作用，创新提升对老干部的工作服务水平。</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乌鲁木齐市老干部活动中心无下属预算单位。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2025年度收入总计213.05万元，</w:t>
      </w:r>
      <w:r>
        <w:rPr>
          <w:rFonts w:ascii="仿宋_GB2312" w:hAnsi="仿宋_GB2312" w:eastAsia="仿宋_GB2312"/>
          <w:b w:val="0"/>
          <w:sz w:val="32"/>
        </w:rPr>
        <w:t>其中：本年收入合计213.05万元，使用非财政拨款结余（含专用结余）0.00万元，年初结转和结余0.00万元。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2025年度支出总计213.05万元，</w:t>
      </w:r>
      <w:r>
        <w:rPr>
          <w:rFonts w:ascii="仿宋_GB2312" w:hAnsi="仿宋_GB2312" w:eastAsia="仿宋_GB2312"/>
          <w:b w:val="0"/>
          <w:sz w:val="32"/>
        </w:rPr>
        <w:t>其中：本年支出合计213.05万元，结余分配0.00万元，年末结转和结余0.00万元。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减少29.01万元，下降11.98%，主要原因是：本年减少配电线路改造经费。</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本年收入213.05万元，</w:t>
      </w:r>
      <w:r>
        <w:rPr>
          <w:rFonts w:ascii="仿宋_GB2312" w:hAnsi="仿宋_GB2312" w:eastAsia="仿宋_GB2312"/>
          <w:b w:val="0"/>
          <w:sz w:val="32"/>
        </w:rPr>
        <w:t>其中：财政拨款收入213.05万元，占100.00%；上级补助收入0.00万元，占0.00%；事业收入0.00万元，占0.00%；经营收入0.00万元，占0.00%；附属单位上缴收入0.00万元，占0.00%；其他收入0.00万元，占0.00%。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本年支出213.05万元，</w:t>
      </w:r>
      <w:r>
        <w:rPr>
          <w:rFonts w:ascii="仿宋_GB2312" w:hAnsi="仿宋_GB2312" w:eastAsia="仿宋_GB2312"/>
          <w:b w:val="0"/>
          <w:sz w:val="32"/>
        </w:rPr>
        <w:t>其中：基本支出196.02万元，占92.01%；项目支出17.03万元，占7.99%；上缴上级支出0.00万元，占0.00%；经营支出0.00万元，占0.00%；对附属单位补助支出0.00万元，占0.00%。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2025年度财政拨款收入总计213.05万元，</w:t>
      </w:r>
      <w:r>
        <w:rPr>
          <w:rFonts w:ascii="仿宋_GB2312" w:hAnsi="仿宋_GB2312" w:eastAsia="仿宋_GB2312"/>
          <w:b w:val="0"/>
          <w:sz w:val="32"/>
        </w:rPr>
        <w:t>其中：年初财政拨款结转和结余0.00万元，本年财政拨款收入213.05万元。</w:t>
      </w:r>
      <w:r>
        <w:rPr>
          <w:rFonts w:ascii="仿宋_GB2312" w:hAnsi="仿宋_GB2312" w:eastAsia="仿宋_GB2312"/>
          <w:b/>
          <w:sz w:val="32"/>
        </w:rPr>
        <w:t>财政拨款支出总计213.05万元，</w:t>
      </w:r>
      <w:r>
        <w:rPr>
          <w:rFonts w:ascii="仿宋_GB2312" w:hAnsi="仿宋_GB2312" w:eastAsia="仿宋_GB2312"/>
          <w:b w:val="0"/>
          <w:sz w:val="32"/>
        </w:rPr>
        <w:t>其中：年末财政拨款结转和结余0.00万元，本年财政拨款支出213.05万元。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减少29.01万元，下降11.98%，主要原因是：本年减少配电线路改造经费。</w:t>
      </w:r>
      <w:r>
        <w:rPr>
          <w:rFonts w:ascii="仿宋_GB2312" w:hAnsi="仿宋_GB2312" w:eastAsia="仿宋_GB2312"/>
          <w:b/>
          <w:sz w:val="32"/>
        </w:rPr>
        <w:t>与年初预算相比，</w:t>
      </w:r>
      <w:r>
        <w:rPr>
          <w:rFonts w:ascii="仿宋_GB2312" w:hAnsi="仿宋_GB2312" w:eastAsia="仿宋_GB2312"/>
          <w:b w:val="0"/>
          <w:sz w:val="32"/>
        </w:rPr>
        <w:t>年初预算数188.04万元，决算数213.05万元，预决算差异率13.30%，主要原因是：年中追加人员工资、社保、公积金基数调增部分资金，导致预决算存在差异。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按照支出功能分类，一般公共服务支出（类）其他共产党事务支出（款）行政运行（项）的支出占本年财政拨款支出总额的比重最高，2025年度决算数为169.05万元，占比79.35%，主要用于人员工资福利。</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2025年度一般公共预算财政拨款支出213.05万元，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减少29.01万元，下降11.98%，主要原因是：本年减少配电线路改造经费。</w:t>
      </w:r>
      <w:r>
        <w:rPr>
          <w:rFonts w:ascii="仿宋_GB2312" w:hAnsi="仿宋_GB2312" w:eastAsia="仿宋_GB2312"/>
          <w:b/>
          <w:sz w:val="32"/>
        </w:rPr>
        <w:t>与年初预算相比，</w:t>
      </w:r>
      <w:r>
        <w:rPr>
          <w:rFonts w:ascii="仿宋_GB2312" w:hAnsi="仿宋_GB2312" w:eastAsia="仿宋_GB2312"/>
          <w:b w:val="0"/>
          <w:sz w:val="32"/>
        </w:rPr>
        <w:t>年初预算数188.04万元，决算数213.05万元，预决算差异率13.30%，主要原因是：年中追加人员工资、社保、公积金基数调增部分资金，导致预决算存在差异。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1.一般公共服务支出（类）186.08万元，占87.34%。</w:t>
      </w:r>
    </w:p>
    <w:p>
      <w:pPr>
        <w:spacing w:line="580" w:lineRule="exact"/>
        <w:ind w:firstLine="640"/>
        <w:jc w:val="both"/>
      </w:pPr>
      <w:r>
        <w:rPr>
          <w:rFonts w:ascii="仿宋_GB2312" w:hAnsi="仿宋_GB2312" w:eastAsia="仿宋_GB2312"/>
          <w:b w:val="0"/>
          <w:sz w:val="32"/>
        </w:rPr>
        <w:t>2.社会保障和就业支出（类）26.96万元，占12.65%。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1.一般公共服务支出（类）其他共产党事务支出（款）行政运行（项）：支出决算数为169.05万元，比上年决算增加5.24万元，增长3.20%，主要原因是：本年在职人员工资调增，导致相关人员经费较上年有所增加。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2.一般公共服务支出（类）其他共产党事务支出（款）其他共产党事务支出（项）：支出决算数为17.03万元，比上年决算减少23.73万元，下降58.22%，主要原因是：本年减少配电线路改造经费。</w:t>
      </w:r>
    </w:p>
    <w:p>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3.社会保障和就业支出（类）行政事业单位养老支出（款）行政单位离退休（项）：支出决算数为6.56万元，比上年决算增加2.92万元，增长80.22%，主要原因是：本年增加退休人员基础绩效奖，退休费支出增加。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16.33万元，比上年决算减少2.31万元，下降12.39%，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4.07万元，比上年决算减少11.14万元，下降73.24%，主要原因是：本年新增退休人员较上年减少，职业年金缴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2025年度一般公共预算财政拨款基本支出196.02万元，其中：</w:t>
      </w:r>
      <w:r>
        <w:rPr>
          <w:rFonts w:ascii="仿宋_GB2312" w:hAnsi="仿宋_GB2312" w:eastAsia="仿宋_GB2312"/>
          <w:b/>
          <w:sz w:val="32"/>
        </w:rPr>
        <w:t>人员经费166.67万元，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w:t>
      </w:r>
    </w:p>
    <w:p>
      <w:pPr>
        <w:spacing w:line="580" w:lineRule="exact"/>
        <w:ind w:firstLine="640"/>
        <w:jc w:val="both"/>
      </w:pPr>
      <w:r>
        <w:rPr>
          <w:rFonts w:ascii="仿宋_GB2312" w:hAnsi="仿宋_GB2312" w:eastAsia="仿宋_GB2312"/>
          <w:b/>
          <w:sz w:val="32"/>
        </w:rPr>
        <w:t>公用经费29.35万元，</w:t>
      </w:r>
      <w:r>
        <w:rPr>
          <w:rFonts w:ascii="仿宋_GB2312" w:hAnsi="仿宋_GB2312" w:eastAsia="仿宋_GB2312"/>
          <w:b w:val="0"/>
          <w:sz w:val="32"/>
        </w:rPr>
        <w:t>包括：办公费、水费、电费、邮电费、取暖费、维修（护）费、工会经费、福利费、公务用车运行维护费、其他商品和服务支出。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2025年度财政拨款“三公”经费支出4.23万元，</w:t>
      </w:r>
      <w:r>
        <w:rPr>
          <w:rFonts w:ascii="仿宋_GB2312" w:hAnsi="仿宋_GB2312" w:eastAsia="仿宋_GB2312"/>
          <w:b w:val="0"/>
          <w:sz w:val="32"/>
        </w:rPr>
        <w:t>比上年增加0.28万元，增长7.09%，主要原因是：本年因业务需求，用车次数增加，燃油费增加，导致公务用车运行维护费较上年增加。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公务用车购置及运行维护费支出4.23万元，占100.00%，比上年增加0.28万元，增长7.09%，主要原因是：本年因业务需求，用车次数增加，燃油费增加，导致公务用车运行维护费较上年增加。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4.23万元，其中：公务用车购置费0.00万元，公务用车运行维护费4.23万元。公务用车运行维护费开支内容包括车辆加油费、维修费、保险费。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4.23万元，决算数4.23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4.23万元，决算数4.23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2025年度乌鲁木齐市老干部活动中心（行政单位和参照公务员法管理事业单位）机关运行经费支出29.35万元，比上年增加6.08万元，增长26.13%，主要原因是：本年业务量增加，办公费、水费、电费等支出增加。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2025年度政府采购支出总额1.87万元，其中：政府采购货物支出1.02万元、政府采购工程支出0.00万元、政府采购服务支出0.85万元。</w:t>
      </w:r>
    </w:p>
    <w:p>
      <w:pPr>
        <w:spacing w:line="580" w:lineRule="exact"/>
        <w:ind w:firstLine="640"/>
        <w:jc w:val="both"/>
      </w:pPr>
      <w:r>
        <w:rPr>
          <w:rFonts w:ascii="仿宋_GB2312" w:hAnsi="仿宋_GB2312" w:eastAsia="仿宋_GB2312"/>
          <w:b w:val="0"/>
          <w:sz w:val="32"/>
        </w:rPr>
        <w:t>授予中小企业合同金额1.87万元，占政府采购支出总额的100.00%，其中：授予小微企业合同金额1.75万元，占政府采购支出总额的93.58%。</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2辆，价值35.45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预算绩效评价项目2个，全年预算数17.05万元，全年执行数17.03万元。预算绩效管理取得的成效：一是抓好绩效目标编制，及时报送绩效目标；二是探索绩效跟踪监控，要求加强过程监控。三是深入开展财政支出绩效评价对专项资金实施绩效自评和项目核查，在此基础上形成自评报告。四是强化评价结果应用，组织绩效自评和绩效跟踪监控，对发现的问题及时改进，加强评价结果与项目资金安排的衔接。五是健全绩效管理工作机制，明确职责分工，努力提高了绩效管理工作水平。发现的问题及原因：一是预算编制科学性的问题。首先预算编制细化程度不够；二是预算编制的不合理性还表现在绩效目标设置不明确，年度目标与长期规划衔接的紧密程度需要增强。下一步改进措施：一是加强预算制定过程的科学性管理，提升预算方案的质量；二是注重长短期目标的衔接，合理设置年度绩效指标。具体附项目支出绩效自评表。</w:t>
      </w:r>
    </w:p>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老年大学（相关活动费）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乌鲁木齐市老干部活动中心</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老年大学（相关活动）项目是按时完成老年大学的相关课程安排及相关活动，承办上级安排的各项老年大学的活动和任务，使老干部门能在一个舒适的环境下上课，组织丰富的老干部活动，提升老干部的生活质量及最大程度发挥余热。</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组织完成6场活动，活动记录完整率100%，老干部满意度100%，项目实际支出1.72万元，通过项目实际增强老干部精神文化需求，提升老干部的生活质量及最大程度发挥余热，在文化传承中找到价值感。</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老年大学活动种类</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&gt;=3种</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=6种</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年初目标设置较保守，项目实际活动开展较多</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活动开展次数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活动记录完整率（%）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计划内活动及时开展率（%）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提升老干部生活质量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丰富老干部文化活动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效果良好</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99.89</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辅助履职人员支出</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乌鲁木齐市老干部活动中心</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此项资金属历年项目，活动中心作为老干部活动窗口，同时按照街道管委会、社区等要求，为贯彻落实自治区对于维稳的要求，看好自己的门，保证“不出事”。</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达成聘用辅助履职人数3人，其中：保安人数2人、保洁人数1人，安保人员到岗率100%，通过项目实施保障中心全楼安全稳定，楼内卫生提升效果，全面达成保安、保洁任务指标，全年无事故率，出色完成门禁管理目标，为活动中心营造安全有序、干净整洁的工作环境。</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聘用辅助履职人数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后勤安保人员到岗</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应急值守规范性</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保障中心全楼安全稳定</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保障安全</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楼内卫生提升效果</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老干部的满意度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