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乌鲁木齐市委老干部局（本级）</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一）负责指导全市离退休干部政治建设、思想建设和党组织建设，组织引导离退休干部在贯彻以习近平同志为核心的党中央治疆方略、特别是社会稳定和长治久安总目标中发挥作用，为党和人民事业增添正能量。</w:t>
      </w:r>
    </w:p>
    <w:p>
      <w:pPr>
        <w:spacing w:line="580" w:lineRule="exact"/>
        <w:ind w:firstLine="640"/>
        <w:jc w:val="both"/>
      </w:pPr>
      <w:r>
        <w:rPr>
          <w:rFonts w:ascii="仿宋_GB2312" w:hAnsi="仿宋_GB2312" w:eastAsia="仿宋_GB2312"/>
          <w:sz w:val="32"/>
        </w:rPr>
        <w:t>（二）组织开展全市离退休干部工作调查研究，制定全市离退休干部工作的具体意见和措施。</w:t>
      </w:r>
    </w:p>
    <w:p>
      <w:pPr>
        <w:spacing w:line="580" w:lineRule="exact"/>
        <w:ind w:firstLine="640"/>
        <w:jc w:val="both"/>
      </w:pPr>
      <w:r>
        <w:rPr>
          <w:rFonts w:ascii="仿宋_GB2312" w:hAnsi="仿宋_GB2312" w:eastAsia="仿宋_GB2312"/>
          <w:sz w:val="32"/>
        </w:rPr>
        <w:t>（三）负责全市离退休干部工作政策业务的指导和检查工作，并办理相关业务，督促有关部门落实离退休干部政治待遇和生活待遇。</w:t>
      </w:r>
    </w:p>
    <w:p>
      <w:pPr>
        <w:spacing w:line="580" w:lineRule="exact"/>
        <w:ind w:firstLine="640"/>
        <w:jc w:val="both"/>
      </w:pPr>
      <w:r>
        <w:rPr>
          <w:rFonts w:ascii="仿宋_GB2312" w:hAnsi="仿宋_GB2312" w:eastAsia="仿宋_GB2312"/>
          <w:sz w:val="32"/>
        </w:rPr>
        <w:t>（四）负责推动全市离退休干部工作精准化、信息化建设；指导全市老干部工作部门自身建设。</w:t>
      </w:r>
    </w:p>
    <w:p>
      <w:pPr>
        <w:spacing w:line="580" w:lineRule="exact"/>
        <w:ind w:firstLine="640"/>
        <w:jc w:val="both"/>
      </w:pPr>
      <w:r>
        <w:rPr>
          <w:rFonts w:ascii="仿宋_GB2312" w:hAnsi="仿宋_GB2312" w:eastAsia="仿宋_GB2312"/>
          <w:sz w:val="32"/>
        </w:rPr>
        <w:t>（五）组织协调开展离退休干部各项活动；严格管理、合理使用离退休干部各项专用经费。</w:t>
      </w:r>
    </w:p>
    <w:p>
      <w:pPr>
        <w:spacing w:line="580" w:lineRule="exact"/>
        <w:ind w:firstLine="640"/>
        <w:jc w:val="both"/>
      </w:pPr>
      <w:r>
        <w:rPr>
          <w:rFonts w:ascii="仿宋_GB2312" w:hAnsi="仿宋_GB2312" w:eastAsia="仿宋_GB2312"/>
          <w:sz w:val="32"/>
        </w:rPr>
        <w:t>（六）负责宣传党的离退休干部工作方针政策。</w:t>
      </w:r>
    </w:p>
    <w:p>
      <w:pPr>
        <w:spacing w:line="580" w:lineRule="exact"/>
        <w:ind w:firstLine="640"/>
        <w:jc w:val="both"/>
      </w:pPr>
      <w:r>
        <w:rPr>
          <w:rFonts w:ascii="仿宋_GB2312" w:hAnsi="仿宋_GB2312" w:eastAsia="仿宋_GB2312"/>
          <w:sz w:val="32"/>
        </w:rPr>
        <w:t>（七）承办市委交办的其他事项。</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乌鲁木齐市委老干部局（本级）无下属预算单位。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2025年度收入总计1,218.65万元，</w:t>
      </w:r>
      <w:r>
        <w:rPr>
          <w:rFonts w:ascii="仿宋_GB2312" w:hAnsi="仿宋_GB2312" w:eastAsia="仿宋_GB2312"/>
          <w:b w:val="0"/>
          <w:sz w:val="32"/>
        </w:rPr>
        <w:t>其中：本年收入合计1,218.65万元，使用非财政拨款结余（含专用结余）0.00万元，年初结转和结余0.00万元。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2025年度支出总计1,218.65万元，</w:t>
      </w:r>
      <w:r>
        <w:rPr>
          <w:rFonts w:ascii="仿宋_GB2312" w:hAnsi="仿宋_GB2312" w:eastAsia="仿宋_GB2312"/>
          <w:b w:val="0"/>
          <w:sz w:val="32"/>
        </w:rPr>
        <w:t>其中：本年支出合计1,218.65万元，结余分配0.00万元，年末结转和结余0.00万元。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减少240.83万元，下降16.50%，主要原因是：本年离休干部及地市级项目经费以及收回项目市属改制破产企业离休人员管理活动费较上年减少。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本年收入1,218.65万元，</w:t>
      </w:r>
      <w:r>
        <w:rPr>
          <w:rFonts w:ascii="仿宋_GB2312" w:hAnsi="仿宋_GB2312" w:eastAsia="仿宋_GB2312"/>
          <w:b w:val="0"/>
          <w:sz w:val="32"/>
        </w:rPr>
        <w:t>其中：财政拨款收入1,218.65万元，占100.00%；上级补助收入0.00万元，占0.00%；事业收入0.00万元，占0.00%；经营收入0.00万元，占0.00%；附属单位上缴收入0.00万元，占0.00%；其他收入0.00万元，占0.00%。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本年支出1,218.65万元，</w:t>
      </w:r>
      <w:r>
        <w:rPr>
          <w:rFonts w:ascii="仿宋_GB2312" w:hAnsi="仿宋_GB2312" w:eastAsia="仿宋_GB2312"/>
          <w:b w:val="0"/>
          <w:sz w:val="32"/>
        </w:rPr>
        <w:t>其中：基本支出401.71万元，占32.96%；项目支出816.94万元，占67.04%；上缴上级支出0.00万元，占0.00%；经营支出0.00万元，占0.00%；对附属单位补助支出0.00万元，占0.00%。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2025年度财政拨款收入总计1,218.65万元，</w:t>
      </w:r>
      <w:r>
        <w:rPr>
          <w:rFonts w:ascii="仿宋_GB2312" w:hAnsi="仿宋_GB2312" w:eastAsia="仿宋_GB2312"/>
          <w:b w:val="0"/>
          <w:sz w:val="32"/>
        </w:rPr>
        <w:t>其中：年初财政拨款结转和结余0.00万元，本年财政拨款收入1,218.65万元。</w:t>
      </w:r>
      <w:r>
        <w:rPr>
          <w:rFonts w:ascii="仿宋_GB2312" w:hAnsi="仿宋_GB2312" w:eastAsia="仿宋_GB2312"/>
          <w:b/>
          <w:sz w:val="32"/>
        </w:rPr>
        <w:t>财政拨款支出总计1,218.65万元，</w:t>
      </w:r>
      <w:r>
        <w:rPr>
          <w:rFonts w:ascii="仿宋_GB2312" w:hAnsi="仿宋_GB2312" w:eastAsia="仿宋_GB2312"/>
          <w:b w:val="0"/>
          <w:sz w:val="32"/>
        </w:rPr>
        <w:t>其中：年末财政拨款结转和结余0.00万元，本年财政拨款支出1,218.65万元。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减少235.83万元，下降16.21%，主要原因是：本年离休干部及地市级项目经费以及收回项目市属改制破产企业离休人员管理活动费较上年减少。</w:t>
      </w:r>
      <w:r>
        <w:rPr>
          <w:rFonts w:ascii="仿宋_GB2312" w:hAnsi="仿宋_GB2312" w:eastAsia="仿宋_GB2312"/>
          <w:b/>
          <w:sz w:val="32"/>
        </w:rPr>
        <w:t>与年初预算相比，</w:t>
      </w:r>
      <w:r>
        <w:rPr>
          <w:rFonts w:ascii="仿宋_GB2312" w:hAnsi="仿宋_GB2312" w:eastAsia="仿宋_GB2312"/>
          <w:b w:val="0"/>
          <w:sz w:val="32"/>
        </w:rPr>
        <w:t>年初预算数1,421.18万元，决算数1,218.65万元，预决算差异率-14.25%，主要原因是：本年市属改制破产企业离休人员人数减少，医疗统筹项目未执行完，年中调减经费，导致预决算存在差异。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pPr>
        <w:spacing w:line="580" w:lineRule="exact"/>
        <w:ind w:firstLine="640"/>
        <w:jc w:val="both"/>
      </w:pPr>
      <w:r>
        <w:rPr>
          <w:rFonts w:ascii="仿宋_GB2312" w:hAnsi="仿宋_GB2312" w:eastAsia="仿宋_GB2312"/>
          <w:b w:val="0"/>
          <w:sz w:val="32"/>
        </w:rPr>
        <w:t>按照支出功能分类，社会保障和就业支出（类）其他社会保障和就业支出（款）其他社会保障和就业支出（项）的支出占本年财政拨款支出总额的比重最高，2025年度决算数为657.30万元，占比53.94%，主要用于人员工资福利。</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2025年度一般公共预算财政拨款支出1,218.65万元，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减少235.83万元，下降16.21%，主要原因是：本年离休干部及地市级项目经费以及收回项目市属改制破产企业离休人员管理活动费较上年减少。</w:t>
      </w:r>
      <w:r>
        <w:rPr>
          <w:rFonts w:ascii="仿宋_GB2312" w:hAnsi="仿宋_GB2312" w:eastAsia="仿宋_GB2312"/>
          <w:b/>
          <w:sz w:val="32"/>
        </w:rPr>
        <w:t>与年初预算相比，</w:t>
      </w:r>
      <w:r>
        <w:rPr>
          <w:rFonts w:ascii="仿宋_GB2312" w:hAnsi="仿宋_GB2312" w:eastAsia="仿宋_GB2312"/>
          <w:b w:val="0"/>
          <w:sz w:val="32"/>
        </w:rPr>
        <w:t>年初预算数1,421.18万元，决算数1,218.65万元，预决算差异率-14.25%，主要原因是：本年市属改制破产企业离休人员人数减少，医疗统筹项目未执行完，年中调减经费，导致预决算存在差异。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1.一般公共服务支出（类）491.28万元，占40.31%。</w:t>
      </w:r>
    </w:p>
    <w:p>
      <w:pPr>
        <w:spacing w:line="580" w:lineRule="exact"/>
        <w:ind w:firstLine="640"/>
        <w:jc w:val="both"/>
      </w:pPr>
      <w:r>
        <w:rPr>
          <w:rFonts w:ascii="仿宋_GB2312" w:hAnsi="仿宋_GB2312" w:eastAsia="仿宋_GB2312"/>
          <w:b w:val="0"/>
          <w:sz w:val="32"/>
        </w:rPr>
        <w:t>2.社会保障和就业支出（类）727.38万元，占59.69%。</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财政事务（款）行政运行（项）：支出决算数为6.58万元，比上年决算增加6.58万元，增长100.00%，主要原因是：本年新增人员及在职人员职务职级晋升经费在此科目支出，导致经费较上年增加。</w:t>
      </w:r>
    </w:p>
    <w:p>
      <w:pPr>
        <w:spacing w:line="580" w:lineRule="exact"/>
        <w:ind w:firstLine="640"/>
        <w:jc w:val="both"/>
      </w:pPr>
      <w:r>
        <w:rPr>
          <w:rFonts w:ascii="仿宋_GB2312" w:hAnsi="仿宋_GB2312" w:eastAsia="仿宋_GB2312"/>
          <w:b w:val="0"/>
          <w:sz w:val="32"/>
        </w:rPr>
        <w:t>2.一般公共服务支出（类）其他共产党事务支出（款）行政运行（项）：支出决算数为325.05万元，比上年决算增加33.77万元，增长11.59%，主要原因是：本年新增在职人员，人员经费增加，导致经费较上年有所增加。</w:t>
      </w:r>
    </w:p>
    <w:p>
      <w:pPr>
        <w:spacing w:line="580" w:lineRule="exact"/>
        <w:ind w:firstLine="640"/>
        <w:jc w:val="both"/>
      </w:pPr>
      <w:r>
        <w:rPr>
          <w:rFonts w:ascii="仿宋_GB2312" w:hAnsi="仿宋_GB2312" w:eastAsia="仿宋_GB2312"/>
          <w:b w:val="0"/>
          <w:sz w:val="32"/>
        </w:rPr>
        <w:t>3.一般公共服务支出（类）其他共产党事务支出（款）一般行政管理事务（项）：支出决算数为146.14万元，比上年决算减少15.12万元，下降9.38%，主要原因是：本年离休干部及地市级项目资金较上年减少。</w:t>
      </w:r>
    </w:p>
    <w:p>
      <w:pPr>
        <w:spacing w:line="580" w:lineRule="exact"/>
        <w:ind w:firstLine="640"/>
        <w:jc w:val="both"/>
      </w:pPr>
      <w:r>
        <w:rPr>
          <w:rFonts w:ascii="仿宋_GB2312" w:hAnsi="仿宋_GB2312" w:eastAsia="仿宋_GB2312"/>
          <w:b w:val="0"/>
          <w:sz w:val="32"/>
        </w:rPr>
        <w:t>4.一般公共服务支出（类）其他共产党事务支出（款）其他共产党事务支出（项）：支出决算数为13.50万元，比上年决算增加13.50万元，增长100.00%，主要原因是：本年新增下达我市抗战时期及以前参加革命工作的离休干部一次性补助资金。</w:t>
      </w:r>
    </w:p>
    <w:p>
      <w:pPr>
        <w:spacing w:line="580" w:lineRule="exact"/>
        <w:ind w:firstLine="640"/>
        <w:jc w:val="both"/>
      </w:pPr>
      <w:r>
        <w:rPr>
          <w:rFonts w:ascii="仿宋_GB2312" w:hAnsi="仿宋_GB2312" w:eastAsia="仿宋_GB2312"/>
          <w:b w:val="0"/>
          <w:sz w:val="32"/>
        </w:rPr>
        <w:t>5.科学技术支出（类）其他科学技术支出（款）其他科学技术支出（项）：支出决算数为0.00万元，比上年决算减少1.47万元，下降100.00%，主要原因是：本年减少购置电脑，经费较少。</w:t>
      </w:r>
    </w:p>
    <w:p>
      <w:pPr>
        <w:spacing w:line="580" w:lineRule="exact"/>
        <w:ind w:firstLine="640"/>
        <w:jc w:val="both"/>
      </w:pPr>
      <w:r>
        <w:rPr>
          <w:rFonts w:ascii="仿宋_GB2312" w:hAnsi="仿宋_GB2312" w:eastAsia="仿宋_GB2312"/>
          <w:b w:val="0"/>
          <w:sz w:val="32"/>
        </w:rPr>
        <w:t>6.社会保障和就业支出（类）行政事业单位养老支出（款）行政单位离退休（项）：支出决算数为22.41万元，比上年决算增加5.78万元，增长34.76%，主要原因是：本年增加退休人员基础绩效奖，退休费支出增加。</w:t>
      </w:r>
    </w:p>
    <w:p>
      <w:pPr>
        <w:spacing w:line="580" w:lineRule="exact"/>
        <w:ind w:firstLine="640"/>
        <w:jc w:val="both"/>
      </w:pPr>
      <w:r>
        <w:rPr>
          <w:rFonts w:ascii="仿宋_GB2312" w:hAnsi="仿宋_GB2312" w:eastAsia="仿宋_GB2312"/>
          <w:b w:val="0"/>
          <w:sz w:val="32"/>
        </w:rPr>
        <w:t>7.社会保障和就业支出（类）行政事业单位养老支出（款）机关事业单位基本养老保险缴费支出（项）：支出决算数为34.87万元，比上年决算增加3.69万元，增长11.83%，主要原因是：本年在职人员增加，养老保险缴费较上年增加。</w:t>
      </w:r>
    </w:p>
    <w:p>
      <w:pPr>
        <w:spacing w:line="580" w:lineRule="exact"/>
        <w:ind w:firstLine="640"/>
        <w:jc w:val="both"/>
      </w:pPr>
      <w:r>
        <w:rPr>
          <w:rFonts w:ascii="仿宋_GB2312" w:hAnsi="仿宋_GB2312" w:eastAsia="仿宋_GB2312"/>
          <w:b w:val="0"/>
          <w:sz w:val="32"/>
        </w:rPr>
        <w:t>8.社会保障和就业支出（类）行政事业单位养老支出（款）机关事业单位职业年金缴费支出（项）：支出决算数为12.80万元，比上年决算减少0.04万元，下降0.31%，主要原因是：本年退休人员数量变动、职业年金缴费较上年减少。</w:t>
      </w:r>
    </w:p>
    <w:p>
      <w:pPr>
        <w:spacing w:line="580" w:lineRule="exact"/>
        <w:ind w:firstLine="640"/>
        <w:jc w:val="both"/>
      </w:pPr>
      <w:r>
        <w:rPr>
          <w:rFonts w:ascii="仿宋_GB2312" w:hAnsi="仿宋_GB2312" w:eastAsia="仿宋_GB2312"/>
          <w:b w:val="0"/>
          <w:sz w:val="32"/>
        </w:rPr>
        <w:t>9.社会保障和就业支出（类）抚恤（款）死亡抚恤（项）：支出决算数为0.00万元，比上年决算减少21.22万元，下降100.00%，主要原因是：本年无死亡人员，死亡抚恤支出减少。</w:t>
      </w:r>
    </w:p>
    <w:p>
      <w:pPr>
        <w:spacing w:line="580" w:lineRule="exact"/>
        <w:ind w:firstLine="640"/>
        <w:jc w:val="both"/>
      </w:pPr>
      <w:r>
        <w:rPr>
          <w:rFonts w:ascii="仿宋_GB2312" w:hAnsi="仿宋_GB2312" w:eastAsia="仿宋_GB2312"/>
          <w:b w:val="0"/>
          <w:sz w:val="32"/>
        </w:rPr>
        <w:t>10.社会保障和就业支出（类）其他社会保障和就业支出（款）其他社会保障和就业支出（项）：支出决算数为657.30万元，比上年决算减少261.30万元，下降28.45%，主要原因是：本年市属改制破产企业离休人员人数减少，医疗统筹补助经费减少，导致经费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2025年度一般公共预算财政拨款基本支出401.71万元，其中：</w:t>
      </w:r>
      <w:r>
        <w:rPr>
          <w:rFonts w:ascii="仿宋_GB2312" w:hAnsi="仿宋_GB2312" w:eastAsia="仿宋_GB2312"/>
          <w:b/>
          <w:sz w:val="32"/>
        </w:rPr>
        <w:t>人员经费369.59万元，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包括：基本工资、津贴补贴、奖金、机关事业单位基本养老保险缴费、职业年金缴费、职工基本医疗保险缴费、公务员医疗补助缴费、其他社会保障缴费、住房公积金、退休费、生活补助。</w:t>
      </w:r>
    </w:p>
    <w:p>
      <w:pPr>
        <w:spacing w:line="580" w:lineRule="exact"/>
        <w:ind w:firstLine="640"/>
        <w:jc w:val="both"/>
      </w:pPr>
      <w:r>
        <w:rPr>
          <w:rFonts w:ascii="仿宋_GB2312" w:hAnsi="仿宋_GB2312" w:eastAsia="仿宋_GB2312"/>
          <w:b/>
          <w:sz w:val="32"/>
        </w:rPr>
        <w:t>公用经费32.12万元，</w:t>
      </w:r>
      <w:r>
        <w:rPr>
          <w:rFonts w:ascii="仿宋_GB2312" w:hAnsi="仿宋_GB2312" w:eastAsia="仿宋_GB2312"/>
          <w:b w:val="0"/>
          <w:sz w:val="32"/>
        </w:rPr>
        <w:t>包括：办公费、邮电费、差旅费、工会经费、福利费、公务用车运行维护费、其他商品和服务支出。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2025年度财政拨款“三公”经费支出4.51万元，</w:t>
      </w:r>
      <w:r>
        <w:rPr>
          <w:rFonts w:ascii="仿宋_GB2312" w:hAnsi="仿宋_GB2312" w:eastAsia="仿宋_GB2312"/>
          <w:b w:val="0"/>
          <w:sz w:val="32"/>
        </w:rPr>
        <w:t>比上年增加0.46万元，增长11.36%，主要原因是：本年车辆保险费增加，导致公务用车运行维护费增加。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公务用车购置及运行维护费支出4.51万元，占100.00%，比上年增加0.46万元，增长11.36%，主要原因是：本年车辆保险费增加，导致公务用车运行维护费增加。</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4.51万元，其中：公务用车购置费0.00万元，公务用车运行维护费4.51万元。公务用车运行维护费开支内容包括车辆加油费、维修费、保险费、审车费、过路费。公务用车购置数0辆，公务用车保有量4辆。国有资产占用情况中固定资产车辆4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4.51万元，决算数4.51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4.51万元，决算数4.51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乌鲁木齐市委老干部局（本级）（行政单位和参照公务员法管理事业单位）机关运行经费支出32.12万元，比上年增加5.43万元，增长20.34%，主要原因是：本年更新、维护补充办公用品，导致机关运行经费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2025年度政府采购支出总额4.23万元，其中：政府采购货物支出2.01万元、政府采购工程支出0.00万元、政府采购服务支出2.22万元。</w:t>
      </w:r>
    </w:p>
    <w:p>
      <w:pPr>
        <w:spacing w:line="580" w:lineRule="exact"/>
        <w:ind w:firstLine="640"/>
        <w:jc w:val="both"/>
      </w:pPr>
      <w:r>
        <w:rPr>
          <w:rFonts w:ascii="仿宋_GB2312" w:hAnsi="仿宋_GB2312" w:eastAsia="仿宋_GB2312"/>
          <w:b w:val="0"/>
          <w:sz w:val="32"/>
        </w:rPr>
        <w:t>授予中小企业合同金额3.21万元，占政府采购支出总额的75.89%，其中：授予小微企业合同金额3.21万元，占政府采购支出总额的75.89%。</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4辆，价值83.11万元，其中：副部（省）级及以上领导用车0辆、主要负责人用车0辆、机要通信用车0辆、应急保障用车0辆、执法执勤用车0辆、特种专业技术用车0辆、离退休干部服务用车0辆、其他用车4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预算绩效评价项目5个，全年预算数817.32万元，全年执行数803.44万元。预算绩效管理取得的成效：一是抓好绩效目标编制，及时报送绩效目标；二是探索绩效跟踪监控，要求加强过程监控。三是深入开展财政支出绩效评价对专项资金实施绩效自评和项目核查，在此基础上形成自评报告。四是强化评价结果应用，组织绩效自评和绩效跟踪监控，对发现的问题及时改进，加强评价结果与项目资金安排的衔接。五是健全绩效管理工作机制，明确职责分工，努力提高了绩效管理工作水平。发现的问题及原因：一是预算编制科学性的问题。首先预算编制细化程度不够；二是预算编制的不合理性还表现在绩效目标设置不明确，年度目标与长期规划衔接的紧密程度需要增强。下一步改进措施：一是加强预算制定过程的科学性管理，提升预算方案的质量；二是注重长短期目标的衔接，合理设置年度绩效指标。具体附项目支出绩效自评表、项目支出绩效评价报告。</w:t>
      </w:r>
    </w:p>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4"/>
        <w:gridCol w:w="821"/>
        <w:gridCol w:w="614"/>
        <w:gridCol w:w="558"/>
        <w:gridCol w:w="284"/>
        <w:gridCol w:w="520"/>
        <w:gridCol w:w="413"/>
        <w:gridCol w:w="464"/>
        <w:gridCol w:w="614"/>
        <w:gridCol w:w="473"/>
        <w:gridCol w:w="614"/>
      </w:tblGrid>
      <w:tr>
        <w:trPr>
          <w:trHeight w:val="408"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公益帮扶、宣讲及活动经费</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乌鲁木齐市委老干部局</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乌鲁木齐市委老干部局（本级）</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19.70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19.70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17.80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90.36%</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9.04分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19.70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19.70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17.80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通过与相关部门协同做好农村留守儿童和困境儿童等群体的关爱与服务工作； 党建工作科、老干部活动中心、老干部休养所坚持因地制宜，创新形式，建好全国关心下一代党史国史教育基地、中国关心下一代教育基地、“五老”工作室等教育阵地，达到提高利用率和青少年参与度。</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截至2025年底，我单位举办宣讲活动覆盖人数72人，发放关工委副主任补贴人次101人次，对从事关心下一代工作的9名五老（关工委副主任）给予适当经费补助10.1万元； 采取灵活多样的形式，有计划的开展学习培训及按照国务院要求，通过与相关部门协同做好农村留守儿童和困境儿童等群体的关爱与服务工作共计7.7万元；实际完成共计17.8万元，达到提高农村留守儿童的幸福感。</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举办宣讲活动覆盖人数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&gt;=70人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发放关工委副主任补贴人次</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=120人次</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8.42</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=101人次</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按照单位实际情况进行发放</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84.17</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活动记录完整率（%）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困难儿童节日慰问及时率（%）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计划内活动及时开展率（%）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持续宣传关心关爱工作</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持续有效</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困难儿童及五老人员的满意度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97.46</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4"/>
        <w:gridCol w:w="821"/>
        <w:gridCol w:w="614"/>
        <w:gridCol w:w="558"/>
        <w:gridCol w:w="284"/>
        <w:gridCol w:w="520"/>
        <w:gridCol w:w="413"/>
        <w:gridCol w:w="464"/>
        <w:gridCol w:w="614"/>
        <w:gridCol w:w="473"/>
        <w:gridCol w:w="614"/>
      </w:tblGrid>
      <w:tr>
        <w:trPr>
          <w:trHeight w:val="408"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市属改制破产企业离休人员医疗统筹补助</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乌鲁木齐市委老干部局</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乌鲁木齐市委老干部局（本级）</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918.60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657.30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657.30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918.60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657.30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657.30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2025年度共需补助45家企业102人，需要医疗统筹补助资金657.3万元。其中：补助标准每人每年6.6万元的86人，计567.6万元；补助标准每人每年6万元的11人，计66万元；补助标准每人每年5.7万元的1人，计5.7万元；补助标准每人每年4.5万元的4人，计18万元。合计657.3万元。</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度，共补助45家企业102人，需要医疗统筹补助资金657.3万元，医疗补助金发放准确率100%，资金拨付及时性100%，通过项目实施完善考核监督机制，强化结果运用，推动后勤服务精细化、规范化，为本单位安全有序运行提供坚实保障。</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医疗救助帮扶人次</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&gt;=102人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=102人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帮扶破产企业个数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&gt;=45家</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=45家</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医疗补助金发放准确率（%）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资金拨付及时性（%）</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离休人员待遇，社会氛围良好</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有效果</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离休人员满意度（%）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4"/>
        <w:gridCol w:w="821"/>
        <w:gridCol w:w="614"/>
        <w:gridCol w:w="558"/>
        <w:gridCol w:w="284"/>
        <w:gridCol w:w="520"/>
        <w:gridCol w:w="413"/>
        <w:gridCol w:w="464"/>
        <w:gridCol w:w="614"/>
        <w:gridCol w:w="473"/>
        <w:gridCol w:w="614"/>
      </w:tblGrid>
      <w:tr>
        <w:trPr>
          <w:trHeight w:val="408"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离休干部及地市级退休干部管理活动费</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乌鲁木齐市委老干部局</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乌鲁木齐市委老干部局（本级）</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69.57</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69.57</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69.29</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99.60%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9.96分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69.57</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69.57</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69.29</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1.完善和落实阅读文件、参加重要会议和重大活动、通报情况、组织参观学习、走访慰问等制度。2.在重要纪念日、重大庆典和老年节、春节、古尔邦节等重要节日期间集中走访慰问，在离退休干部生日、患病住院、家庭出现重大变故时及时关心看望。对易地安置离休干部每年至少走访慰问1次，对异地居住的离休干部原单位合居住地应予以关心照顾。3.采取“请进来”和走出去相结合的方式，对离退休干部党支部书记、党支部委员、党小组组长、党务专干进行为期不少于2天的集中培训。4.加强活动学习阵地建设，推动党建资源共建共享，为离退休干部党组织开展活动提供保障”订阅资料、保障老干部服务用车。</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我单位开展行业宣传推广活动举办次数3场，走访慰问人数85人，组织培训、参观人数30人，通过项目实施体现党对老干部的关怀，以物质慰问、事务性关怀为主，对老干部精神文化需求、心理慰藉关注提升。</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行业宣传推广活动举办次数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走访慰问人数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&gt;=80人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组织培训、参观人数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资金发放准确率（%）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资金拨付及时性（%）</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体现党对老干部的关怀</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效果明显</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老干部满意度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99.96</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4"/>
        <w:gridCol w:w="821"/>
        <w:gridCol w:w="614"/>
        <w:gridCol w:w="558"/>
        <w:gridCol w:w="284"/>
        <w:gridCol w:w="520"/>
        <w:gridCol w:w="413"/>
        <w:gridCol w:w="464"/>
        <w:gridCol w:w="614"/>
        <w:gridCol w:w="473"/>
        <w:gridCol w:w="614"/>
      </w:tblGrid>
      <w:tr>
        <w:trPr>
          <w:trHeight w:val="408"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老干部及遗孀补贴资金</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乌鲁木齐市委老干部局</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乌鲁木齐市委老干部局（本级）</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59.65</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59.65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47.96</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80.40%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8.04分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59.65</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59.65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47.96</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对已故离休干部和同期参加革命工作已故老工人无固定收入的配偶存在生活困难进行补助帮扶，保障老干部及遗孀的基本生活，按月按标准足额发放生活补助、采暖费、医药费补助，让受帮扶者感受到党和国家对其真切的关怀。</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对已故离休干部和同期参加革命工作已故老工人无固定收入的配偶存在生活困难进行补助帮扶，发放补贴人次216人，按月按标准足额发放生活补助、采暖费、医药费补助，通过项目实施帮扶保障待遇，社会氛围良好。</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发放补贴人次</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=216人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=216人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资金发放准确率（%）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资金发放及时率（%）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老干部遗孀生活补贴资金</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&lt;=28.51万元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7.95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=22.66万元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因有去世人员，减少支出。</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79.48</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特困离退休干部及遗孀帮扶资金</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&lt;=31.14万元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8.13</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=25.3万元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因有去世人员，减少支出。</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81.25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帮扶保障待遇，社会氛围良好</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老干部及遗孀满意度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94.12</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4"/>
        <w:gridCol w:w="821"/>
        <w:gridCol w:w="614"/>
        <w:gridCol w:w="558"/>
        <w:gridCol w:w="284"/>
        <w:gridCol w:w="520"/>
        <w:gridCol w:w="413"/>
        <w:gridCol w:w="464"/>
        <w:gridCol w:w="614"/>
        <w:gridCol w:w="473"/>
        <w:gridCol w:w="614"/>
      </w:tblGrid>
      <w:tr>
        <w:trPr>
          <w:trHeight w:val="408"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辅助履职人员支出</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乌鲁木齐市委老干部局</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乌鲁木齐市委老干部局（本级）</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11.10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11.09</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99.91%</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11.10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11.09</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加强活动学习阵地建设，推动党建资源共建共享，为离退休干部党组织开展活动提供保障”订阅资料、保障老干部服务用车。</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我单位临聘人员人数20人，临聘人员到岗率100%，通过项目实施帮扶保障老干部服务，对老干部热情周到，主动协助上下车，满足就医、参会等个性化需求，提升满意度，做到安全零事故，保障老干部服务需求。</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临聘人员人数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8.33</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83.33</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临聘人员到岗率（%）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资金发放及时率（%）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帮扶保障老干部服务</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为老干部服务的满意度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98.32</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