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乌鲁木齐市档案馆</w:t>
      </w: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乌鲁木齐市档案馆贯彻落实党中央、自治区党委关于档案工作的方针政策和决策部署以及市委工作要求，在履行职责过程中坚持和加强党对档案工作的集中统一领导。主要职责是。</w:t>
      </w:r>
    </w:p>
    <w:p>
      <w:pPr>
        <w:spacing w:line="580" w:lineRule="exact"/>
        <w:ind w:firstLine="640"/>
        <w:jc w:val="both"/>
      </w:pPr>
      <w:r>
        <w:rPr>
          <w:rFonts w:ascii="仿宋_GB2312" w:hAnsi="仿宋_GB2312" w:eastAsia="仿宋_GB2312"/>
          <w:sz w:val="32"/>
        </w:rPr>
        <w:t>1.贯彻执行国家、自治区和我市关于档案工作的方针、政策和法律、法规；编制档案接收保管利用的工作规划和年度计划。</w:t>
      </w:r>
    </w:p>
    <w:p>
      <w:pPr>
        <w:spacing w:line="580" w:lineRule="exact"/>
        <w:ind w:firstLine="640"/>
        <w:jc w:val="both"/>
      </w:pPr>
      <w:r>
        <w:rPr>
          <w:rFonts w:ascii="仿宋_GB2312" w:hAnsi="仿宋_GB2312" w:eastAsia="仿宋_GB2312"/>
          <w:sz w:val="32"/>
        </w:rPr>
        <w:t>2.集中统一管理中华人民共和国成立前本行政区内各个历史时期政权机构、社会组织、著名人物的档案；集中统一管理全市党政机关的重要档案资料；维护档案的完整，确保档案资料的安全。</w:t>
      </w:r>
    </w:p>
    <w:p>
      <w:pPr>
        <w:spacing w:line="580" w:lineRule="exact"/>
        <w:ind w:firstLine="640"/>
        <w:jc w:val="both"/>
      </w:pPr>
      <w:r>
        <w:rPr>
          <w:rFonts w:ascii="仿宋_GB2312" w:hAnsi="仿宋_GB2312" w:eastAsia="仿宋_GB2312"/>
          <w:sz w:val="32"/>
        </w:rPr>
        <w:t>3.负责接收、征集、保管全市党政机关、社会团体、企业、事业单位和其他组织及撤销单位的档案资料，做好各门类档案的规范化和信息化管理；负责档案史料的编研出版工作；负责档案信息开发和提供利用工作；负责重点档案的抢救和保护工作。</w:t>
      </w:r>
    </w:p>
    <w:p>
      <w:pPr>
        <w:spacing w:line="580" w:lineRule="exact"/>
        <w:ind w:firstLine="640"/>
        <w:jc w:val="both"/>
      </w:pPr>
      <w:r>
        <w:rPr>
          <w:rFonts w:ascii="仿宋_GB2312" w:hAnsi="仿宋_GB2312" w:eastAsia="仿宋_GB2312"/>
          <w:sz w:val="32"/>
        </w:rPr>
        <w:t>4.开展档案学理论、档案馆业务和档案管理现代化研究工作；组织档案学术交流活动，指导相关社团工作。</w:t>
      </w:r>
    </w:p>
    <w:p>
      <w:pPr>
        <w:spacing w:line="580" w:lineRule="exact"/>
        <w:ind w:firstLine="640"/>
        <w:jc w:val="both"/>
      </w:pPr>
      <w:r>
        <w:rPr>
          <w:rFonts w:ascii="仿宋_GB2312" w:hAnsi="仿宋_GB2312" w:eastAsia="仿宋_GB2312"/>
          <w:sz w:val="32"/>
        </w:rPr>
        <w:t>5.承办市委、市人民政府交办的其他事项。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乌鲁木齐市档案馆无下属预算单位。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2025年度收入总计832.84万元，</w:t>
      </w:r>
      <w:r>
        <w:rPr>
          <w:rFonts w:ascii="仿宋_GB2312" w:hAnsi="仿宋_GB2312" w:eastAsia="仿宋_GB2312"/>
          <w:b w:val="0"/>
          <w:sz w:val="32"/>
        </w:rPr>
        <w:t>其中：本年收入合计832.75万元，使用非财政拨款结余（含专用结余）0.00万元，年初结转和结余0.09万元。</w:t>
      </w:r>
    </w:p>
    <w:p>
      <w:pPr>
        <w:spacing w:line="580" w:lineRule="exact"/>
        <w:ind w:firstLine="640"/>
        <w:jc w:val="both"/>
      </w:pPr>
      <w:r>
        <w:rPr>
          <w:rFonts w:ascii="仿宋_GB2312" w:hAnsi="仿宋_GB2312" w:eastAsia="仿宋_GB2312"/>
          <w:b/>
          <w:sz w:val="32"/>
        </w:rPr>
        <w:t>2025年度支出总计832.84万元，</w:t>
      </w:r>
      <w:r>
        <w:rPr>
          <w:rFonts w:ascii="仿宋_GB2312" w:hAnsi="仿宋_GB2312" w:eastAsia="仿宋_GB2312"/>
          <w:b w:val="0"/>
          <w:sz w:val="32"/>
        </w:rPr>
        <w:t>其中：本年支出合计832.75万元，结余分配0.00万元，年末结转和结余0.09万元。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增加55.17万元，增长7.09%，主要原因是：本年度档案信息资源共享平台建设项目资金较上年增加；新增历史照片展厅改造项目，项目资金较上年增加。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本年收入832.75万元，</w:t>
      </w:r>
      <w:r>
        <w:rPr>
          <w:rFonts w:ascii="仿宋_GB2312" w:hAnsi="仿宋_GB2312" w:eastAsia="仿宋_GB2312"/>
          <w:b w:val="0"/>
          <w:sz w:val="32"/>
        </w:rPr>
        <w:t>其中：财政拨款收入832.75万元，占100.00%；上级补助收入0.00万元，占0.00%；事业收入0.00万元，占0.00%；经营收入0.00万元，占0.00%；附属单位上缴收入0.00万元，占0.00%；其他收入0.00万元，占0.00%。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本年支出832.75万元，</w:t>
      </w:r>
      <w:r>
        <w:rPr>
          <w:rFonts w:ascii="仿宋_GB2312" w:hAnsi="仿宋_GB2312" w:eastAsia="仿宋_GB2312"/>
          <w:b w:val="0"/>
          <w:sz w:val="32"/>
        </w:rPr>
        <w:t>其中：基本支出556.55万元，占66.83%；项目支出276.20万元，占33.17%；上缴上级支出0.00万元，占0.00%；经营支出0.00万元，占0.00%；对附属单位补助支出0.00万元，占0.00%。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2025年度财政拨款收入总计832.75万元，</w:t>
      </w:r>
      <w:r>
        <w:rPr>
          <w:rFonts w:ascii="仿宋_GB2312" w:hAnsi="仿宋_GB2312" w:eastAsia="仿宋_GB2312"/>
          <w:b w:val="0"/>
          <w:sz w:val="32"/>
        </w:rPr>
        <w:t>其中：年初财政拨款结转和结余0.00万元，本年财政拨款收入832.75万元。</w:t>
      </w:r>
      <w:r>
        <w:rPr>
          <w:rFonts w:ascii="仿宋_GB2312" w:hAnsi="仿宋_GB2312" w:eastAsia="仿宋_GB2312"/>
          <w:b/>
          <w:sz w:val="32"/>
        </w:rPr>
        <w:t>财政拨款支出总计832.75万元，</w:t>
      </w:r>
      <w:r>
        <w:rPr>
          <w:rFonts w:ascii="仿宋_GB2312" w:hAnsi="仿宋_GB2312" w:eastAsia="仿宋_GB2312"/>
          <w:b w:val="0"/>
          <w:sz w:val="32"/>
        </w:rPr>
        <w:t>其中：年末财政拨款结转和结余0.00万元，本年财政拨款支出832.75万元。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增加55.17万元，增长7.10%，主要原因是：本年度档案信息资源共享平台建设项目资金较上年增加；新增历史照片展厅改造项目，项目资金较上年增加。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年初预算数756.89万元，决算数832.75万元，预决算差异率10.02%，主要原因是：年中追加人员工资、社保、公积金基数调增部分资金，年中追加历史照片展厅改造项目，导致预决算存在差异。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档案事业发展、查档服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按照支出功能分类，一般公共服务支出（类）档案事务（款）行政运行（项）的支出占本年财政拨款支出总额的比重最高，2025年度决算数为472.57万元，占比56.75%，主要用于人员工资福利、日常公用经费。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2025年度一般公共预算财政拨款支出832.75万元，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增加55.17万元，增长7.10%，主要原因是：本年度档案信息资源共享平台建设项目资金较上年增加；新增历史照片展厅改造项目，项目资金较上年增加。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年初预算数756.89万元，决算数832.75万元，预决算差异率10.02%，主要原因是：年中追加人员工资、社保、公积金基数调增部分资金，年中追加历史照片展厅改造项目，导致预决算存在差异。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1.一般公共服务支出（类）748.76万元，占89.91%。</w:t>
      </w:r>
    </w:p>
    <w:p>
      <w:pPr>
        <w:spacing w:line="580" w:lineRule="exact"/>
        <w:ind w:firstLine="640"/>
        <w:jc w:val="both"/>
      </w:pPr>
      <w:r>
        <w:rPr>
          <w:rFonts w:ascii="仿宋_GB2312" w:hAnsi="仿宋_GB2312" w:eastAsia="仿宋_GB2312"/>
          <w:b w:val="0"/>
          <w:sz w:val="32"/>
        </w:rPr>
        <w:t>2.社会保障和就业支出（类）83.98万元，占10.08%。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档案事务（款）行政运行（项）：支出决算数为472.57万元，比上年决算减少2.14万元，下降0.45%，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2.一般公共服务支出（类）档案事务（款）档案馆（项）：支出决算数为276.20万元，比上年决算增加76.46万元，增长38.28%，主要原因是：本年度档案信息资源共享平台建设项目资金较上年增加；新增历史照片展厅改造项目，项目资金较上年增加。</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30.61万元，比上年决算增加9.36万元，增长44.05%，主要原因是：2024年4-7月在职人员转退休，上年度只发放这些退休人员半年的退休费，本年发放全年退休费支出，故退休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42.18万元，比上年决算增加0.68万元，增长1.64%，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11.19万元，比上年决算减少29.19万元，下降72.29%，主要原因是：本年新增退休人员较上年减少，职业年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2025年度一般公共预算财政拨款基本支出556.55万元，其中：</w:t>
      </w:r>
      <w:r>
        <w:rPr>
          <w:rFonts w:ascii="仿宋_GB2312" w:hAnsi="仿宋_GB2312" w:eastAsia="仿宋_GB2312"/>
          <w:b/>
          <w:sz w:val="32"/>
        </w:rPr>
        <w:t>人员经费491.04万元，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公用经费65.51万元，</w:t>
      </w:r>
      <w:r>
        <w:rPr>
          <w:rFonts w:ascii="仿宋_GB2312" w:hAnsi="仿宋_GB2312" w:eastAsia="仿宋_GB2312"/>
          <w:b w:val="0"/>
          <w:sz w:val="32"/>
        </w:rPr>
        <w:t>包括：办公费、印刷费、水费、电费、邮电费、取暖费、差旅费、维修（护）费、培训费、劳务费、委托业务费、工会经费、福利费、公务用车运行维护费、其他商品和服务支出。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2025年度财政拨款“三公”经费支出2.86万元，</w:t>
      </w:r>
      <w:r>
        <w:rPr>
          <w:rFonts w:ascii="仿宋_GB2312" w:hAnsi="仿宋_GB2312" w:eastAsia="仿宋_GB2312"/>
          <w:b w:val="0"/>
          <w:sz w:val="32"/>
        </w:rPr>
        <w:t>比上年增加0.09万元，增长3.25%，主要原因是：本部门公务用车日渐老化，维修维护成本增加，导致公务用车运行维护费较上年增加。其中：因公出国（境）费用支出0.00万元，占0.00%，比上年增加0.00万元，增长0.00%，主要原因是：2024年与2025年均无因公出国（境）费用支出。公务用车购置及运行维护费支出2.86万元，占100.00%，比上年增加0.09万元，增长3.25%，主要原因是：本部门公务用车日渐老化，维修维护成本增加，导致公务用车运行维护费较上年增加。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2.86万元，其中：公务用车购置费0.00万元，公务用车运行维护费2.86万元。公务用车运行维护费开支内容包括车辆加油费、维修费、保险费。公务用车购置数0辆，公务用车保有量2辆。国有资产占用情况中固定资产车辆2辆，与公务用车保有量差异原因是：本部门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2.86万元，决算数2.86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2.86万元，决算数2.86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2025年度乌鲁木齐市档案馆（行政单位和参照公务员法管理事业单位）机关运行经费支出65.51万元，比上年增加7.50万元，增长12.93%，主要原因是：本年增加办公楼取暖费，导致公用经费增加。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2025年度政府采购支出总额36.65万元，其中：政府采购货物支出5.20万元、政府采购工程支出18.83万元、政府采购服务支出12.62万元。</w:t>
      </w:r>
    </w:p>
    <w:p>
      <w:pPr>
        <w:spacing w:line="580" w:lineRule="exact"/>
        <w:ind w:firstLine="640"/>
        <w:jc w:val="both"/>
      </w:pPr>
      <w:r>
        <w:rPr>
          <w:rFonts w:ascii="仿宋_GB2312" w:hAnsi="仿宋_GB2312" w:eastAsia="仿宋_GB2312"/>
          <w:b w:val="0"/>
          <w:sz w:val="32"/>
        </w:rPr>
        <w:t>授予中小企业合同金额34.22万元，占政府采购支出总额的93.37%，其中：授予小微企业合同金额34.22万元，占政府采购支出总额的93.37%。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33.01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根据预算绩效管理要求，本部门2025年度预算绩效管理形成整体支出绩效自评表1个，全年预算总额850.02万元，实际执行总额832.75万元；预算绩效评价项目</w:t>
      </w:r>
      <w:r>
        <w:rPr>
          <w:rFonts w:hint="eastAsia" w:ascii="仿宋_GB2312" w:hAnsi="仿宋_GB2312" w:eastAsia="仿宋_GB2312"/>
          <w:b w:val="0"/>
          <w:sz w:val="32"/>
          <w:lang w:val="en-US" w:eastAsia="zh-CN"/>
        </w:rPr>
        <w:t>5</w:t>
      </w:r>
      <w:r>
        <w:rPr>
          <w:rFonts w:ascii="仿宋_GB2312" w:hAnsi="仿宋_GB2312" w:eastAsia="仿宋_GB2312"/>
          <w:b w:val="0"/>
          <w:sz w:val="32"/>
        </w:rPr>
        <w:t>个，全年预算数</w:t>
      </w:r>
      <w:r>
        <w:rPr>
          <w:rFonts w:hint="eastAsia" w:ascii="仿宋_GB2312" w:hAnsi="仿宋_GB2312" w:eastAsia="仿宋_GB2312"/>
          <w:b w:val="0"/>
          <w:sz w:val="32"/>
          <w:lang w:val="en-US" w:eastAsia="zh-CN"/>
        </w:rPr>
        <w:t>276.36</w:t>
      </w:r>
      <w:r>
        <w:rPr>
          <w:rFonts w:ascii="仿宋_GB2312" w:hAnsi="仿宋_GB2312" w:eastAsia="仿宋_GB2312"/>
          <w:b w:val="0"/>
          <w:sz w:val="32"/>
        </w:rPr>
        <w:t>万元，全年执行数</w:t>
      </w:r>
      <w:r>
        <w:rPr>
          <w:rFonts w:hint="eastAsia" w:ascii="仿宋_GB2312" w:hAnsi="仿宋_GB2312" w:eastAsia="仿宋_GB2312"/>
          <w:b w:val="0"/>
          <w:sz w:val="32"/>
          <w:lang w:val="en-US" w:eastAsia="zh-CN"/>
        </w:rPr>
        <w:t>276.2</w:t>
      </w:r>
      <w:r>
        <w:rPr>
          <w:rFonts w:ascii="仿宋_GB2312" w:hAnsi="仿宋_GB2312" w:eastAsia="仿宋_GB2312"/>
          <w:b w:val="0"/>
          <w:sz w:val="32"/>
        </w:rPr>
        <w:t>万元。预算绩效管理取得的成效：一是通过制定绩效目标，使全年项目有计划正常开展，同时健全绩效监督管理体系，按时完成各项目标；二是加强单位工作人员的档案业务能力，进一步提升单位档案管理和业务水平。发现的问题及原因：一是由于资金有限，档案信息化建设水平仍有提升空间；二是预算编制科学性仍有提升空间，预算年度目标与长期规划衔接的紧密度需进一步增强。下一步改进措施：一是持续提升档案信息化建设；二是进一步完善预算编制的科学性，积极加强与单位各科室的沟通，提升预算编制的合理性。具体附整体支出绩效自评表、项目支出绩效自评表及项目支出绩效评价报告。</w:t>
      </w:r>
    </w:p>
    <w:p>
      <w:r>
        <w:br w:type="page"/>
      </w:r>
    </w:p>
    <w:tbl>
      <w:tblPr>
        <w:tblStyle w:val="8"/>
        <w:tblW w:w="5000" w:type="pct"/>
        <w:tblInd w:w="0" w:type="dxa"/>
        <w:tblLayout w:type="fixed"/>
        <w:tblCellMar>
          <w:top w:w="36" w:type="dxa"/>
          <w:left w:w="36" w:type="dxa"/>
          <w:bottom w:w="36" w:type="dxa"/>
          <w:right w:w="36" w:type="dxa"/>
        </w:tblCellMar>
      </w:tblPr>
      <w:tblGrid>
        <w:gridCol w:w="1250"/>
        <w:gridCol w:w="941"/>
        <w:gridCol w:w="1973"/>
        <w:gridCol w:w="1250"/>
        <w:gridCol w:w="1495"/>
        <w:gridCol w:w="597"/>
        <w:gridCol w:w="702"/>
        <w:gridCol w:w="709"/>
      </w:tblGrid>
      <w:tr>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r>
      <w:tr>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756.89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850.02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832.75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97.97%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9.8</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756.89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850.02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832.75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实际完成情况</w:t>
            </w:r>
          </w:p>
        </w:tc>
      </w:tr>
      <w:tr>
        <w:tblPrEx>
          <w:tblCellMar>
            <w:top w:w="36" w:type="dxa"/>
            <w:left w:w="36" w:type="dxa"/>
            <w:bottom w:w="36" w:type="dxa"/>
            <w:right w:w="36" w:type="dxa"/>
          </w:tblCellMar>
        </w:tblPrEx>
        <w:trPr>
          <w:trHeight w:val="199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贯彻执行国家、自治区和我市关于档案工作的方针、政策和法律、法规。编制档案接收保管利用的工作规划和年度计划。集中统一管理中国成立前本行政区内各个历史时期政权机构、社会组织、著名人物的档案。集中统一管理全市党政机关的重要档案资料</w:t>
            </w:r>
            <w:r>
              <w:rPr>
                <w:rFonts w:hint="eastAsia" w:ascii="宋体" w:hAnsi="宋体" w:cs="宋体"/>
                <w:b w:val="0"/>
                <w:i w:val="0"/>
                <w:sz w:val="18"/>
                <w:lang w:eastAsia="zh-CN"/>
              </w:rPr>
              <w:t>，</w:t>
            </w:r>
            <w:bookmarkStart w:id="0" w:name="_GoBack"/>
            <w:bookmarkEnd w:id="0"/>
            <w:r>
              <w:rPr>
                <w:rFonts w:ascii="宋体" w:hAnsi="宋体" w:eastAsia="宋体" w:cs="宋体"/>
                <w:b w:val="0"/>
                <w:i w:val="0"/>
                <w:sz w:val="18"/>
              </w:rPr>
              <w:t>维护档案的完整，确保档案资料的安全。负责接收、征集、保管全市党政机关、社会团体、企业、事业单位和其他组织及撤销单位的档案资料，做好各门类档案的规范化和信息化管理。负责档案信息开放和提供利用工作。负责重点档案的抢救和保护工作。                                                                     1.充分利用档案资源，增强档案工作服务的主动性，多种形式开展档案宣传；利用法治宣传日等契机，开展档案主题教育，不断增强档案工作的社会影响力和认知度，营造良好的档案事业发展环境。 
2.按照新修订的《档案法》及相关规定，加快推进档案开放工作。 
3.加快传统载体档案数字化，按照“存量数字化”战略要求，完善档案基础数据库建设，加大声像档案数字化转化力度。</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截至2025年底，我单位实际完成增强档案法治观念，开展档案知识月宣传月活动6月举办；档案目录开发数量8007条；馆藏录音录像档案数字化100%，通过开展档案宣传进社区活动，拉进群众距离，档案宣传进社区是档案工作服务社会的重要途径，有效增强了公众的档案意识，促进了档案资源的利用，发挥了市档案馆作为爱国主义教育、社会科学普及教育基地的作用全面展现乌鲁木齐的沧桑变化和发展成就，直观展现档案作为“存史、资政、育人”方面的独特价值；加大馆藏档案保护力度，进一步延长馆藏纸质档案寿命与可持续利用水平；通过构建局域网、政务网、互联网3个服务平台，完成文书、专业、数码照片等门类档案数字化成果在线移交和接收，促进档案数字资源“馆室”共建互通。</w:t>
            </w:r>
          </w:p>
        </w:tc>
      </w:tr>
      <w:tr>
        <w:tblPrEx>
          <w:tblCellMar>
            <w:top w:w="36" w:type="dxa"/>
            <w:left w:w="36" w:type="dxa"/>
            <w:bottom w:w="36" w:type="dxa"/>
            <w:right w:w="36" w:type="dxa"/>
          </w:tblCellMar>
        </w:tblPrEx>
        <w:trPr>
          <w:cantSplit/>
          <w:trHeight w:val="582"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cantSplit/>
          <w:trHeight w:val="739"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履职效能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增强档案法治观念，开展档案知识月宣传月活动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=6月举办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中共乌鲁木齐市委办公室 乌鲁木齐市人民政府办公室印发《“十四五”乌鲁木齐市档案事业发展规划》的通知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=6月举办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档案目录开发数量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&gt;=2300条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中共乌鲁木齐市委办公室 乌鲁木齐市人民政府办公室印发《“十四五”乌鲁木齐市档案事业发展规划》的通知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=8007条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馆藏录音录像档案数字化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中共乌鲁木齐市委办公室 乌鲁木齐市人民政府办公室印发《“十四五”乌鲁木齐市档案事业发展规划》的通知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736"/>
        <w:gridCol w:w="736"/>
        <w:gridCol w:w="736"/>
        <w:gridCol w:w="740"/>
        <w:gridCol w:w="740"/>
        <w:gridCol w:w="868"/>
        <w:gridCol w:w="740"/>
        <w:gridCol w:w="740"/>
        <w:gridCol w:w="868"/>
        <w:gridCol w:w="737"/>
        <w:gridCol w:w="737"/>
      </w:tblGrid>
      <w:tr>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历史照片展展厅改造项目</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r>
      <w:tr>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17.50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17.50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17.48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99.89%</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17.50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17.50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17.48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围绕庆祝中国人民抗日战争暨世界反法西斯战争胜利80周年和庆祝新疆维吾尔自治区成立70周年重要纪念活动，通过举办展览、积极开展宣传等多种形式的宣传活动，实现充分发挥档案在理想信念教育中的积极作用；通过展览照片、文字、实物等档案资料，实现增强各族群众的档案意识，宣传普及档案知识，激发各族群众爱国热情；通过展览，实现使各族群众了解城市发展历史，唤起生活记忆，增强各族群众对伟大祖国、中华民族、中华文化、中华民族共同体意识的高度认同。</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截至2025年底，展厅照片数量200张，展品实物数量70件，展厅接待人次69人次，展品展项完好率100%，展品验收合格率100%，项目实际支出17.48万元，保障群众精神文化需求有效保障，群众满意度达到效果。</w:t>
            </w:r>
          </w:p>
        </w:tc>
      </w:tr>
      <w:tr>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展厅照片数量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&gt;=200张</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=200张</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展品实物数量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&gt;=20件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=70件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“展品实物数量”指标在年初指标设定时对展品数量预估较低，导致实际值与预期值偏差较大。项目完成过程中收集整理优秀展品数量70件，因此大于指标预期值。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350%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展厅接待人次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&gt;=50人次</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=69人次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展品展项完好率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展品验收合格率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保障群众精神文化需求</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有效保障</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群众满意度</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达到效果</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5000" w:type="pct"/>
        <w:tblInd w:w="0" w:type="dxa"/>
        <w:tblLayout w:type="autofit"/>
        <w:tblCellMar>
          <w:top w:w="36" w:type="dxa"/>
          <w:left w:w="36" w:type="dxa"/>
          <w:bottom w:w="36" w:type="dxa"/>
          <w:right w:w="36" w:type="dxa"/>
        </w:tblCellMar>
      </w:tblPr>
      <w:tblGrid>
        <w:gridCol w:w="725"/>
        <w:gridCol w:w="725"/>
        <w:gridCol w:w="725"/>
        <w:gridCol w:w="729"/>
        <w:gridCol w:w="855"/>
        <w:gridCol w:w="855"/>
        <w:gridCol w:w="729"/>
        <w:gridCol w:w="729"/>
        <w:gridCol w:w="855"/>
        <w:gridCol w:w="725"/>
        <w:gridCol w:w="726"/>
      </w:tblGrid>
      <w:tr>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档案专项业务费</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r>
      <w:tr>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84.88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99.86%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84.88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（一）按《档案法》完成馆藏档案的保管保护、鉴定、利用、数字化处理，保证馆藏档案安全和利用，服务社会经济的发展。加大档案资源收集力度，确保档案“应收尽收”“应归尽归”。
（二）充分利用档案资源，增强档案工作服务的主动性，多种形式开展档案宣传；利用法治宣传日等契机，开展档案主题教育，不断增强档案工作的社会影响力和认知度，营造良好的档案事业发展环境。
（三）按照新修订的《档案法》及相关规定，加快推进档案开放工作。</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项目实际馆藏档案整理7800件，查询档案3678人次，对馆藏全部录音录像档案开展数字化工作，共计完成8盘录音带、18盘录像带、298盘DVD光盘、192盘乌鲁木齐新闻及大事小事栏目DVD光盘等馆藏声像档案数字化，数字化率达100%，项目实际支出84.88万元，稳步推进了馆藏传统载体档案数字化，发挥了档案“资政惠民”作用，达到了档案提供利用工作。</w:t>
            </w:r>
          </w:p>
        </w:tc>
      </w:tr>
      <w:tr>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馆藏档案整理</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＞=2200件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等于7800件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为了十四五验收，加大了馆藏档案的整理力度</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355%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查询档案人次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&gt;=3000人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=3678人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为了完善个人档案，所以来查调动介绍信、学籍等档案的人增多</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123%</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馆藏档案整理验收合格率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馆藏档案整理都符合要求，所以馆藏档案整理验收合格率为100%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馆藏录音录像档案数字化合格率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根据《新疆维吾尔自治区数字档案馆（室）系统测评办法》中馆藏音视频类档案数字化率有关要求，所以数字化合格率100%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开展档案知识月宣传活动</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=6月</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=6月</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提高档案服务对经济社会发展的影响</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有效提高</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档案信息化建设进程需进一步加快</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群众满意度</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2025年全年没有接到任何投诉意见</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5000" w:type="pct"/>
        <w:tblInd w:w="0" w:type="dxa"/>
        <w:tblLayout w:type="autofit"/>
        <w:tblCellMar>
          <w:top w:w="36" w:type="dxa"/>
          <w:left w:w="36" w:type="dxa"/>
          <w:bottom w:w="36" w:type="dxa"/>
          <w:right w:w="36" w:type="dxa"/>
        </w:tblCellMar>
      </w:tblPr>
      <w:tblGrid>
        <w:gridCol w:w="674"/>
        <w:gridCol w:w="674"/>
        <w:gridCol w:w="674"/>
        <w:gridCol w:w="678"/>
        <w:gridCol w:w="795"/>
        <w:gridCol w:w="795"/>
        <w:gridCol w:w="795"/>
        <w:gridCol w:w="1030"/>
        <w:gridCol w:w="913"/>
        <w:gridCol w:w="675"/>
        <w:gridCol w:w="675"/>
      </w:tblGrid>
      <w:tr>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消防值班安保</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r>
      <w:tr>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29.56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29.56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29.56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29.56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29.56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29.56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根据社会治安综合治理规定和消防管理规定，按照《新疆维吾尔自治区消防条例》要求，设立了消防总控室和消防值班人员，确保档案工作的绝对安全，确保单位库房和档案安全，以保障工作正常运转。安保人员进行档案馆消防值班、馆库和院落安全值班。</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开展专项安全检查12次，大门安保人数4人，楼内消防安保人数4人，安保人员持证上岗率100%，安全保障时长24小时，安保人员工资及管理服务费人均3079.17元/月，项目实际支出29.56万元，保证馆藏档案安全有效实施，群众满意度为100%。</w:t>
            </w:r>
          </w:p>
        </w:tc>
      </w:tr>
      <w:tr>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开展专项安全检查工作</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=12次</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大门安保人数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楼内消防安保人数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安保人员持证上岗率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安全保障时长</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安保人员工资及管理服务费</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&lt;=3080元/月</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=3079.17元/月</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保证馆藏档案安全</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群众满意度</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5000" w:type="pct"/>
        <w:tblInd w:w="0" w:type="dxa"/>
        <w:tblLayout w:type="autofit"/>
        <w:tblCellMar>
          <w:top w:w="36" w:type="dxa"/>
          <w:left w:w="36" w:type="dxa"/>
          <w:bottom w:w="36" w:type="dxa"/>
          <w:right w:w="36" w:type="dxa"/>
        </w:tblCellMar>
      </w:tblPr>
      <w:tblGrid>
        <w:gridCol w:w="725"/>
        <w:gridCol w:w="725"/>
        <w:gridCol w:w="725"/>
        <w:gridCol w:w="729"/>
        <w:gridCol w:w="855"/>
        <w:gridCol w:w="855"/>
        <w:gridCol w:w="729"/>
        <w:gridCol w:w="729"/>
        <w:gridCol w:w="855"/>
        <w:gridCol w:w="725"/>
        <w:gridCol w:w="726"/>
      </w:tblGrid>
      <w:tr>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运行保洁费</w:t>
            </w:r>
          </w:p>
        </w:tc>
      </w:tr>
      <w:tr>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乌鲁木齐市档案馆</w:t>
            </w:r>
          </w:p>
        </w:tc>
      </w:tr>
      <w:tr>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20.49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20.49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20.47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9.99分</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20.49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20.49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20.47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1、通过保障保洁服务人达到馆藏保洁达标，提供好的查档环境和参观环境。
2、通过保障查阅大厅服务人员，给查档群众提供优质服务。
3、通过保证档案馆库房设备正常运转，保证馆藏档案更好地服务于社会群众。</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项目实际保障保洁服务人员2人，档案馆流通3678人次，保障查阅大厅服务人员1人，项目实际支出20.47万元，通过项目实施保障了人员的福利，激发工作责任感，确保单位无死角、无遗漏、无隐患，保持馆内环境整洁有序。保障了档案保管、查阅利用、展览展示等工作合规开展。保证了关键时刻消防系统可正常启用，满足安防部门的硬性要求。</w:t>
            </w:r>
          </w:p>
        </w:tc>
      </w:tr>
      <w:tr>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保障保洁服务人员数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档案馆流通人次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&gt;=3000人次</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=3678人次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因需要完善人事档案，所以来查调动及学籍档案的人数增多</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123%</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保障查阅大厅服务人员</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保洁卫生达标率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截至12月31日意见薄和投诉箱内，没有接到关于保洁卫生的投诉</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消防检查合格率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库房设备运行时长</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提供人性化服务和整洁的档案查阅环境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环境干净整洁</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服务保障与群众需求存在差距，查阅大厅便民服务不够精细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查档人员满意度</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全年没有接到任何投诉</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本年本部门其他项目1个，全年预算数123.81万元，全年执行数123.81万元。</w:t>
      </w:r>
    </w:p>
    <w:p>
      <w:r>
        <w:br w:type="page"/>
      </w:r>
    </w:p>
    <w:p>
      <w:pPr>
        <w:spacing w:line="600" w:lineRule="exact"/>
        <w:jc w:val="center"/>
        <w:outlineLvl w:val="0"/>
      </w:pPr>
      <w:r>
        <w:rPr>
          <w:rFonts w:ascii="黑体" w:hAnsi="黑体" w:eastAsia="黑体"/>
          <w:sz w:val="32"/>
        </w:rPr>
        <w:t>第三部分 专业名词解释</w:t>
      </w:r>
    </w:p>
    <w:p>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autoSpaceDE w:val="0"/>
        <w:autoSpaceDN w:val="0"/>
        <w:spacing w:line="600" w:lineRule="exact"/>
        <w:ind w:firstLine="640" w:firstLineChars="200"/>
      </w:pPr>
      <w:r>
        <w:rPr>
          <w:rFonts w:ascii="仿宋_GB2312" w:hAnsi="仿宋_GB2312" w:eastAsia="仿宋_GB2312"/>
          <w:b w:val="0"/>
          <w:sz w:val="32"/>
        </w:rPr>
        <w:t>一、《收入支出决算总表》</w:t>
      </w:r>
    </w:p>
    <w:p>
      <w:pPr>
        <w:autoSpaceDE w:val="0"/>
        <w:autoSpaceDN w:val="0"/>
        <w:spacing w:line="600" w:lineRule="exact"/>
        <w:ind w:firstLine="640" w:firstLineChars="200"/>
      </w:pPr>
      <w:r>
        <w:rPr>
          <w:rFonts w:ascii="仿宋_GB2312" w:hAnsi="仿宋_GB2312" w:eastAsia="仿宋_GB2312"/>
          <w:b w:val="0"/>
          <w:sz w:val="32"/>
        </w:rPr>
        <w:t>二、《收入决算表》</w:t>
      </w:r>
    </w:p>
    <w:p>
      <w:pPr>
        <w:autoSpaceDE w:val="0"/>
        <w:autoSpaceDN w:val="0"/>
        <w:spacing w:line="600" w:lineRule="exact"/>
        <w:ind w:firstLine="640" w:firstLineChars="200"/>
      </w:pPr>
      <w:r>
        <w:rPr>
          <w:rFonts w:ascii="仿宋_GB2312" w:hAnsi="仿宋_GB2312" w:eastAsia="仿宋_GB2312"/>
          <w:b w:val="0"/>
          <w:sz w:val="32"/>
        </w:rPr>
        <w:t>三、《支出决算表》</w:t>
      </w:r>
    </w:p>
    <w:p>
      <w:pPr>
        <w:autoSpaceDE w:val="0"/>
        <w:autoSpaceDN w:val="0"/>
        <w:spacing w:line="600" w:lineRule="exact"/>
        <w:ind w:firstLine="640" w:firstLineChars="200"/>
      </w:pPr>
      <w:r>
        <w:rPr>
          <w:rFonts w:ascii="仿宋_GB2312" w:hAnsi="仿宋_GB2312" w:eastAsia="仿宋_GB2312"/>
          <w:b w:val="0"/>
          <w:sz w:val="32"/>
        </w:rPr>
        <w:t>四、《财政拨款收入支出决算总表》</w:t>
      </w:r>
    </w:p>
    <w:p>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94FFAE-F153-41F7-961F-524CA77CEF8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6B5E6642-A79A-4A56-A945-0101AE980626}"/>
  </w:font>
  <w:font w:name="仿宋_GB2312">
    <w:altName w:val="仿宋"/>
    <w:panose1 w:val="02010609030101010101"/>
    <w:charset w:val="86"/>
    <w:family w:val="modern"/>
    <w:pitch w:val="default"/>
    <w:sig w:usb0="00000000" w:usb1="00000000" w:usb2="00000000" w:usb3="00000000" w:csb0="00040000" w:csb1="00000000"/>
    <w:embedRegular r:id="rId3" w:fontKey="{63D0A17A-F8CC-4769-B84E-835187A2196A}"/>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E50F9815-EAF4-435C-8A20-2B545306EE1E}"/>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C836F5F"/>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3692D20"/>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16</TotalTime>
  <ScaleCrop>false</ScaleCrop>
  <LinksUpToDate>false</LinksUpToDate>
  <CharactersWithSpaces>543</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Administrator</cp:lastModifiedBy>
  <cp:lastPrinted>2024-07-22T11:58:00Z</cp:lastPrinted>
  <dcterms:modified xsi:type="dcterms:W3CDTF">2026-09-24T05:08:01Z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