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中共乌鲁木齐市委员会党校（乌鲁木齐市行政学院）</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中共乌鲁木齐市委员会党校(乌鲁木齐市行政学院)，是市委培训全市领导干部和优秀中青年干部的学校，是研究宣传习近平新时代中国特色社会主义思想、推进党的思想理论建设的重要阵地，是市委直属事业单位，为副厅级，实行一个机构两块牌子。</w:t>
      </w:r>
    </w:p>
    <w:p>
      <w:pPr>
        <w:spacing w:line="580" w:lineRule="exact"/>
        <w:ind w:firstLine="640"/>
        <w:jc w:val="both"/>
      </w:pPr>
      <w:r>
        <w:rPr>
          <w:rFonts w:ascii="仿宋_GB2312" w:hAnsi="仿宋_GB2312" w:eastAsia="仿宋_GB2312"/>
          <w:sz w:val="32"/>
        </w:rPr>
        <w:t>(。</w:t>
      </w:r>
    </w:p>
    <w:p>
      <w:pPr>
        <w:spacing w:line="580" w:lineRule="exact"/>
        <w:ind w:firstLine="640"/>
        <w:jc w:val="both"/>
      </w:pPr>
      <w:r>
        <w:rPr>
          <w:rFonts w:ascii="仿宋_GB2312" w:hAnsi="仿宋_GB2312" w:eastAsia="仿宋_GB2312"/>
          <w:sz w:val="32"/>
        </w:rPr>
        <w:t>一)根据《中国共产</w:t>
      </w:r>
      <w:r>
        <w:rPr>
          <w:rFonts w:hint="eastAsia" w:ascii="仿宋_GB2312" w:hAnsi="仿宋_GB2312" w:eastAsia="仿宋_GB2312"/>
          <w:sz w:val="32"/>
          <w:lang w:val="en-US" w:eastAsia="zh-CN"/>
        </w:rPr>
        <w:t>党</w:t>
      </w:r>
      <w:r>
        <w:rPr>
          <w:rFonts w:ascii="仿宋_GB2312" w:hAnsi="仿宋_GB2312" w:eastAsia="仿宋_GB2312"/>
          <w:sz w:val="32"/>
        </w:rPr>
        <w:t>党校工作条例》和市委、市政府对干部队伍建设的要求，有计划地培训、轮训党员领导干部、后备干部和国家公务员，负责学员在校学习期问的管理与考核。(。</w:t>
      </w:r>
    </w:p>
    <w:p>
      <w:pPr>
        <w:spacing w:line="580" w:lineRule="exact"/>
        <w:ind w:firstLine="640"/>
        <w:jc w:val="both"/>
      </w:pPr>
      <w:r>
        <w:rPr>
          <w:rFonts w:ascii="仿宋_GB2312" w:hAnsi="仿宋_GB2312" w:eastAsia="仿宋_GB2312"/>
          <w:sz w:val="32"/>
        </w:rPr>
        <w:t>二)</w:t>
      </w:r>
      <w:r>
        <w:rPr>
          <w:rFonts w:hint="eastAsia" w:ascii="仿宋_GB2312" w:hAnsi="仿宋_GB2312" w:eastAsia="仿宋_GB2312"/>
          <w:sz w:val="32"/>
        </w:rPr>
        <w:t>组织学员开展马克思列宁主义、毛泽东思想、邓小平理论、“三个代表”重要思想、科学发展观、学习贯彻习近平新时代中国特色社会主义思想主题教育和党性教育</w:t>
      </w:r>
      <w:bookmarkStart w:id="0" w:name="_GoBack"/>
      <w:bookmarkEnd w:id="0"/>
      <w:r>
        <w:rPr>
          <w:rFonts w:ascii="仿宋_GB2312" w:hAnsi="仿宋_GB2312" w:eastAsia="仿宋_GB2312"/>
          <w:sz w:val="32"/>
        </w:rPr>
        <w:t>，引导学员增强“四个意识”、坚定“四个自信”，坚决维护以习近平同志为核心的党中央权威和集中统一领导，自觉在思想上、政治上、行动上同党中央保持高度一致。</w:t>
      </w:r>
    </w:p>
    <w:p>
      <w:pPr>
        <w:spacing w:line="580" w:lineRule="exact"/>
        <w:ind w:firstLine="640"/>
        <w:jc w:val="both"/>
      </w:pPr>
      <w:r>
        <w:rPr>
          <w:rFonts w:ascii="仿宋_GB2312" w:hAnsi="仿宋_GB2312" w:eastAsia="仿宋_GB2312"/>
          <w:sz w:val="32"/>
        </w:rPr>
        <w:t>(三)开展重大理论问题和现实问题研究，承担市委决策咨询服务，发挥新型智库作用。</w:t>
      </w:r>
    </w:p>
    <w:p>
      <w:pPr>
        <w:spacing w:line="580" w:lineRule="exact"/>
        <w:ind w:firstLine="640"/>
        <w:jc w:val="both"/>
      </w:pPr>
      <w:r>
        <w:rPr>
          <w:rFonts w:ascii="仿宋_GB2312" w:hAnsi="仿宋_GB2312" w:eastAsia="仿宋_GB2312"/>
          <w:sz w:val="32"/>
        </w:rPr>
        <w:t>(四)对区(县）党校进行业务指导和师资培训。合理利用教学设施和师资开展党校常规(主体)班次以外的干部短期教育培训工作。</w:t>
      </w:r>
    </w:p>
    <w:p>
      <w:pPr>
        <w:spacing w:line="580" w:lineRule="exact"/>
        <w:ind w:firstLine="640"/>
        <w:jc w:val="both"/>
      </w:pPr>
      <w:r>
        <w:rPr>
          <w:rFonts w:ascii="仿宋_GB2312" w:hAnsi="仿宋_GB2312" w:eastAsia="仿宋_GB2312"/>
          <w:sz w:val="32"/>
        </w:rPr>
        <w:t>(五)承办市委交办的其他事项。</w:t>
      </w:r>
    </w:p>
    <w:p>
      <w:pPr>
        <w:spacing w:line="580" w:lineRule="exact"/>
        <w:ind w:firstLine="640"/>
        <w:jc w:val="both"/>
      </w:pPr>
      <w:r>
        <w:rPr>
          <w:rFonts w:ascii="仿宋_GB2312" w:hAnsi="仿宋_GB2312" w:eastAsia="仿宋_GB2312"/>
          <w:sz w:val="32"/>
        </w:rPr>
        <w:t>(六)制定党校经监预算和决算，用好党校的办学经费。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中共乌鲁木齐市委员会党校（乌鲁木齐市行政学院）无下属预算单位。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2025年度收入总计4,118.52万元，</w:t>
      </w:r>
      <w:r>
        <w:rPr>
          <w:rFonts w:ascii="仿宋_GB2312" w:hAnsi="仿宋_GB2312" w:eastAsia="仿宋_GB2312"/>
          <w:b w:val="0"/>
          <w:sz w:val="32"/>
        </w:rPr>
        <w:t>其中：本年收入合计4,117.48万元，使用非财政拨款结余（含专用结余）0.00万元，年初结转和结余1.03万元。</w:t>
      </w:r>
    </w:p>
    <w:p>
      <w:pPr>
        <w:spacing w:line="580" w:lineRule="exact"/>
        <w:ind w:firstLine="640"/>
        <w:jc w:val="both"/>
      </w:pPr>
      <w:r>
        <w:rPr>
          <w:rFonts w:ascii="仿宋_GB2312" w:hAnsi="仿宋_GB2312" w:eastAsia="仿宋_GB2312"/>
          <w:b/>
          <w:sz w:val="32"/>
        </w:rPr>
        <w:t>2025年度支出总计4,118.52万元，</w:t>
      </w:r>
      <w:r>
        <w:rPr>
          <w:rFonts w:ascii="仿宋_GB2312" w:hAnsi="仿宋_GB2312" w:eastAsia="仿宋_GB2312"/>
          <w:b w:val="0"/>
          <w:sz w:val="32"/>
        </w:rPr>
        <w:t>其中：本年支出合计4,117.48万元，结余分配0.00万元，年末结转和结余1.04万元。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减少409.86万元，下降9.05%，主要原因是：本年减少乌鲁木齐市委党校新建教学楼学员桌椅购置项目、乌鲁木齐市委党校智慧校园一期硬件设施改造+软件基础平台等项目。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本年收入4,117.48万元，</w:t>
      </w:r>
      <w:r>
        <w:rPr>
          <w:rFonts w:ascii="仿宋_GB2312" w:hAnsi="仿宋_GB2312" w:eastAsia="仿宋_GB2312"/>
          <w:b w:val="0"/>
          <w:sz w:val="32"/>
        </w:rPr>
        <w:t>其中：财政拨款收入4,117.48万元，占100.00%；上级补助收入0.00万元，占0.00%；事业收入0.00万元，占0.00%；经营收入0.00万元，占0.00%；附属单位上缴收入0.00万元，占0.00%；其他收入0.00万元，占0.00%。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本年支出4,117.48万元，</w:t>
      </w:r>
      <w:r>
        <w:rPr>
          <w:rFonts w:ascii="仿宋_GB2312" w:hAnsi="仿宋_GB2312" w:eastAsia="仿宋_GB2312"/>
          <w:b w:val="0"/>
          <w:sz w:val="32"/>
        </w:rPr>
        <w:t>其中：基本支出2,607.43万元，占63.33%；项目支出1,510.05万元，占36.67%；上缴上级支出0.00万元，占0.00%；经营支出0.00万元，占0.00%；对附属单位补助支出0.00万元，占0.00%。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2025年度财政拨款收入总计4,117.48万元，</w:t>
      </w:r>
      <w:r>
        <w:rPr>
          <w:rFonts w:ascii="仿宋_GB2312" w:hAnsi="仿宋_GB2312" w:eastAsia="仿宋_GB2312"/>
          <w:b w:val="0"/>
          <w:sz w:val="32"/>
        </w:rPr>
        <w:t>其中：年初财政拨款结转和结余0.00万元，本年财政拨款收入4,117.48万元。</w:t>
      </w:r>
      <w:r>
        <w:rPr>
          <w:rFonts w:ascii="仿宋_GB2312" w:hAnsi="仿宋_GB2312" w:eastAsia="仿宋_GB2312"/>
          <w:b/>
          <w:sz w:val="32"/>
        </w:rPr>
        <w:t>财政拨款支出总计4,117.48万元，</w:t>
      </w:r>
      <w:r>
        <w:rPr>
          <w:rFonts w:ascii="仿宋_GB2312" w:hAnsi="仿宋_GB2312" w:eastAsia="仿宋_GB2312"/>
          <w:b w:val="0"/>
          <w:sz w:val="32"/>
        </w:rPr>
        <w:t>其中：年末财政拨款结转和结余0.00万元，本年财政拨款支出4,117.48万元。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减少409.29万元，下降9.04%，主要原因是：本年减少乌鲁木齐市委党校新建教学楼学员桌椅购置项目、乌鲁木齐市委党校智慧校园一期硬件设施改造+软件基础平台等项目。</w:t>
      </w:r>
      <w:r>
        <w:rPr>
          <w:rFonts w:ascii="仿宋_GB2312" w:hAnsi="仿宋_GB2312" w:eastAsia="仿宋_GB2312"/>
          <w:b/>
          <w:sz w:val="32"/>
        </w:rPr>
        <w:t>与年初预算相比，</w:t>
      </w:r>
      <w:r>
        <w:rPr>
          <w:rFonts w:ascii="仿宋_GB2312" w:hAnsi="仿宋_GB2312" w:eastAsia="仿宋_GB2312"/>
          <w:b w:val="0"/>
          <w:sz w:val="32"/>
        </w:rPr>
        <w:t>年初预算数5,348.99万元，决算数4,117.48万元，预决算差异率-23.02%，主要原因是：本年新建教学楼项目、党校搬迁经费均未完成竣工决算，尾款尚未支付，导致预决算存在差异。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正常运转、干部教育培训、公共服务、事业发展等重点支出，体现在有关支出科目中。</w:t>
      </w:r>
    </w:p>
    <w:p>
      <w:pPr>
        <w:spacing w:line="580" w:lineRule="exact"/>
        <w:ind w:firstLine="640"/>
        <w:jc w:val="both"/>
      </w:pPr>
      <w:r>
        <w:rPr>
          <w:rFonts w:ascii="仿宋_GB2312" w:hAnsi="仿宋_GB2312" w:eastAsia="仿宋_GB2312"/>
          <w:b w:val="0"/>
          <w:sz w:val="32"/>
        </w:rPr>
        <w:t>按照支出功能分类，教育支出（类）进修及培训（款）干部教育（项）的支出占本年财政拨款支出总额的比重最高，2025年度决算数为4,066.84万元，占比98.77%，主要用于干部教育培训授课师资、教学场地运维、学员培训保障、教职工人员工资福利、日常办公运行、教学设备维护等。</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2025年度一般公共预算财政拨款支出4,117.48万元，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减少386.22万元，下降8.58%，主要原因是：本年减少乌鲁木齐市委党校新建教学楼学员桌椅购置项目、乌鲁木齐市委党校智慧校园一期硬件设施改造+软件基础平台等项目。</w:t>
      </w:r>
      <w:r>
        <w:rPr>
          <w:rFonts w:ascii="仿宋_GB2312" w:hAnsi="仿宋_GB2312" w:eastAsia="仿宋_GB2312"/>
          <w:b/>
          <w:sz w:val="32"/>
        </w:rPr>
        <w:t>与年初预算相比，</w:t>
      </w:r>
      <w:r>
        <w:rPr>
          <w:rFonts w:ascii="仿宋_GB2312" w:hAnsi="仿宋_GB2312" w:eastAsia="仿宋_GB2312"/>
          <w:b w:val="0"/>
          <w:sz w:val="32"/>
        </w:rPr>
        <w:t>年初预算数5,348.99万元，决算数4,117.48万元，预决算差异率-23.02%，主要原因是：本年新建教学楼项目、党校搬迁经费均未完成竣工决算，尾款尚未支付，导致预决算存在差异。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1.教育支出（类）4,066.84万元，占98.77%。</w:t>
      </w:r>
    </w:p>
    <w:p>
      <w:pPr>
        <w:spacing w:line="580" w:lineRule="exact"/>
        <w:ind w:firstLine="640"/>
        <w:jc w:val="both"/>
      </w:pPr>
      <w:r>
        <w:rPr>
          <w:rFonts w:ascii="仿宋_GB2312" w:hAnsi="仿宋_GB2312" w:eastAsia="仿宋_GB2312"/>
          <w:b w:val="0"/>
          <w:sz w:val="32"/>
        </w:rPr>
        <w:t>2.社会保障和就业支出（类）50.64万元，占1.23%。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进修及培训（款）干部教育（项）：支出决算数为4,066.84万元，比上年决算减少120.24万元，下降2.87%，主要原因是：本年减少乌鲁木齐市委党校新建教学楼项目、乌鲁木齐市委党校智慧校园一期硬件设施改造+软件基础平台等项目。</w:t>
      </w:r>
    </w:p>
    <w:p>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50.64万元，比上年决算增加50.64万元，增长100.00%，主要原因是：根据政策要求，2025年7月开始，在职人员职业年金单位缴纳部分做实，导致职业年金缴费较上年增加。</w:t>
      </w:r>
    </w:p>
    <w:p>
      <w:pPr>
        <w:spacing w:line="580" w:lineRule="exact"/>
        <w:ind w:firstLine="640"/>
        <w:jc w:val="both"/>
      </w:pPr>
      <w:r>
        <w:rPr>
          <w:rFonts w:ascii="仿宋_GB2312" w:hAnsi="仿宋_GB2312" w:eastAsia="仿宋_GB2312"/>
          <w:b w:val="0"/>
          <w:sz w:val="32"/>
        </w:rPr>
        <w:t>3.其他支出（类）其他支出（款）其他支出（项）：支出决算数为0.00万元，比上年决算减少316.62万元，下降100.00%，主要原因是：本年减少党校新建教学楼项目资金。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2025年度一般公共预算财政拨款基本支出2,607.43万元，其中：</w:t>
      </w:r>
      <w:r>
        <w:rPr>
          <w:rFonts w:ascii="仿宋_GB2312" w:hAnsi="仿宋_GB2312" w:eastAsia="仿宋_GB2312"/>
          <w:b/>
          <w:sz w:val="32"/>
        </w:rPr>
        <w:t>人员经费2,235.21万元，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离休费、退休费、抚恤金、生活补助、医疗费补助、其他对个人和家庭的补助。</w:t>
      </w:r>
    </w:p>
    <w:p>
      <w:pPr>
        <w:spacing w:line="580" w:lineRule="exact"/>
        <w:ind w:firstLine="640"/>
        <w:jc w:val="both"/>
      </w:pPr>
      <w:r>
        <w:rPr>
          <w:rFonts w:ascii="仿宋_GB2312" w:hAnsi="仿宋_GB2312" w:eastAsia="仿宋_GB2312"/>
          <w:b/>
          <w:sz w:val="32"/>
        </w:rPr>
        <w:t>公用经费372.22万元，</w:t>
      </w:r>
      <w:r>
        <w:rPr>
          <w:rFonts w:ascii="仿宋_GB2312" w:hAnsi="仿宋_GB2312" w:eastAsia="仿宋_GB2312"/>
          <w:b w:val="0"/>
          <w:sz w:val="32"/>
        </w:rPr>
        <w:t>包括：办公费、水费、电费、邮电费、取暖费、物业管理费、差旅费、维修（护）费、租赁费、培训费、专用材料费、劳务费、委托业务费、工会经费、福利费、公务用车运行维护费、其他商品和服务支出。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2025年度财政拨款“三公”经费支出11.14万元，</w:t>
      </w:r>
      <w:r>
        <w:rPr>
          <w:rFonts w:ascii="仿宋_GB2312" w:hAnsi="仿宋_GB2312" w:eastAsia="仿宋_GB2312"/>
          <w:b w:val="0"/>
          <w:sz w:val="32"/>
        </w:rPr>
        <w:t>比上年增加2.62万元，增长30.75%，主要原因是：本年新增水西沟校区，用车次数增加，燃油费增加，导致公务用车运行维护费较上年增加。其中：因公出国（境）费用支出0.00万元，占0.00%，比上年增加0.00万元，增长0.00%，主要原因是：2024年与2025年均无因公出国（境）费用支出。公务用车购置及运行维护费支出11.14万元，占100.00%，比上年增加2.62万元，增长30.75%，主要原因是：本年新增水西沟校区，用车次数增加，燃油费增加，导致公务用车运行维护费较上年增加。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11.14万元，其中：公务用车购置费0.00万元，公务用车运行维护费11.14万元。公务用车运行维护费开支内容包括车辆维修、车辆保险、车辆加油。公务用车购置数0辆，公务用车保有量6辆。国有资产占用情况中固定资产车辆6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11.14万元，决算数11.14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11.14万元，决算数11.14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2025年度中共乌鲁木齐市委员会党校（乌鲁木齐市行政学院）（事业单位）公用经费支出372.22万元，比上年增加135.16万元，增长57.02%，主要原因是：本年增加水西沟分校区，业务量增加，取暖费较上年增加。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2025年度政府采购支出总额318.17万元，其中：政府采购货物支出219.18万元、政府采购工程支出0.00万元、政府采购服务支出98.99万元。</w:t>
      </w:r>
    </w:p>
    <w:p>
      <w:pPr>
        <w:spacing w:line="580" w:lineRule="exact"/>
        <w:ind w:firstLine="640"/>
        <w:jc w:val="both"/>
      </w:pPr>
      <w:r>
        <w:rPr>
          <w:rFonts w:ascii="仿宋_GB2312" w:hAnsi="仿宋_GB2312" w:eastAsia="仿宋_GB2312"/>
          <w:b w:val="0"/>
          <w:sz w:val="32"/>
        </w:rPr>
        <w:t>授予中小企业合同金额111.60万元，占政府采购支出总额的35.08%，其中：授予小微企业合同金额111.60万元，占政府采购支出总额的35.08%。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88.00平方米，价值8.22万元。车辆6辆，价值141.31万元，其中：副部（省）级及以上领导用车0辆、主要负责人用车0辆、机要通信用车0辆、应急保障用车0辆、执法执勤用车0辆、特种专业技术用车0辆、离退休干部服务用车0辆、其他用车6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4,118.52万元，实际执行总额4,117.48万元；预算绩效评价项目10个，全年预算数1,580.47万元，全年执行数1,510.03万元。预算绩效管理取得的成效：一是完成市委市政府安排的培训工作；二是完成市政府安排的宣讲任务，协助基层党组织担负好直接教育、管理、监督党员和组织宣传、凝聚群众的职责，开展全覆盖宣讲，进一步密切了干群关系，夯实了基层基础；三是改善办学条件，全力做好行政后勤服务保障工作，坚持把党校办好、管好、建好的思路，切实加强基础设施建设，建好建强党校阵地；四是健全预算绩效管理制度体系，将绩效理念贯穿预算编制、执行、监管全过程，强化绩效目标前置审核。发现的问题及原因：一是绩效目标设置精细化水平有待进一步提升；二是全面推进预算绩效管理工作贯彻落实不够到位；三是有效进行项目绩效跟踪、绩效评价、绩效评价结果应用等工作有待加强。下一步改进措施：一是科学精准设置绩效目标，细化量化绩效指标，提升绩效目标可衡量、可考核水平；二是积极开展绩效自评工作，积极运用评价结果，提高资金使用效率；四是积极同财政部门沟通，寻求预算绩效管理工作业务指导和技术支撑。具体附整体支出绩效自评表、项目支出绩效自评表及项目支出绩效评价报告。</w:t>
      </w:r>
    </w:p>
    <w:p>
      <w:r>
        <w:br w:type="page"/>
      </w:r>
    </w:p>
    <w:tbl>
      <w:tblPr>
        <w:tblStyle w:val="8"/>
        <w:tblW w:w="8917" w:type="dxa"/>
        <w:tblInd w:w="0" w:type="dxa"/>
        <w:tblLayout w:type="fixed"/>
        <w:tblCellMar>
          <w:top w:w="36" w:type="dxa"/>
          <w:left w:w="36" w:type="dxa"/>
          <w:bottom w:w="36" w:type="dxa"/>
          <w:right w:w="36" w:type="dxa"/>
        </w:tblCellMar>
      </w:tblPr>
      <w:tblGrid>
        <w:gridCol w:w="1250"/>
        <w:gridCol w:w="941"/>
        <w:gridCol w:w="1973"/>
        <w:gridCol w:w="1250"/>
        <w:gridCol w:w="1495"/>
        <w:gridCol w:w="597"/>
        <w:gridCol w:w="702"/>
        <w:gridCol w:w="709"/>
      </w:tblGrid>
      <w:tr>
        <w:tblPrEx>
          <w:tblLayout w:type="fixed"/>
          <w:tblCellMar>
            <w:top w:w="36" w:type="dxa"/>
            <w:left w:w="36" w:type="dxa"/>
            <w:bottom w:w="36" w:type="dxa"/>
            <w:right w:w="36" w:type="dxa"/>
          </w:tblCellMar>
        </w:tblPrEx>
        <w:trPr>
          <w:cantSplit/>
          <w:trHeight w:val="522" w:hRule="atLeast"/>
        </w:trPr>
        <w:tc>
          <w:tcPr>
            <w:tcW w:w="8917"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blPrEx>
          <w:tblLayout w:type="fixed"/>
          <w:tblCellMar>
            <w:top w:w="36" w:type="dxa"/>
            <w:left w:w="36" w:type="dxa"/>
            <w:bottom w:w="36" w:type="dxa"/>
            <w:right w:w="36" w:type="dxa"/>
          </w:tblCellMar>
        </w:tblPrEx>
        <w:trPr>
          <w:cantSplit/>
          <w:trHeight w:val="360" w:hRule="atLeast"/>
        </w:trPr>
        <w:tc>
          <w:tcPr>
            <w:tcW w:w="8917"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cantSplit/>
          <w:trHeight w:val="660" w:hRule="atLeast"/>
        </w:trPr>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部门（单位）名称</w:t>
            </w:r>
          </w:p>
        </w:tc>
        <w:tc>
          <w:tcPr>
            <w:tcW w:w="7667"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cantSplit/>
          <w:trHeight w:val="570" w:hRule="atLeast"/>
        </w:trPr>
        <w:tc>
          <w:tcPr>
            <w:tcW w:w="125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部门资金（万元）</w:t>
            </w: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资金来源</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分值权重</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执行率</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882"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年度总资金</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5,348.98</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4,118.52</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4,117.48</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99.97%</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Layout w:type="fixed"/>
          <w:tblCellMar>
            <w:top w:w="36" w:type="dxa"/>
            <w:left w:w="36" w:type="dxa"/>
            <w:bottom w:w="36" w:type="dxa"/>
            <w:right w:w="36" w:type="dxa"/>
          </w:tblCellMar>
        </w:tblPrEx>
        <w:trPr>
          <w:cantSplit/>
          <w:trHeight w:val="882"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上级资金：</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本级资金：</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5,348.98</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4,118.52</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4,117.48</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705" w:hRule="atLeast"/>
        </w:trPr>
        <w:tc>
          <w:tcPr>
            <w:tcW w:w="125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4164"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50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1999"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64"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单位核心职能：在市委市政府的领导下，做好对党员领导干部、后备干部和国家公务员的培训工作，发挥好研究宣传习近平新时代中国特色社会主义思想、推进党的思想理论建设的重要阵地作用，开展好重大理论问题和现实问题研究，承担市委决策咨询服务，发挥新型智库作用，对区（县）党校进行业务指导和师资培训。合理利用教学设施和师资开展党校常规（主体）班次以外的干部短期教育培训工作。</w:t>
            </w:r>
            <w:r>
              <w:rPr>
                <w:rFonts w:ascii="宋体" w:hAnsi="宋体" w:eastAsia="宋体" w:cs="宋体"/>
                <w:b w:val="0"/>
                <w:i w:val="0"/>
                <w:sz w:val="18"/>
              </w:rPr>
              <w:cr/>
            </w:r>
            <w:r>
              <w:rPr>
                <w:rFonts w:ascii="宋体" w:hAnsi="宋体" w:eastAsia="宋体" w:cs="宋体"/>
                <w:b w:val="0"/>
                <w:i w:val="0"/>
                <w:sz w:val="18"/>
              </w:rPr>
              <w:t>
我单位今年重点工作任务：</w:t>
            </w:r>
            <w:r>
              <w:rPr>
                <w:rFonts w:ascii="宋体" w:hAnsi="宋体" w:eastAsia="宋体" w:cs="宋体"/>
                <w:b w:val="0"/>
                <w:i w:val="0"/>
                <w:sz w:val="18"/>
              </w:rPr>
              <w:cr/>
            </w:r>
            <w:r>
              <w:rPr>
                <w:rFonts w:ascii="宋体" w:hAnsi="宋体" w:eastAsia="宋体" w:cs="宋体"/>
                <w:b w:val="0"/>
                <w:i w:val="0"/>
                <w:sz w:val="18"/>
              </w:rPr>
              <w:t>
1：根据《中国共产党党校工作条例》和市委、市政府对干部队伍建设的要求，有计划地培训、轮训党员领导干部、后备干部和国家公务员，完成市委市政府安排的主体班培训班 和各类短训班，总培训人次2000人。负责学员在校学习期间的管理与考核，提升学员理论水平和党性修养；</w:t>
            </w:r>
            <w:r>
              <w:rPr>
                <w:rFonts w:ascii="宋体" w:hAnsi="宋体" w:eastAsia="宋体" w:cs="宋体"/>
                <w:b w:val="0"/>
                <w:i w:val="0"/>
                <w:sz w:val="18"/>
              </w:rPr>
              <w:cr/>
            </w:r>
            <w:r>
              <w:rPr>
                <w:rFonts w:ascii="宋体" w:hAnsi="宋体" w:eastAsia="宋体" w:cs="宋体"/>
                <w:b w:val="0"/>
                <w:i w:val="0"/>
                <w:sz w:val="18"/>
              </w:rPr>
              <w:t>
2：根据三定方案，开展重大理论问题和现实问题研究，承担市委决策咨询服务，发挥新型智库作用，发挥主体班学员“问题库”，职能部门“案例库”，资政“师资库”作用，凝聚师生力量，向市委市政府呈报10篇《资政参考》；</w:t>
            </w:r>
          </w:p>
        </w:tc>
        <w:tc>
          <w:tcPr>
            <w:tcW w:w="350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2025年底，我单位实际完成资政报告10篇，主体班培训人数1126人，短期班培训人数3260人，资政报告的呈送，承担了市委的决策咨询服务，发挥了新型智库作用；精准制定培训规划，结合培训周期要求，会同组织部门对市、区县、基层应训对象全面摸底、精准测算，制定培训规划，做好培训方案，确保培训对象全面覆盖、全员培训；加强教师专业能力训练，形成“每周五集体备课提升”机制，安排不同专业领域、不同年龄层次、不同专业能力的老中青教师集中备课，组织全体教师全程听课；提升咨政报告质量。坚持问题导向，明确“围绕党委、政府中心工作、强化应用对策性研究、形成党校特色”的智库建设思路，推进完善咨政制度建设，实现决策报告“随时交、随时评、随时呈报”。</w:t>
            </w:r>
          </w:p>
        </w:tc>
      </w:tr>
      <w:tr>
        <w:tblPrEx>
          <w:tblLayout w:type="fixed"/>
          <w:tblCellMar>
            <w:top w:w="36" w:type="dxa"/>
            <w:left w:w="36" w:type="dxa"/>
            <w:bottom w:w="36" w:type="dxa"/>
            <w:right w:w="36" w:type="dxa"/>
          </w:tblCellMar>
        </w:tblPrEx>
        <w:trPr>
          <w:cantSplit/>
          <w:trHeight w:val="582" w:hRule="atLeast"/>
        </w:trPr>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预期指标值</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指标值设定依据</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分值权重</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实际完成指标值</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739" w:hRule="atLeast"/>
        </w:trPr>
        <w:tc>
          <w:tcPr>
            <w:tcW w:w="125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履职效能</w:t>
            </w:r>
          </w:p>
        </w:tc>
        <w:tc>
          <w:tcPr>
            <w:tcW w:w="94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向市委呈送《资政报告》</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&gt;=10篇</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2025年工作计划</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10篇</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r>
      <w:tr>
        <w:tblPrEx>
          <w:tblLayout w:type="fixed"/>
          <w:tblCellMar>
            <w:top w:w="36" w:type="dxa"/>
            <w:left w:w="36" w:type="dxa"/>
            <w:bottom w:w="36" w:type="dxa"/>
            <w:right w:w="36" w:type="dxa"/>
          </w:tblCellMar>
        </w:tblPrEx>
        <w:trPr>
          <w:cantSplit/>
          <w:trHeight w:val="739" w:hRule="atLeast"/>
        </w:trPr>
        <w:tc>
          <w:tcPr>
            <w:tcW w:w="125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4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培训轮训党员干部</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&gt;=2000人</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2024年工作总结</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4386人</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w:t>
            </w:r>
          </w:p>
        </w:tc>
      </w:tr>
      <w:tr>
        <w:tblPrEx>
          <w:tblLayout w:type="fixed"/>
          <w:tblCellMar>
            <w:top w:w="36" w:type="dxa"/>
            <w:left w:w="36" w:type="dxa"/>
            <w:bottom w:w="36" w:type="dxa"/>
            <w:right w:w="36" w:type="dxa"/>
          </w:tblCellMar>
        </w:tblPrEx>
        <w:trPr>
          <w:cantSplit/>
          <w:trHeight w:val="739" w:hRule="atLeast"/>
        </w:trPr>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服务对象满意度</w:t>
            </w:r>
          </w:p>
        </w:tc>
        <w:tc>
          <w:tcPr>
            <w:tcW w:w="94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19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受训学员满意度</w:t>
            </w:r>
          </w:p>
        </w:tc>
        <w:tc>
          <w:tcPr>
            <w:tcW w:w="125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&gt;=96%</w:t>
            </w:r>
          </w:p>
        </w:tc>
        <w:tc>
          <w:tcPr>
            <w:tcW w:w="149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2025年部门工作计划</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w:t>
            </w:r>
          </w:p>
        </w:tc>
        <w:tc>
          <w:tcPr>
            <w:tcW w:w="70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0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Style w:val="8"/>
        <w:tblW w:w="8378" w:type="dxa"/>
        <w:tblInd w:w="0" w:type="dxa"/>
        <w:tblLayout w:type="fixed"/>
        <w:tblCellMar>
          <w:top w:w="36" w:type="dxa"/>
          <w:left w:w="36" w:type="dxa"/>
          <w:bottom w:w="36" w:type="dxa"/>
          <w:right w:w="36" w:type="dxa"/>
        </w:tblCellMar>
      </w:tblPr>
      <w:tblGrid>
        <w:gridCol w:w="694"/>
        <w:gridCol w:w="694"/>
        <w:gridCol w:w="694"/>
        <w:gridCol w:w="818"/>
        <w:gridCol w:w="818"/>
        <w:gridCol w:w="818"/>
        <w:gridCol w:w="818"/>
        <w:gridCol w:w="698"/>
        <w:gridCol w:w="938"/>
        <w:gridCol w:w="694"/>
        <w:gridCol w:w="694"/>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38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90"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2024年培训经费</w:t>
            </w:r>
          </w:p>
        </w:tc>
      </w:tr>
      <w:tr>
        <w:tblPrEx>
          <w:tblLayout w:type="fixed"/>
          <w:tblCellMar>
            <w:top w:w="36" w:type="dxa"/>
            <w:left w:w="36" w:type="dxa"/>
            <w:bottom w:w="36" w:type="dxa"/>
            <w:right w:w="36" w:type="dxa"/>
          </w:tblCellMar>
        </w:tblPrEx>
        <w:trPr>
          <w:trHeight w:val="499" w:hRule="atLeast"/>
        </w:trPr>
        <w:tc>
          <w:tcPr>
            <w:tcW w:w="138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51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6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38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51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93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38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38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357.52</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206.86</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206.86</w:t>
            </w:r>
          </w:p>
        </w:tc>
        <w:tc>
          <w:tcPr>
            <w:tcW w:w="151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93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38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38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357.52</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206.86</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206.86</w:t>
            </w:r>
          </w:p>
        </w:tc>
        <w:tc>
          <w:tcPr>
            <w:tcW w:w="151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93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8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38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51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93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8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02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60"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024"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市委党校计划举办培训班24个，其中：（1）理论教育和党的建设类12个班次，包括主体班次5个共12期；（2）专业化能力素质提升类12个班次；通过培训，提升干部专业化能力培训水平和培训质量。</w:t>
            </w:r>
          </w:p>
        </w:tc>
        <w:tc>
          <w:tcPr>
            <w:tcW w:w="4660"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截至2025年底，开设主体班16班次，各类短班39班次，培训出勤率达到了100%，项目实际支出206.86万元，完成了组织部安排的培训任务，通过项目的实施，提升干部专业化能力培训水平和培训质量。</w:t>
            </w:r>
          </w:p>
        </w:tc>
      </w:tr>
      <w:tr>
        <w:tblPrEx>
          <w:tblLayout w:type="fixed"/>
          <w:tblCellMar>
            <w:top w:w="36" w:type="dxa"/>
            <w:left w:w="36" w:type="dxa"/>
            <w:bottom w:w="36" w:type="dxa"/>
            <w:right w:w="36" w:type="dxa"/>
          </w:tblCellMar>
        </w:tblPrEx>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1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81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1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81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69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93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主体班培训数量</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&gt;=12个</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=16个</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按照组织部调训通知，本年度安排16个主体班班次</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133</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短期专题班数量</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&gt;=12个</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=39个</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各类短班合计39班次</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325</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培训出勤率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培训人员合格率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培训按期完成率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培训人员素质提升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显著提升</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9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培训人员满意度</w:t>
            </w:r>
          </w:p>
        </w:tc>
        <w:tc>
          <w:tcPr>
            <w:tcW w:w="81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9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3718"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81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69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93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9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714"/>
        <w:gridCol w:w="714"/>
        <w:gridCol w:w="714"/>
        <w:gridCol w:w="843"/>
        <w:gridCol w:w="843"/>
        <w:gridCol w:w="843"/>
        <w:gridCol w:w="719"/>
        <w:gridCol w:w="715"/>
        <w:gridCol w:w="843"/>
        <w:gridCol w:w="715"/>
        <w:gridCol w:w="715"/>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4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50"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2025年物业管理费</w:t>
            </w:r>
          </w:p>
        </w:tc>
      </w:tr>
      <w:tr>
        <w:tblPrEx>
          <w:tblLayout w:type="fixed"/>
          <w:tblCellMar>
            <w:top w:w="36" w:type="dxa"/>
            <w:left w:w="36" w:type="dxa"/>
            <w:bottom w:w="36" w:type="dxa"/>
            <w:right w:w="36" w:type="dxa"/>
          </w:tblCellMar>
        </w:tblPrEx>
        <w:trPr>
          <w:trHeight w:val="499" w:hRule="atLeast"/>
        </w:trPr>
        <w:tc>
          <w:tcPr>
            <w:tcW w:w="14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55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55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4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43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43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4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146.47</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146.47</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120.12</w:t>
            </w:r>
          </w:p>
        </w:tc>
        <w:tc>
          <w:tcPr>
            <w:tcW w:w="143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82.01%</w:t>
            </w:r>
          </w:p>
        </w:tc>
        <w:tc>
          <w:tcPr>
            <w:tcW w:w="143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8.20分</w:t>
            </w:r>
          </w:p>
        </w:tc>
      </w:tr>
      <w:tr>
        <w:tblPrEx>
          <w:tblLayout w:type="fixed"/>
          <w:tblCellMar>
            <w:top w:w="36" w:type="dxa"/>
            <w:left w:w="36" w:type="dxa"/>
            <w:bottom w:w="36" w:type="dxa"/>
            <w:right w:w="36" w:type="dxa"/>
          </w:tblCellMar>
        </w:tblPrEx>
        <w:trPr>
          <w:trHeight w:val="499" w:hRule="atLeast"/>
        </w:trPr>
        <w:tc>
          <w:tcPr>
            <w:tcW w:w="14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146.47</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146.47</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120.12</w:t>
            </w:r>
          </w:p>
        </w:tc>
        <w:tc>
          <w:tcPr>
            <w:tcW w:w="143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3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4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3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3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11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550"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114"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委托物业公司，对我校安保、接待、保洁、绿化等进行管理，确保按照合同完成校园安全保卫工作；保障学员宿舍、校园环境卫生整洁、环境优美，创造良好教学环境；</w:t>
            </w:r>
          </w:p>
        </w:tc>
        <w:tc>
          <w:tcPr>
            <w:tcW w:w="4550"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截至2025年底，安排绿化工数量为5人，保安人数18人，保洁人数4人，服务人员12人，项目实际支出120.12万元，服务达标率100%，保障了学员宿舍、校园环境卫生整洁、环境优美，创造了良好的教学环境。</w:t>
            </w:r>
          </w:p>
        </w:tc>
      </w:tr>
      <w:tr>
        <w:tblPrEx>
          <w:tblLayout w:type="fixed"/>
          <w:tblCellMar>
            <w:top w:w="36" w:type="dxa"/>
            <w:left w:w="36" w:type="dxa"/>
            <w:bottom w:w="36" w:type="dxa"/>
            <w:right w:w="36" w:type="dxa"/>
          </w:tblCellMar>
        </w:tblPrEx>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4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84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71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4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715"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715"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9"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5"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7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绿化工数量</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&gt;=5人</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=5人</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保安人数</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&gt;=18人</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=18人</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保洁人数</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&gt;=4人</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服务人员</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&gt;=12人</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=12人</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服务达标率</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=99%</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7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保障校园正常运转</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正常运转</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1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828"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19"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98.20</w:t>
            </w: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4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1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736"/>
        <w:gridCol w:w="736"/>
        <w:gridCol w:w="736"/>
        <w:gridCol w:w="740"/>
        <w:gridCol w:w="740"/>
        <w:gridCol w:w="868"/>
        <w:gridCol w:w="740"/>
        <w:gridCol w:w="740"/>
        <w:gridCol w:w="868"/>
        <w:gridCol w:w="737"/>
        <w:gridCol w:w="737"/>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06"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主体班经费</w:t>
            </w:r>
          </w:p>
        </w:tc>
      </w:tr>
      <w:tr>
        <w:tblPrEx>
          <w:tblLayout w:type="fixed"/>
          <w:tblCellMar>
            <w:top w:w="36" w:type="dxa"/>
            <w:left w:w="36" w:type="dxa"/>
            <w:bottom w:w="36" w:type="dxa"/>
            <w:right w:w="36" w:type="dxa"/>
          </w:tblCellMar>
        </w:tblPrEx>
        <w:trPr>
          <w:trHeight w:val="499" w:hRule="atLeast"/>
        </w:trPr>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472"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31.01</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31.01</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28.85</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93.03%</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9.30分</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16.60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16.60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14.75</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14.41</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14.41</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14.10</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29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29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1、完成市委市政府安排的主体班培训班；2、设立专题55个；3、保证学员顺利完成培训，理论水平提高。</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截至2025年底，完成主体班16个班次，受训学员1126人，开设专题数为55个，培训出勤率达到100%，培训按期完成率达到100%，通过项目实施，学员顺利完成培训，理论水平得到提高。</w:t>
            </w:r>
          </w:p>
        </w:tc>
      </w:tr>
      <w:tr>
        <w:tblPrEx>
          <w:tblLayout w:type="fixed"/>
          <w:tblCellMar>
            <w:top w:w="36" w:type="dxa"/>
            <w:left w:w="36" w:type="dxa"/>
            <w:bottom w:w="36" w:type="dxa"/>
            <w:right w:w="36" w:type="dxa"/>
          </w:tblCellMar>
        </w:tblPrEx>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6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6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73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73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6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6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7"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主体班数量</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&gt;=11个</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=16个</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按照组织部调训通知，本年度主体班培训班次增加，共16个班次</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145</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&gt;=400人</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=1126人</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按照组织部调训通知，本年度培训1126人</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281</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开设专题数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&gt;=55个</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=55个</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培训出勤率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培训按期完成率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异地教学培训天数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&gt;=16天</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=48天</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主体班班次增加，异地培训天数增加</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受训学员理论水平提高</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显著提高</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688"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99.30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647"/>
        <w:gridCol w:w="647"/>
        <w:gridCol w:w="647"/>
        <w:gridCol w:w="651"/>
        <w:gridCol w:w="1100"/>
        <w:gridCol w:w="763"/>
        <w:gridCol w:w="763"/>
        <w:gridCol w:w="988"/>
        <w:gridCol w:w="876"/>
        <w:gridCol w:w="648"/>
        <w:gridCol w:w="648"/>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9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84"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乌鲁木齐市委党校教学楼室内装修</w:t>
            </w:r>
          </w:p>
        </w:tc>
      </w:tr>
      <w:tr>
        <w:tblPrEx>
          <w:tblLayout w:type="fixed"/>
          <w:tblCellMar>
            <w:top w:w="36" w:type="dxa"/>
            <w:left w:w="36" w:type="dxa"/>
            <w:bottom w:w="36" w:type="dxa"/>
            <w:right w:w="36" w:type="dxa"/>
          </w:tblCellMar>
        </w:tblPrEx>
        <w:trPr>
          <w:trHeight w:val="499" w:hRule="atLeast"/>
        </w:trPr>
        <w:tc>
          <w:tcPr>
            <w:tcW w:w="129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29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8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294"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751"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29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43.70</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33.01</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33.01</w:t>
            </w:r>
          </w:p>
        </w:tc>
        <w:tc>
          <w:tcPr>
            <w:tcW w:w="1751"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29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43.70</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33.01</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33.01</w:t>
            </w:r>
          </w:p>
        </w:tc>
        <w:tc>
          <w:tcPr>
            <w:tcW w:w="1751"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29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751"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296"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04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86"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045"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（1）完成1080平方米吊顶，遮挡上部管道，满足美观度。（2）制作5个讲台、主席台，满足教师授课的教学需求。（3）铺设窗台板7.8平方米，保护窗台阳角，满足美观度。从而进一步提高我校办学条件及环境。</w:t>
            </w:r>
          </w:p>
        </w:tc>
        <w:tc>
          <w:tcPr>
            <w:tcW w:w="4686"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截至2025年底，该项目完成1087.38平方米吊顶，制作5个讲台，装修面积2698.16平方米，项目实际支出33.01万元，竣工验收合格率达到100%，通过项目实施完成了室内装修，提高了我校办学条件及环境。</w:t>
            </w:r>
          </w:p>
        </w:tc>
      </w:tr>
      <w:tr>
        <w:tblPrEx>
          <w:tblLayout w:type="fixed"/>
          <w:tblCellMar>
            <w:top w:w="36" w:type="dxa"/>
            <w:left w:w="36" w:type="dxa"/>
            <w:bottom w:w="36" w:type="dxa"/>
            <w:right w:w="36" w:type="dxa"/>
          </w:tblCellMar>
        </w:tblPrEx>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65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10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76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6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98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7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64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4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5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10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6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6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7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8"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安装吊顶面积</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&gt;=1000平方米</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=1087.38平方米</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实际完成安装吊顶面积1087.38平方米</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制作讲台数量</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&gt;=5个</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=5个</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装修面积</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&gt;=2698.16平方米</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=2698.16平方米</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竣工验收合格率</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教学楼装修工期</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&lt;=45天</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=15天</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每平米装修费用</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&lt;=122.32元</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=122.32元</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65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装修后有效提升办学条件</w:t>
            </w:r>
          </w:p>
        </w:tc>
        <w:tc>
          <w:tcPr>
            <w:tcW w:w="110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有效提高</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692"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704"/>
        <w:gridCol w:w="704"/>
        <w:gridCol w:w="704"/>
        <w:gridCol w:w="708"/>
        <w:gridCol w:w="952"/>
        <w:gridCol w:w="830"/>
        <w:gridCol w:w="708"/>
        <w:gridCol w:w="830"/>
        <w:gridCol w:w="830"/>
        <w:gridCol w:w="704"/>
        <w:gridCol w:w="704"/>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40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70"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五项经费</w:t>
            </w:r>
          </w:p>
        </w:tc>
      </w:tr>
      <w:tr>
        <w:tblPrEx>
          <w:tblLayout w:type="fixed"/>
          <w:tblCellMar>
            <w:top w:w="36" w:type="dxa"/>
            <w:left w:w="36" w:type="dxa"/>
            <w:bottom w:w="36" w:type="dxa"/>
            <w:right w:w="36" w:type="dxa"/>
          </w:tblCellMar>
        </w:tblPrEx>
        <w:trPr>
          <w:trHeight w:val="499" w:hRule="atLeast"/>
        </w:trPr>
        <w:tc>
          <w:tcPr>
            <w:tcW w:w="140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1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06"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40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40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40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49.73</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49.73</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39.59</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79.61%</w:t>
            </w:r>
          </w:p>
        </w:tc>
        <w:tc>
          <w:tcPr>
            <w:tcW w:w="140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7.96分</w:t>
            </w:r>
          </w:p>
        </w:tc>
      </w:tr>
      <w:tr>
        <w:tblPrEx>
          <w:tblLayout w:type="fixed"/>
          <w:tblCellMar>
            <w:top w:w="36" w:type="dxa"/>
            <w:left w:w="36" w:type="dxa"/>
            <w:bottom w:w="36" w:type="dxa"/>
            <w:right w:w="36" w:type="dxa"/>
          </w:tblCellMar>
        </w:tblPrEx>
        <w:trPr>
          <w:trHeight w:val="499" w:hRule="atLeast"/>
        </w:trPr>
        <w:tc>
          <w:tcPr>
            <w:tcW w:w="140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49.73</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49.73</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39.59</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0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40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0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06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06"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068"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党校学报4期的出版发行工作；2、完成市委市政府安排的主体班及短训班的培训任务；3、完成市委市政府安排的宣讲工作，4、完成各区县党校教学业务指导工作；5、完成市委市政府安排的课题调研结项任务</w:t>
            </w:r>
          </w:p>
        </w:tc>
        <w:tc>
          <w:tcPr>
            <w:tcW w:w="4606"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截至2025年底，主体班培训人数为1126人，发行了4期学报，学报按期发行，培训出勤率达到了100%，项目实际支出39.59万元，完成了培训任务，保障了我单位正常的教育教学工作。</w:t>
            </w:r>
          </w:p>
        </w:tc>
      </w:tr>
      <w:tr>
        <w:tblPrEx>
          <w:tblLayout w:type="fixed"/>
          <w:tblCellMar>
            <w:top w:w="36" w:type="dxa"/>
            <w:left w:w="36" w:type="dxa"/>
            <w:bottom w:w="36" w:type="dxa"/>
            <w:right w:w="36" w:type="dxa"/>
          </w:tblCellMar>
        </w:tblPrEx>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70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5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0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5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培训人数</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&gt;=400人</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=1126人</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根据组织部调训通知，本年度主体班人数增加</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281</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学报发行期数</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&gt;=4期</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=4期</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培训出勤率</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学报发行及时率</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办公费</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&lt;=17.01万</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=13.21万</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办公费实际支出13.21万元</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邮电、印刷、劳务、培训费</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&lt;=32.72万</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=26.38万</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邮电、印刷、劳务、培训费实际支出26.38万元</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受训学员理论水平提高</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显著提高</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772"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97.96</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647"/>
        <w:gridCol w:w="647"/>
        <w:gridCol w:w="647"/>
        <w:gridCol w:w="988"/>
        <w:gridCol w:w="988"/>
        <w:gridCol w:w="763"/>
        <w:gridCol w:w="651"/>
        <w:gridCol w:w="876"/>
        <w:gridCol w:w="876"/>
        <w:gridCol w:w="647"/>
        <w:gridCol w:w="648"/>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9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84"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党校搬迁经费</w:t>
            </w:r>
          </w:p>
        </w:tc>
      </w:tr>
      <w:tr>
        <w:tblPrEx>
          <w:tblLayout w:type="fixed"/>
          <w:tblCellMar>
            <w:top w:w="36" w:type="dxa"/>
            <w:left w:w="36" w:type="dxa"/>
            <w:bottom w:w="36" w:type="dxa"/>
            <w:right w:w="36" w:type="dxa"/>
          </w:tblCellMar>
        </w:tblPrEx>
        <w:trPr>
          <w:trHeight w:val="499" w:hRule="atLeast"/>
        </w:trPr>
        <w:tc>
          <w:tcPr>
            <w:tcW w:w="129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635"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294"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527"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295"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2,000.00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877.80</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877.80</w:t>
            </w:r>
          </w:p>
        </w:tc>
        <w:tc>
          <w:tcPr>
            <w:tcW w:w="1527"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295"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2,000.00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877.80</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877.80</w:t>
            </w:r>
          </w:p>
        </w:tc>
        <w:tc>
          <w:tcPr>
            <w:tcW w:w="1527"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295"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94"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76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527"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7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295"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270"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270"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（1）教学楼改造、图书馆改造、礼拜堂改造、食堂改造、地下室运动场地改造、信息化改造（2）家具购置（衣柜、床和床垫、学习桌及方凳等）、通勤车辆购置</w:t>
            </w:r>
          </w:p>
        </w:tc>
        <w:tc>
          <w:tcPr>
            <w:tcW w:w="4461"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我单位完成水西沟校区7栋建筑改造，对信息化设备、床上用品以及宿舍家具进行采购，改造验收合格率达到100%，项目实际支出877.8万元，保障了秋季学期教学和工作的正常开展，实现了市委党校双校区运行。</w:t>
            </w:r>
          </w:p>
        </w:tc>
      </w:tr>
      <w:tr>
        <w:tblPrEx>
          <w:tblLayout w:type="fixed"/>
          <w:tblCellMar>
            <w:top w:w="36" w:type="dxa"/>
            <w:left w:w="36" w:type="dxa"/>
            <w:bottom w:w="36" w:type="dxa"/>
            <w:right w:w="36" w:type="dxa"/>
          </w:tblCellMar>
        </w:tblPrEx>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98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8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76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65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87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7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4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6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5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7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7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8"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通勤车辆数量</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&lt;=2辆</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=0辆</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本年度未进行通勤车辆购置</w:t>
            </w: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改造验收合格率（%）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改造完工及时率（%）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搬迁及改造时间</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&lt;=1年</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40天</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64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改造经费</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&lt;=457.06万元</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=457.06万元</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购置费用</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&lt;=420.74万元</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=420.74万元</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4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保障正常教学和工作</w:t>
            </w:r>
          </w:p>
        </w:tc>
        <w:tc>
          <w:tcPr>
            <w:tcW w:w="9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正常保障</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4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917"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76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651"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90.00</w:t>
            </w: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7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4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736"/>
        <w:gridCol w:w="736"/>
        <w:gridCol w:w="736"/>
        <w:gridCol w:w="740"/>
        <w:gridCol w:w="740"/>
        <w:gridCol w:w="868"/>
        <w:gridCol w:w="740"/>
        <w:gridCol w:w="740"/>
        <w:gridCol w:w="868"/>
        <w:gridCol w:w="737"/>
        <w:gridCol w:w="737"/>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06"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教师赴湖南异地培训</w:t>
            </w:r>
          </w:p>
        </w:tc>
      </w:tr>
      <w:tr>
        <w:tblPrEx>
          <w:tblLayout w:type="fixed"/>
          <w:tblCellMar>
            <w:top w:w="36" w:type="dxa"/>
            <w:left w:w="36" w:type="dxa"/>
            <w:bottom w:w="36" w:type="dxa"/>
            <w:right w:w="36" w:type="dxa"/>
          </w:tblCellMar>
        </w:tblPrEx>
        <w:trPr>
          <w:trHeight w:val="499" w:hRule="atLeast"/>
        </w:trPr>
        <w:tc>
          <w:tcPr>
            <w:tcW w:w="147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472"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28.76</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92.18%</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9.22分</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31.20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28.76</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47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80"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7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29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29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（1）根据选派教师从教经历、专业技术、业务能力的差异化和培训需求，按照青年教师、骨干教师、学科带头人三个层次，有针对性开展符合教师发展阶段特点的培养培训
（2）通过将理论学习、教学研究和实践授课有机结合，精准提升教师政治素养、理论水平、专业水平、教学能力和学术生产力。</w:t>
            </w:r>
          </w:p>
        </w:tc>
        <w:tc>
          <w:tcPr>
            <w:tcW w:w="4690"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选派2名青年教师，2名学科带头人，2名骨干教师赴湖南省委党校培训学习，圆满完成了培训任务，项目实际支出28.76万元，通过项目实施，教学研究和实践授课有机结合，精准提升教师政治素养、理论水平、专业水平、教学能力和学术生产力。</w:t>
            </w:r>
          </w:p>
        </w:tc>
      </w:tr>
      <w:tr>
        <w:tblPrEx>
          <w:tblLayout w:type="fixed"/>
          <w:tblCellMar>
            <w:top w:w="36" w:type="dxa"/>
            <w:left w:w="36" w:type="dxa"/>
            <w:bottom w:w="36" w:type="dxa"/>
            <w:right w:w="36" w:type="dxa"/>
          </w:tblCellMar>
        </w:tblPrEx>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6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7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6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73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73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6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6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7"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学科带头人培训人数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&gt;=2人</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青年教师培训人数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&gt;=2人</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骨干教师培训人数</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&gt;=2人</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培训出勤率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培训按期完成率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培训时长</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&gt;=2月</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=2月</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3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73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培训教师教学水平提高</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显著提高</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3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688"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6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4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99.22</w:t>
            </w:r>
          </w:p>
        </w:tc>
        <w:tc>
          <w:tcPr>
            <w:tcW w:w="7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6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3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703"/>
        <w:gridCol w:w="703"/>
        <w:gridCol w:w="703"/>
        <w:gridCol w:w="707"/>
        <w:gridCol w:w="952"/>
        <w:gridCol w:w="830"/>
        <w:gridCol w:w="708"/>
        <w:gridCol w:w="830"/>
        <w:gridCol w:w="830"/>
        <w:gridCol w:w="708"/>
        <w:gridCol w:w="704"/>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6972"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水西沟校区履职辅助人员支出</w:t>
            </w:r>
          </w:p>
        </w:tc>
      </w:tr>
      <w:tr>
        <w:tblPrEx>
          <w:tblLayout w:type="fixed"/>
          <w:tblCellMar>
            <w:top w:w="36" w:type="dxa"/>
            <w:left w:w="36" w:type="dxa"/>
            <w:bottom w:w="36" w:type="dxa"/>
            <w:right w:w="36" w:type="dxa"/>
          </w:tblCellMar>
        </w:tblPrEx>
        <w:trPr>
          <w:trHeight w:val="499" w:hRule="atLeast"/>
        </w:trPr>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1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61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406"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41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40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14.00</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13.19</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94.21%</w:t>
            </w:r>
          </w:p>
        </w:tc>
        <w:tc>
          <w:tcPr>
            <w:tcW w:w="141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9.42分</w:t>
            </w:r>
          </w:p>
        </w:tc>
      </w:tr>
      <w:tr>
        <w:tblPrEx>
          <w:tblLayout w:type="fixed"/>
          <w:tblCellMar>
            <w:top w:w="36" w:type="dxa"/>
            <w:left w:w="36" w:type="dxa"/>
            <w:bottom w:w="36" w:type="dxa"/>
            <w:right w:w="36" w:type="dxa"/>
          </w:tblCellMar>
        </w:tblPrEx>
        <w:trPr>
          <w:trHeight w:val="499" w:hRule="atLeast"/>
        </w:trPr>
        <w:tc>
          <w:tcPr>
            <w:tcW w:w="140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14.00</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13.19</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1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40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53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41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06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610"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065"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按市委部署，水西沟校区8月底前投入使用，保障发放临聘人员4人工资，其中主厨3人，月工资6346元/人/月（含社保），配菜师1人，工资4295.33人/月/人（含社保），6个月工资总额（6346X3+4295.33）X6=140000元</w:t>
            </w:r>
          </w:p>
        </w:tc>
        <w:tc>
          <w:tcPr>
            <w:tcW w:w="4610"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截至2025年底，招聘临聘主厨3人，配菜师1人，共发放6次工资，临聘人员出勤率达到100%，实际支出13.19万元，确保分校区食堂正常开展，通过此项目的实施，实现党校双学区正常运行。</w:t>
            </w:r>
          </w:p>
        </w:tc>
      </w:tr>
      <w:tr>
        <w:tblPrEx>
          <w:tblLayout w:type="fixed"/>
          <w:tblCellMar>
            <w:top w:w="36" w:type="dxa"/>
            <w:left w:w="36" w:type="dxa"/>
            <w:bottom w:w="36" w:type="dxa"/>
            <w:right w:w="36" w:type="dxa"/>
          </w:tblCellMar>
        </w:tblPrEx>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7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5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70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3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70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70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5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3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临聘主厨数量</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=3人</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=3人</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临聘配菜师数量</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=1人</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=1人</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发放工资次数</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=6次</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=6次</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临聘人员出勤率</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70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主厨工资发放总金额</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&lt;=11.42万元</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9.47</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=10.81万元</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主厨7月10日开始发放工资，因此少10天</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94.66</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配菜师工资发放总金额</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&lt;=2.58万元</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9.22</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=2.38万元</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配菜师7月10日开始发放工资，因此少10天</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92.24</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70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7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保障培训工作正常运转</w:t>
            </w:r>
          </w:p>
        </w:tc>
        <w:tc>
          <w:tcPr>
            <w:tcW w:w="95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保障培训工作正常运转</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70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768"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3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70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98.11</w:t>
            </w: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3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70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683"/>
        <w:gridCol w:w="684"/>
        <w:gridCol w:w="684"/>
        <w:gridCol w:w="807"/>
        <w:gridCol w:w="925"/>
        <w:gridCol w:w="807"/>
        <w:gridCol w:w="688"/>
        <w:gridCol w:w="925"/>
        <w:gridCol w:w="807"/>
        <w:gridCol w:w="684"/>
        <w:gridCol w:w="684"/>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36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11"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理论研究与决策咨询业务费</w:t>
            </w:r>
          </w:p>
        </w:tc>
      </w:tr>
      <w:tr>
        <w:tblPrEx>
          <w:tblLayout w:type="fixed"/>
          <w:tblCellMar>
            <w:top w:w="36" w:type="dxa"/>
            <w:left w:w="36" w:type="dxa"/>
            <w:bottom w:w="36" w:type="dxa"/>
            <w:right w:w="36" w:type="dxa"/>
          </w:tblCellMar>
        </w:tblPrEx>
        <w:trPr>
          <w:trHeight w:val="499" w:hRule="atLeast"/>
        </w:trPr>
        <w:tc>
          <w:tcPr>
            <w:tcW w:w="1367"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9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595"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367"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61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36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367"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48.39</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48.39</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19.85</w:t>
            </w:r>
          </w:p>
        </w:tc>
        <w:tc>
          <w:tcPr>
            <w:tcW w:w="161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41.02%</w:t>
            </w:r>
          </w:p>
        </w:tc>
        <w:tc>
          <w:tcPr>
            <w:tcW w:w="136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4.10分</w:t>
            </w:r>
          </w:p>
        </w:tc>
      </w:tr>
      <w:tr>
        <w:tblPrEx>
          <w:tblLayout w:type="fixed"/>
          <w:tblCellMar>
            <w:top w:w="36" w:type="dxa"/>
            <w:left w:w="36" w:type="dxa"/>
            <w:bottom w:w="36" w:type="dxa"/>
            <w:right w:w="36" w:type="dxa"/>
          </w:tblCellMar>
        </w:tblPrEx>
        <w:trPr>
          <w:trHeight w:val="499" w:hRule="atLeast"/>
        </w:trPr>
        <w:tc>
          <w:tcPr>
            <w:tcW w:w="1367"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48.39</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48.39</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19.85</w:t>
            </w:r>
          </w:p>
        </w:tc>
        <w:tc>
          <w:tcPr>
            <w:tcW w:w="161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6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367"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1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68"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100"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595"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100"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（1）根据实际情况输送干部去内地党校培训
（2）完成资政报告（设计党建、经济、法学、民族理论、社会稳定等）
（3）聘请校外专家对资政报告进行评审</w:t>
            </w:r>
          </w:p>
        </w:tc>
        <w:tc>
          <w:tcPr>
            <w:tcW w:w="4595"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截至2025年底，该项目教师资政报告完成数27个，聘请专家人数13人，资政报告采用率37%，项目实际支出19.85万元，通过实施项目提高了教师理论联系实践能力，更好提高教师教学、科研、咨政水平。</w:t>
            </w:r>
          </w:p>
        </w:tc>
      </w:tr>
      <w:tr>
        <w:tblPrEx>
          <w:tblLayout w:type="fixed"/>
          <w:tblCellMar>
            <w:top w:w="36" w:type="dxa"/>
            <w:left w:w="36" w:type="dxa"/>
            <w:bottom w:w="36" w:type="dxa"/>
            <w:right w:w="36" w:type="dxa"/>
          </w:tblCellMar>
        </w:tblPrEx>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2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0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68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92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80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2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2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教师资政报告完成数</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&gt;=20个</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12</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12</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=27个</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本年度教师提交资政报告数量较多</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135</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聘请专家人数（人）</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&gt;=12人</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=13人</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本年度资政专家库人数实际13人</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资政报告采用率</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&gt;=25%</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13</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13</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=37%</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本年度资政报告提交数较多，采用率较高</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148</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印刷费</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&lt;=5.9万</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本年度没有使用印刷费</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培训费</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&lt;=4.5万</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6</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6</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=0.6万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本年度安排培训人数较少</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劳务费</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&lt;=37.99万</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7</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=19.245万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本年度劳务费实际支出19.245万</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提高教师为党献策作用</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显著提高</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7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07"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87.10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0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78" w:type="dxa"/>
        <w:tblInd w:w="0" w:type="dxa"/>
        <w:tblLayout w:type="fixed"/>
        <w:tblCellMar>
          <w:top w:w="36" w:type="dxa"/>
          <w:left w:w="36" w:type="dxa"/>
          <w:bottom w:w="36" w:type="dxa"/>
          <w:right w:w="36" w:type="dxa"/>
        </w:tblCellMar>
      </w:tblPr>
      <w:tblGrid>
        <w:gridCol w:w="683"/>
        <w:gridCol w:w="683"/>
        <w:gridCol w:w="684"/>
        <w:gridCol w:w="806"/>
        <w:gridCol w:w="925"/>
        <w:gridCol w:w="806"/>
        <w:gridCol w:w="688"/>
        <w:gridCol w:w="806"/>
        <w:gridCol w:w="925"/>
        <w:gridCol w:w="688"/>
        <w:gridCol w:w="684"/>
      </w:tblGrid>
      <w:tr>
        <w:tblPrEx>
          <w:tblLayout w:type="fixed"/>
          <w:tblCellMar>
            <w:top w:w="36" w:type="dxa"/>
            <w:left w:w="36" w:type="dxa"/>
            <w:bottom w:w="36" w:type="dxa"/>
            <w:right w:w="36" w:type="dxa"/>
          </w:tblCellMar>
        </w:tblPrEx>
        <w:trPr>
          <w:trHeight w:val="42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3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12"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辅助履职人员支出</w:t>
            </w:r>
          </w:p>
        </w:tc>
      </w:tr>
      <w:tr>
        <w:tblPrEx>
          <w:tblLayout w:type="fixed"/>
          <w:tblCellMar>
            <w:top w:w="36" w:type="dxa"/>
            <w:left w:w="36" w:type="dxa"/>
            <w:bottom w:w="36" w:type="dxa"/>
            <w:right w:w="36" w:type="dxa"/>
          </w:tblCellMar>
        </w:tblPrEx>
        <w:trPr>
          <w:trHeight w:val="499" w:hRule="atLeast"/>
        </w:trPr>
        <w:tc>
          <w:tcPr>
            <w:tcW w:w="13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9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4597"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中共乌鲁木齐市委员会党校（乌鲁木齐市行政学院）</w:t>
            </w:r>
          </w:p>
        </w:tc>
      </w:tr>
      <w:tr>
        <w:tblPrEx>
          <w:tblLayout w:type="fixed"/>
          <w:tblCellMar>
            <w:top w:w="36" w:type="dxa"/>
            <w:left w:w="36" w:type="dxa"/>
            <w:bottom w:w="36" w:type="dxa"/>
            <w:right w:w="36" w:type="dxa"/>
          </w:tblCellMar>
        </w:tblPrEx>
        <w:trPr>
          <w:trHeight w:val="499" w:hRule="atLeast"/>
        </w:trPr>
        <w:tc>
          <w:tcPr>
            <w:tcW w:w="1366"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49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92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37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36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149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92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37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36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142.00</w:t>
            </w:r>
          </w:p>
        </w:tc>
        <w:tc>
          <w:tcPr>
            <w:tcW w:w="149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92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7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36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494"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925"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372"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098"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4597"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098"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厨师8人，配菜1人，服务员7人，驾驶员4人，电工1人，水暖工1人，食堂出纳1人，保证正常工资发放及社保缴纳。</w:t>
            </w:r>
          </w:p>
        </w:tc>
        <w:tc>
          <w:tcPr>
            <w:tcW w:w="4597" w:type="dxa"/>
            <w:gridSpan w:val="6"/>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截至2025年底，我单位发放临聘人员工资数量22人，发放12次，项目实际支出142万元，保障临聘人员工资正常发放，通过此项目保障了食堂、校园及学员宿舍卫生、车辆驾驶、水电暖等正常运行。</w:t>
            </w:r>
          </w:p>
        </w:tc>
      </w:tr>
      <w:tr>
        <w:tblPrEx>
          <w:tblLayout w:type="fixed"/>
          <w:tblCellMar>
            <w:top w:w="36" w:type="dxa"/>
            <w:left w:w="36" w:type="dxa"/>
            <w:bottom w:w="36" w:type="dxa"/>
            <w:right w:w="36" w:type="dxa"/>
          </w:tblCellMar>
        </w:tblPrEx>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0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92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06"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68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80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925"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688"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2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6"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25"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8"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68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临聘人员数量</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=23人</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9.56</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=22人</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下半年临聘人员减少1人</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95.65</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发放工资次数</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=12人</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=12人</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临聘人员出勤率</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每次发放资金数</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&lt;=11.83万元</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=11.83万元</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8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保障教学工作正常运转</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正常运转</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8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378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06"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688"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99.56</w:t>
            </w:r>
          </w:p>
        </w:tc>
        <w:tc>
          <w:tcPr>
            <w:tcW w:w="80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925"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8"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8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1BD5293-57A4-46E2-A838-21415D490B4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F6F9CA14-4BE1-499E-8D8D-546CCD562EF6}"/>
  </w:font>
  <w:font w:name="仿宋_GB2312">
    <w:panose1 w:val="02010609030101010101"/>
    <w:charset w:val="86"/>
    <w:family w:val="modern"/>
    <w:pitch w:val="default"/>
    <w:sig w:usb0="00000001" w:usb1="080E0000" w:usb2="00000000" w:usb3="00000000" w:csb0="00040000" w:csb1="00000000"/>
    <w:embedRegular r:id="rId3" w:fontKey="{F3533E39-7297-452E-BAAD-D746165B6E22}"/>
  </w:font>
  <w:font w:name="楷体_GB2312">
    <w:panose1 w:val="02010609030101010101"/>
    <w:charset w:val="86"/>
    <w:family w:val="auto"/>
    <w:pitch w:val="default"/>
    <w:sig w:usb0="00000001" w:usb1="080E0000" w:usb2="00000000" w:usb3="00000000" w:csb0="00040000" w:csb1="00000000"/>
    <w:embedRegular r:id="rId4" w:fontKey="{E571975B-D88D-45A1-9367-19FEF5E07C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bUj9C8AQAAZAMAAA4AAAAAAAAAAQAgAAAAHgEAAGRycy9lMm9Eb2MueG1sUEsFBgAAAAAG&#10;AAYAWQEAAEwFA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C8D67AF"/>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1D5A62"/>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5761</Words>
  <Characters>6524</Characters>
  <Lines>10</Lines>
  <Paragraphs>2</Paragraphs>
  <TotalTime>82</TotalTime>
  <ScaleCrop>false</ScaleCrop>
  <LinksUpToDate>false</LinksUpToDate>
  <CharactersWithSpaces>6533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Administrator</cp:lastModifiedBy>
  <cp:lastPrinted>2024-07-22T11:58:00Z</cp:lastPrinted>
  <dcterms:modified xsi:type="dcterms:W3CDTF">2026-10-09T09:32:02Z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8FDA567F26D84A8C8A1B02E29FDE1AE6_13</vt:lpwstr>
  </property>
  <property fmtid="{D5CDD505-2E9C-101B-9397-08002B2CF9AE}" pid="4" name="KSOTemplateDocerSaveRecord">
    <vt:lpwstr>eyJoZGlkIjoiNzBiNWEwMTI5ZjViMjA2MzM1ZTBmODZkOTkwNDNiNzEiLCJ1c2VySWQiOiIyNjI2NzYzNzMifQ==</vt:lpwstr>
  </property>
</Properties>
</file>