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乌鲁木齐市工商业联合会（乌鲁木齐市总商会）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乌鲁木齐市工商业联合会（乌鲁木齐市总商会）是具有统治性、经济性、民间性有机统一基本特征的人民团体和商会组织，是党和政府联系非公有制经济人士的桥梁纽带，是政府管理和服务非公有制经济的助手。是中国人民政治协商会议的重要组成部分，工商联工作是党的统一战线工作和经济工作的重要内容，工商联事业是中国特色社会主义事业的重要组成部分。</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乌鲁木齐市工商业联合会（乌鲁木齐市总商会）无下属预算单位。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2025年度收入总计416.47万元，</w:t>
      </w:r>
      <w:r>
        <w:rPr>
          <w:rFonts w:ascii="仿宋_GB2312" w:hAnsi="仿宋_GB2312" w:eastAsia="仿宋_GB2312"/>
          <w:b w:val="0"/>
          <w:sz w:val="32"/>
        </w:rPr>
        <w:t>其中：本年收入合计416.47万元，使用非财政拨款结余（含专用结余）0.00万元，年初结转和结余0.00万元。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2025年度支出总计416.47万元，</w:t>
      </w:r>
      <w:r>
        <w:rPr>
          <w:rFonts w:ascii="仿宋_GB2312" w:hAnsi="仿宋_GB2312" w:eastAsia="仿宋_GB2312"/>
          <w:b w:val="0"/>
          <w:sz w:val="32"/>
        </w:rPr>
        <w:t>其中：本年支出合计416.47万元，结余分配0.00万元，年末结转和结余0.00万元。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减少13.35万元，下降3.11%，主要原因是：本年非公有制党建项目经费较上年减少。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本年收入416.47万元，</w:t>
      </w:r>
      <w:r>
        <w:rPr>
          <w:rFonts w:ascii="仿宋_GB2312" w:hAnsi="仿宋_GB2312" w:eastAsia="仿宋_GB2312"/>
          <w:b w:val="0"/>
          <w:sz w:val="32"/>
        </w:rPr>
        <w:t>其中：财政拨款收入416.47万元，占100.00%；上级补助收入0.00万元，占0.00%；事业收入0.00万元，占0.00%；经营收入0.00万元，占0.00%；附属单位上缴收入0.00万元，占0.00%；其他收入0.00万元，占0.00%。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本年支出416.47万元，</w:t>
      </w:r>
      <w:r>
        <w:rPr>
          <w:rFonts w:ascii="仿宋_GB2312" w:hAnsi="仿宋_GB2312" w:eastAsia="仿宋_GB2312"/>
          <w:b w:val="0"/>
          <w:sz w:val="32"/>
        </w:rPr>
        <w:t>其中：基本支出408.53万元，占98.09%；项目支出7.94万元，占1.91%；上缴上级支出0.00万元，占0.00%；经营支出0.00万元，占0.00%；对附属单位补助支出0.00万元，占0.00%。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2025年度财政拨款收入总计416.47万元，</w:t>
      </w:r>
      <w:r>
        <w:rPr>
          <w:rFonts w:ascii="仿宋_GB2312" w:hAnsi="仿宋_GB2312" w:eastAsia="仿宋_GB2312"/>
          <w:b w:val="0"/>
          <w:sz w:val="32"/>
        </w:rPr>
        <w:t>其中：年初财政拨款结转和结余0.00万元，本年财政拨款收入416.47万元。</w:t>
      </w:r>
      <w:r>
        <w:rPr>
          <w:rFonts w:ascii="仿宋_GB2312" w:hAnsi="仿宋_GB2312" w:eastAsia="仿宋_GB2312"/>
          <w:b/>
          <w:sz w:val="32"/>
        </w:rPr>
        <w:t>财政拨款支出总计416.47万元，</w:t>
      </w:r>
      <w:r>
        <w:rPr>
          <w:rFonts w:ascii="仿宋_GB2312" w:hAnsi="仿宋_GB2312" w:eastAsia="仿宋_GB2312"/>
          <w:b w:val="0"/>
          <w:sz w:val="32"/>
        </w:rPr>
        <w:t>其中：年末财政拨款结转和结余0.00万元，本年财政拨款支出416.47万元。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减少13.35万元，下降3.11%，主要原因是：本年非公有制党建项目经费较上年减少。</w:t>
      </w:r>
      <w:r>
        <w:rPr>
          <w:rFonts w:ascii="仿宋_GB2312" w:hAnsi="仿宋_GB2312" w:eastAsia="仿宋_GB2312"/>
          <w:b/>
          <w:sz w:val="32"/>
        </w:rPr>
        <w:t>与年初预算相比，</w:t>
      </w:r>
      <w:r>
        <w:rPr>
          <w:rFonts w:ascii="仿宋_GB2312" w:hAnsi="仿宋_GB2312" w:eastAsia="仿宋_GB2312"/>
          <w:b w:val="0"/>
          <w:sz w:val="32"/>
        </w:rPr>
        <w:t>年初预算数338.35万元，决算数416.47万元，预决算差异率23.09%，主要原因是：一是年中追加人员工资、社保、公积金基数调增部分资金；二是在职人员职业年金单位缴纳部分做实，年中追加职业年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按照支出功能分类，一般公共服务支出（类）民主党派及工商联事务（款）行政运行（项）的支出占本年财政拨款支出总额的比重最高，2025年度决算数为341.09万元，占比81.90%，主要用于机构运行。</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2025年度一般公共预算财政拨款支出416.47万元，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减少13.35万元，下降3.11%，主要原因是：本年非公有制党建项目经费较上年减少。</w:t>
      </w:r>
      <w:r>
        <w:rPr>
          <w:rFonts w:ascii="仿宋_GB2312" w:hAnsi="仿宋_GB2312" w:eastAsia="仿宋_GB2312"/>
          <w:b/>
          <w:sz w:val="32"/>
        </w:rPr>
        <w:t>与年初预算相比，</w:t>
      </w:r>
      <w:r>
        <w:rPr>
          <w:rFonts w:ascii="仿宋_GB2312" w:hAnsi="仿宋_GB2312" w:eastAsia="仿宋_GB2312"/>
          <w:b w:val="0"/>
          <w:sz w:val="32"/>
        </w:rPr>
        <w:t>年初预算数338.35万元，决算数416.47万元，预决算差异率23.09%，主要原因是：一是年中追加人员工资、社保、公积金基数调增部分资金；二是在职人员职业年金单位缴纳部分做实，年中追加职业年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1.一般公共服务支出（类）349.03万元，占83.81%。</w:t>
      </w:r>
    </w:p>
    <w:p>
      <w:pPr>
        <w:spacing w:line="580" w:lineRule="exact"/>
        <w:ind w:firstLine="640"/>
        <w:jc w:val="both"/>
      </w:pPr>
      <w:r>
        <w:rPr>
          <w:rFonts w:ascii="仿宋_GB2312" w:hAnsi="仿宋_GB2312" w:eastAsia="仿宋_GB2312"/>
          <w:b w:val="0"/>
          <w:sz w:val="32"/>
        </w:rPr>
        <w:t>2.社会保障和就业支出（类）67.45万元，占16.20%。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1.一般公共服务支出（类）民主党派及工商联事务（款）行政运行（项）：支出决算数为341.09万元，比上年决算增加9.23万元，增长2.78%，主要原因是：本年在职人员工资调增，导致相关人员经费较上年有所增加。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民主党派及工商联事务（款）一般行政管理事务（项）：支出决算数为7.94万元，比上年决算增加7.94万元，增长100.00%，主要原因是：本年功能科目调整，非公有制党建项目经费从其他民主党派及工商联事务款调整至一般行政管理事务款核算，导致该科目经费较上年增加。</w:t>
      </w:r>
    </w:p>
    <w:p>
      <w:pPr>
        <w:spacing w:line="580" w:lineRule="exact"/>
        <w:ind w:firstLine="640"/>
        <w:jc w:val="both"/>
      </w:pPr>
      <w:r>
        <w:rPr>
          <w:rFonts w:ascii="仿宋_GB2312" w:hAnsi="仿宋_GB2312" w:eastAsia="仿宋_GB2312"/>
          <w:b w:val="0"/>
          <w:sz w:val="32"/>
        </w:rPr>
        <w:t>3.一般公共服务支出（类）民主党派及工商联事务（款）其他民主党派及工商联事务支出（项）：支出决算数为0.00万元，比上年决算减少7.94万元，下降100.00%，主要原因是：本年功能科目调整，非公有制党建项目经费从其他民主党派及工商联事务款调整至一般行政管理事务款核算，导致该科目经费较上年减少。</w:t>
      </w:r>
    </w:p>
    <w:p>
      <w:pPr>
        <w:spacing w:line="580" w:lineRule="exact"/>
        <w:ind w:firstLine="640"/>
        <w:jc w:val="both"/>
      </w:pPr>
      <w:r>
        <w:rPr>
          <w:rFonts w:ascii="仿宋_GB2312" w:hAnsi="仿宋_GB2312" w:eastAsia="仿宋_GB2312"/>
          <w:b w:val="0"/>
          <w:sz w:val="32"/>
        </w:rPr>
        <w:t>4.科学技术支出（类）其他科学技术支出（款）其他科学技术支出（项）：支出决算数为0.00万元，比上年决算减少0.88万元，下降100.00%，主要原因是：本年未安排办公电脑购置费。</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5.社会保障和就业支出（类）行政事业单位养老支出（款）行政单位离退休（项）：支出决算数为25.02万元，比上年决算增加8.12万元，增长48.05%，主要原因是：本年增加退休人员基础绩效奖，退休费支出增加。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34.04万元，比上年决算减少3.39万元，下降9.06%，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8.38万元，比上年决算减少26.43万元，下降75.93%，主要原因是：本年无在职转退休人员，未一次性记实职业年金，因此较上年有所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2025年度一般公共预算财政拨款基本支出408.53万元，其中：</w:t>
      </w:r>
      <w:r>
        <w:rPr>
          <w:rFonts w:ascii="仿宋_GB2312" w:hAnsi="仿宋_GB2312" w:eastAsia="仿宋_GB2312"/>
          <w:b/>
          <w:sz w:val="32"/>
        </w:rPr>
        <w:t>人员经费378.04万元，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包括：基本工资、津贴补贴、奖金、机关事业单位基本养老保险缴费、职业年金缴费、职工基本医疗保险缴费、公务员医疗补助缴费、其他社会保障缴费、住房公积金、退休费、生活补助。</w:t>
      </w:r>
    </w:p>
    <w:p>
      <w:pPr>
        <w:spacing w:line="580" w:lineRule="exact"/>
        <w:ind w:firstLine="640"/>
        <w:jc w:val="both"/>
      </w:pPr>
      <w:r>
        <w:rPr>
          <w:rFonts w:ascii="仿宋_GB2312" w:hAnsi="仿宋_GB2312" w:eastAsia="仿宋_GB2312"/>
          <w:b/>
          <w:sz w:val="32"/>
        </w:rPr>
        <w:t>公用经费30.49万元，</w:t>
      </w:r>
      <w:r>
        <w:rPr>
          <w:rFonts w:ascii="仿宋_GB2312" w:hAnsi="仿宋_GB2312" w:eastAsia="仿宋_GB2312"/>
          <w:b w:val="0"/>
          <w:sz w:val="32"/>
        </w:rPr>
        <w:t>包括：办公费、邮电费、差旅费、劳务费、工会经费、福利费、公务用车运行维护费、其他商品和服务支出。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本部门本年度无政府性基金预算财政拨款收入、支出及结转和结余，政府性基金预算财政拨款收入支出决算表为空表。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2025年度财政拨款“三公”经费支出4.68万元，</w:t>
      </w:r>
      <w:r>
        <w:rPr>
          <w:rFonts w:ascii="仿宋_GB2312" w:hAnsi="仿宋_GB2312" w:eastAsia="仿宋_GB2312"/>
          <w:b w:val="0"/>
          <w:sz w:val="32"/>
        </w:rPr>
        <w:t>比上年增加0.01万元，增长0.21%，主要原因是：本部门公务用车日渐老化，维修维护成本增加，导致公务用车运行维护费较上年增加。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公务用车购置及运行维护费支出4.68万元，占100.00%，比上年增加0.01万元，增长0.21%，主要原因是：本部门公务用车日渐老化，维修维护成本增加，导致公务用车运行维护费较上年增加。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4.68万元，其中：公务用车购置费0.00万元，公务用车运行维护费4.68万元。公务用车运行维护费开支内容包括公务用车燃油费、车辆维修维护费、保险费、过路费等。公务用车购置数0辆，公务用车保有量2辆。国有资产占用情况中固定资产车辆2辆，与公务用车保有量差异原因是：本部门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4.68万元，决算数4.68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4.68万元，决算数4.68万元，预决算差异率0.00%，主要原因是：严格按照预算执行，预决算无差异。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工商业联合会（乌鲁木齐市总商会）（行政单位和参照公务员法管理事业单位）机关运行经费支出30.49万元，比上年减少3.78万元，下降11.03%，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2025年度政府采购支出总额2.74万元，其中：政府采购货物支出1.34万元、政府采购工程支出0.00万元、政府采购服务支出1.40万元。</w:t>
      </w:r>
    </w:p>
    <w:p>
      <w:pPr>
        <w:spacing w:line="580" w:lineRule="exact"/>
        <w:ind w:firstLine="640"/>
        <w:jc w:val="both"/>
      </w:pPr>
      <w:r>
        <w:rPr>
          <w:rFonts w:ascii="仿宋_GB2312" w:hAnsi="仿宋_GB2312" w:eastAsia="仿宋_GB2312"/>
          <w:b w:val="0"/>
          <w:sz w:val="32"/>
        </w:rPr>
        <w:t>授予中小企业合同金额2.01万元，占政府采购支出总额的73.36%，其中：授予小微企业合同金额2.01万元，占政府采购支出总额的73.36%。</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2辆，价值24.22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416.47万元，实际执行总额416.47万元；预算绩效评价项目1个，全年预算数7.94万元，全年执行数7.94万元。预算绩效管理取得的成效：一是扎实推进党的二十届三中全会和自治区党委、市委全会精神的学习和宣传。把学习贯彻党的二十大和二十届二中、三中全会、自治区党委、市委全会精神作为重大政治任务，推动学习宣传贯彻不断走深、走心、走实。开展以“党的二十届三中全会精神、自治区党委全会、市委全会精神解读”为主要内容，通过组织开展“企业家大讲堂”“上门送学”等方式，多渠道、多途径开展经常性党的理念和政策宣传宣讲，不断增强中华民族共同体意识，以强信心为重点加强正面宣传和系统联动，切实提高全市工商联系统服务“两个健康”能力和水平；二是强化党建引领，促进商会党建与业务同频共振。积极探索在直属商会开展党建工作的有效方法和途径，运用线上和现场指导等方式灵活多样地组织党务工作者和会员企业负责人学习党的理论知识，2025年计划开展党务工作培训班2期，努力建设一支守信念、讲奉献、有本领、重品行的基层党组织带头人队伍。以“五个好”党支部创建工作为目标，推动商会党建工作更加规范。通过选派党建工作指导员，结合商会业务工作强化对商会党建工作的具体指导、监督、宣传和服务，着力抓好党的组织和党的工作在商会的全覆盖，规范党的组织生活和党员教育管理。大力开展“党旗红、商会兴”等主题活动，评选表彰“支持党建工作的好会长”“五个好”商会党支部等，激励商会负责人积极主动支持党建工作，成为党建工作的热心人。发现的问题及原因：一是党建与企业发展融合不够深入。党建工作仍以理论学习、会议培训为主，“党建+助企发展”模式落地不够扎实，与企业融资、用工、市场拓展、合规经营等实际需求结合不紧密，党建引领解决企业难题的实效不够突出；二是党务工作队伍能力有待提升。商会党务工作者多为兼职，专业能力参差不齐，系统党务培训频次不足、内容偏理论，实操性不强，在发展党员、台账管理、组织活动、联建共建等方面能力薄弱，难以适应新时代非公党建工作要求。下一步改进措施：一是深化“党建+助企”融合模式。围绕企业急难愁盼，开展党建+金融、党建+用工、党建+法律服务、党建+市场对接等务实活动，把党建平台转化为发展平台，以实际成效增强企业抓党建的内生动力；二是强化党务队伍专业化建设。增加党务培训频次，丰富实操课程，采取集中培训+现场观摩+经验交流+跟班学习等方式，重点提升党务工作者业务能力，打造稳定、专业、能干的基层党建队伍。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55"/>
        <w:gridCol w:w="885"/>
        <w:gridCol w:w="933"/>
        <w:gridCol w:w="1957"/>
        <w:gridCol w:w="1240"/>
        <w:gridCol w:w="1483"/>
        <w:gridCol w:w="592"/>
        <w:gridCol w:w="696"/>
        <w:gridCol w:w="703"/>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乌鲁木齐市工商业联合会（乌鲁木齐市总商会）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416.47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416.47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416.47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416.47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1999"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我单位工作职能：加强和改进非公有制经济人士思想政治工作；参与政治协商，做好民主监督、参政议政有关工作；协助政府管理和服务非公有制经济；协助政府管理和服务非公有制经济 ；反映非公有制企业和非公有制经济人士利益诉求，维护其合法权益；协助有关部门开展非公有制经济组织党建工作。                                                                                       
目标一：开展非公有制企业、区县工商联各类主题会议、培训工作。                                                          
目标二：大力发展商会、会员企业，不断扩大工商联工作覆盖面。
目标三：积极走访商会、企业，加强政企沟通。</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底，在市委的坚强领导和自治区工商联、市委统战部的精心指导下，市工商联（市总商会）坚持以习近平新时代中国特色社会主义思想为指导，深入学习贯彻党的二十大和二十届历次全会精神，牢牢把握“两个健康”工作主题，坚守统战性、经济性、民间性有机统一，扎实推进各项重点工作。
(一）强化政治引领，筑牢思想根基。将学习贯彻习近平新时代中国特色社会主义思想作为首要政治任务。开展乌鲁木齐市发展壮大民营经济专题研讨班，有效提升了民营经济人士的政治觉悟和思想认同。扎实推进中央八项规定精神学题教育和“转作风、提质效”专项行动，通过廉政党课、警示教育等强化纪律意识，不断筑牢拒腐防变思想底线。
(二）规范组织运行机制。制定《乌鲁木齐市工商联所属商会管理办法》，联合民政、司法部门开展商会“健康体检”，规范班子建设、财务管理等工作。推广会长轮值、分组联络等制度，建立“工商联+商会+职能部门”三方联合走访机制，会同发改、商务等部门开展常态化走访51次，涉及商会组织62家，走访覆盖率达82.6%，现场办公为商会、企业解决实际困难，提升商会组织活力。
(三）党组班子带头落实理论学习中心组学习制度，举办党的二十届四中全会精神宣讲会、新生代企业家理想信念报告会等专题活动5场次，依托商会及党支部平台开展学习贯彻活动300余场次，覆盖民营经济人士4500余人次。
(四）健全商会组织网络。以“四好”商会建设为抓手，构建“异地商会+行业商会+街道（园区）商会”三维组织体系，商会组织延伸至制造业、医疗、外贸、建筑业、数智产业等多个重点领域。2025年新建3家商会组织，截至2025年底，全市工商联系统发展企业会员16101家、商会组织（团体会员）126家，其中市工商联直属商会104家，区（县）直属街道（行业）商会16家。
2025年市工商联参与政治协商，做好民主监督、协助政府管理和服务非公有制经济，为非公有制企业提供信息、法律、融资、技术、人オ等方面的服务，组织开展与国内外工商界的联系、交流，推动经贸交流和协作。促进行业协会商会改革发展，指导和推动商会组织完善法人治理结构、规范内部管理、依照法律和章程开展活动。反映非公有制企业和非公有制经济人士利益诉求，维护其合法权益。向市委市人民政府提出相关意见和建议做好非公有制经济代表人士政治安排推荐及参与政治生活、社会事务有关工作。成为了市委市政府和非公有制企业和非公有制经济人士的桥梁纽带。</w:t>
            </w:r>
          </w:p>
        </w:tc>
      </w:tr>
      <w:tr>
        <w:trPr>
          <w:trHeight w:val="582"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39"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开展民营经济人士主题培训次数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《在自治区工商联（总商会）十二届三次执委会议上的工作报告》、市工商联2025年工作总结及工作计划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开展商会、区县工商联各类主题会议次数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《在自治区工商联（总商会）十二届三次执委会议上的工作报告》、市工商联2025年工作总结及工作计划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走访商会覆盖率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《在自治区工商联（总商会）十二届三次执委会议上的工作报告》、市工商联2025年工作总结及工作计划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39"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可持续发展能力</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注重发展商会组织个数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市工商联2025年工作总结及工作计划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8"/>
        <w:gridCol w:w="284"/>
        <w:gridCol w:w="520"/>
        <w:gridCol w:w="412"/>
        <w:gridCol w:w="464"/>
        <w:gridCol w:w="614"/>
        <w:gridCol w:w="473"/>
        <w:gridCol w:w="614"/>
      </w:tblGrid>
      <w:tr>
        <w:trPr>
          <w:trHeight w:val="405"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非公有制党建工作经费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乌鲁木齐市工商业联合会（乌鲁木齐市总商会）</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乌鲁木齐市工商业联合会（乌鲁木齐市总商会）</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7.94</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7.94</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根据市委社会工作部 乌党社发〔2024〕2号(关于印发《乌鲁木齐市关于推进“两企三新”党建工作的指导意见（试行）》的通知）、市委社会工作部《关于组织“两企三新”深入开展党的二十届三中全会精神教育培训的通知》开展各项工作。
1、组织“两企三新”党员深入学习习近平新时代中国特色社会主义思想、二十届三中全会精神等辅导党建书籍及杂志，为“两企三新”党组织、直属商会发放党建书刊覆盖至少44家。
2、把党的领导落实到“两企三新”各领域各方面环节，引领“两企三新”健康发展、团结凝聚各类群体。规范基础工作、开展党务培训日常指导，组织“两企三新”党员开展党务培训至少1次。</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开展党务培训次数1次，发放党建书籍、党报党刊等60家，参加培训人数60人，项目实际支出7.94万元，通过实施以上工作，引导民营经济人士努力做到学思用贯通、知信行统一，抓住新的发展机遇投身新的经济发展。推进“两企三新”党建工作的进一步开展，提高商会党组织工作积极性。</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开展党务培训次数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发放党建书籍、党报党刊等</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&gt;=44家</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=60家</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年初我单位有44家商会党支部，后增加为60家商会党支部，按实际情况发放书籍，超过预期目标值。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136.36</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&gt;=45人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年初我单位有44家商会党支部，后增加为60家商会党支部，按实际情况安排培训，共到会60人，超出预期目标。</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133.33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培训党支部覆盖率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年初我单位有44家商会党支部，后增加为60家商会党支部，按实际情况安排培训，共到会60人，培训覆盖率达100%，超出预期目标</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党建书籍、党报党刊发放率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年初我单位有44家商会党支部，后增加为60家商会党支部，为每个党支部发放书籍，发放率达100%，超出预期目标</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培训按期完成率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按实际完成培训</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党组织培训费</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购买党建书籍、党报党刊费用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&lt;=6.14万元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=6.14万元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提高商会党组织工作积极性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商会党支部满意度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