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03D54"/>
    <w:p w14:paraId="5409D376">
      <w:pPr>
        <w:spacing w:line="480" w:lineRule="auto"/>
        <w:ind w:firstLine="0" w:firstLineChars="0"/>
        <w:rPr>
          <w:rFonts w:hint="eastAsia" w:ascii="Times New Roman" w:hAnsi="Times New Roman" w:eastAsia="黑体" w:cs="Times New Roman"/>
          <w:b/>
          <w:kern w:val="0"/>
          <w:sz w:val="50"/>
          <w:szCs w:val="50"/>
          <w:lang w:bidi="en-US"/>
        </w:rPr>
      </w:pPr>
    </w:p>
    <w:p w14:paraId="23B9FC81">
      <w:pPr>
        <w:spacing w:line="480" w:lineRule="auto"/>
        <w:ind w:firstLine="0" w:firstLineChars="0"/>
        <w:rPr>
          <w:rFonts w:ascii="Times New Roman" w:hAnsi="Times New Roman" w:eastAsia="黑体" w:cs="Times New Roman"/>
          <w:b/>
          <w:kern w:val="0"/>
          <w:sz w:val="50"/>
          <w:szCs w:val="50"/>
          <w:lang w:bidi="en-US"/>
        </w:rPr>
      </w:pPr>
    </w:p>
    <w:p w14:paraId="4B18F665">
      <w:pPr>
        <w:spacing w:line="480" w:lineRule="auto"/>
        <w:ind w:firstLine="0" w:firstLineChars="0"/>
        <w:jc w:val="center"/>
        <w:rPr>
          <w:rFonts w:ascii="Times New Roman" w:hAnsi="Times New Roman" w:eastAsia="黑体" w:cs="Times New Roman"/>
          <w:b/>
          <w:kern w:val="0"/>
          <w:sz w:val="50"/>
          <w:szCs w:val="50"/>
          <w:lang w:bidi="en-US"/>
        </w:rPr>
      </w:pPr>
    </w:p>
    <w:p w14:paraId="21AB4D12">
      <w:pPr>
        <w:spacing w:before="120" w:after="120" w:line="480" w:lineRule="auto"/>
        <w:ind w:firstLine="0" w:firstLineChars="0"/>
        <w:jc w:val="center"/>
        <w:rPr>
          <w:rFonts w:ascii="仿宋_GB2312" w:hAnsi="Arial"/>
          <w:b/>
          <w:sz w:val="44"/>
          <w:szCs w:val="44"/>
        </w:rPr>
      </w:pPr>
      <w:r>
        <w:rPr>
          <w:rFonts w:hint="eastAsia" w:ascii="仿宋_GB2312" w:hAnsi="Arial"/>
          <w:b/>
          <w:sz w:val="44"/>
          <w:szCs w:val="44"/>
        </w:rPr>
        <w:t>财政项目支出绩效评价报告</w:t>
      </w:r>
    </w:p>
    <w:p w14:paraId="7D9F5898">
      <w:pPr>
        <w:spacing w:line="480" w:lineRule="auto"/>
        <w:ind w:firstLine="0" w:firstLineChars="0"/>
        <w:jc w:val="center"/>
        <w:rPr>
          <w:rFonts w:ascii="Times New Roman" w:hAnsi="Times New Roman" w:eastAsia="黑体" w:cs="Times New Roman"/>
          <w:b/>
          <w:kern w:val="0"/>
          <w:sz w:val="50"/>
          <w:szCs w:val="50"/>
          <w:lang w:bidi="en-US"/>
        </w:rPr>
      </w:pPr>
    </w:p>
    <w:p w14:paraId="7E037A6D">
      <w:pPr>
        <w:spacing w:line="480" w:lineRule="auto"/>
        <w:ind w:firstLine="0" w:firstLineChars="0"/>
        <w:jc w:val="center"/>
        <w:rPr>
          <w:rFonts w:ascii="Times New Roman" w:hAnsi="Times New Roman" w:eastAsia="黑体" w:cs="Times New Roman"/>
          <w:b/>
          <w:kern w:val="0"/>
          <w:sz w:val="50"/>
          <w:szCs w:val="50"/>
          <w:lang w:bidi="en-US"/>
        </w:rPr>
      </w:pPr>
    </w:p>
    <w:p w14:paraId="387FF65E">
      <w:pPr>
        <w:spacing w:line="480" w:lineRule="auto"/>
        <w:ind w:firstLine="0" w:firstLineChars="0"/>
        <w:jc w:val="center"/>
        <w:rPr>
          <w:rFonts w:ascii="Times New Roman" w:hAnsi="Times New Roman" w:eastAsia="黑体" w:cs="Times New Roman"/>
          <w:b/>
          <w:kern w:val="0"/>
          <w:sz w:val="50"/>
          <w:szCs w:val="50"/>
          <w:lang w:bidi="en-US"/>
        </w:rPr>
      </w:pPr>
    </w:p>
    <w:p w14:paraId="0681D707">
      <w:pPr>
        <w:spacing w:line="480" w:lineRule="auto"/>
        <w:ind w:firstLine="0" w:firstLineChars="0"/>
        <w:jc w:val="center"/>
        <w:rPr>
          <w:rFonts w:ascii="Times New Roman" w:hAnsi="Times New Roman" w:eastAsia="黑体" w:cs="Times New Roman"/>
          <w:b/>
          <w:kern w:val="0"/>
          <w:sz w:val="50"/>
          <w:szCs w:val="50"/>
          <w:lang w:bidi="en-US"/>
        </w:rPr>
      </w:pPr>
    </w:p>
    <w:p w14:paraId="0F088E92">
      <w:pPr>
        <w:spacing w:line="480" w:lineRule="auto"/>
        <w:ind w:firstLine="0" w:firstLineChars="0"/>
        <w:jc w:val="center"/>
        <w:rPr>
          <w:rFonts w:ascii="Times New Roman" w:hAnsi="Times New Roman" w:eastAsia="黑体" w:cs="Times New Roman"/>
          <w:b/>
          <w:kern w:val="0"/>
          <w:sz w:val="50"/>
          <w:szCs w:val="50"/>
          <w:lang w:bidi="en-US"/>
        </w:rPr>
      </w:pPr>
    </w:p>
    <w:p w14:paraId="7EFF981F">
      <w:pPr>
        <w:spacing w:line="480" w:lineRule="auto"/>
        <w:ind w:firstLine="0" w:firstLineChars="0"/>
        <w:jc w:val="center"/>
        <w:rPr>
          <w:rFonts w:ascii="Times New Roman" w:hAnsi="Times New Roman" w:eastAsia="黑体" w:cs="Times New Roman"/>
          <w:b/>
          <w:kern w:val="0"/>
          <w:sz w:val="50"/>
          <w:szCs w:val="50"/>
          <w:lang w:bidi="en-US"/>
        </w:rPr>
      </w:pPr>
    </w:p>
    <w:p w14:paraId="2F2CFA04">
      <w:pPr>
        <w:spacing w:line="480" w:lineRule="auto"/>
        <w:ind w:firstLine="0" w:firstLineChars="0"/>
        <w:jc w:val="center"/>
        <w:rPr>
          <w:rFonts w:ascii="仿宋_GB2312" w:hAnsi="Times New Roman" w:cs="Times New Roman"/>
          <w:kern w:val="0"/>
          <w:sz w:val="30"/>
          <w:szCs w:val="30"/>
          <w:lang w:bidi="en-US"/>
        </w:rPr>
      </w:pPr>
    </w:p>
    <w:p w14:paraId="649511E7">
      <w:pPr>
        <w:spacing w:line="480" w:lineRule="auto"/>
        <w:ind w:firstLine="0" w:firstLineChars="0"/>
        <w:jc w:val="left"/>
        <w:rPr>
          <w:rFonts w:ascii="仿宋_GB2312" w:hAnsi="Times New Roman" w:cs="Times New Roman"/>
          <w:kern w:val="0"/>
          <w:sz w:val="32"/>
          <w:szCs w:val="32"/>
          <w:lang w:bidi="en-US"/>
        </w:rPr>
      </w:pPr>
      <w:r>
        <w:rPr>
          <w:rFonts w:hint="eastAsia" w:ascii="仿宋_GB2312" w:hAnsi="Times New Roman" w:cs="Times New Roman"/>
          <w:kern w:val="0"/>
          <w:sz w:val="32"/>
          <w:szCs w:val="32"/>
          <w:lang w:bidi="en-US"/>
        </w:rPr>
        <w:t>项目名称：乌鲁木齐市文化中心项目</w:t>
      </w:r>
    </w:p>
    <w:p w14:paraId="47848C97">
      <w:pPr>
        <w:spacing w:line="480" w:lineRule="auto"/>
        <w:ind w:firstLine="0" w:firstLineChars="0"/>
        <w:jc w:val="left"/>
        <w:rPr>
          <w:rFonts w:ascii="仿宋_GB2312" w:hAnsi="Times New Roman" w:cs="Times New Roman"/>
          <w:kern w:val="0"/>
          <w:sz w:val="32"/>
          <w:szCs w:val="32"/>
          <w:lang w:bidi="en-US"/>
        </w:rPr>
      </w:pPr>
      <w:r>
        <w:rPr>
          <w:rFonts w:hint="eastAsia" w:ascii="仿宋_GB2312" w:hAnsi="Times New Roman" w:cs="Times New Roman"/>
          <w:kern w:val="0"/>
          <w:sz w:val="32"/>
          <w:szCs w:val="32"/>
          <w:lang w:bidi="en-US"/>
        </w:rPr>
        <w:t>项目单位：乌鲁木齐市文化广播电视和旅游局（市文物局）主管部门：乌鲁木齐市文化广播电视和旅游局（市文物局）</w:t>
      </w:r>
    </w:p>
    <w:p w14:paraId="1C6B20E0">
      <w:pPr>
        <w:spacing w:line="480" w:lineRule="auto"/>
        <w:ind w:firstLine="1411" w:firstLineChars="441"/>
        <w:jc w:val="left"/>
        <w:rPr>
          <w:rFonts w:ascii="仿宋_GB2312" w:hAnsi="Times New Roman" w:cs="Times New Roman"/>
          <w:kern w:val="0"/>
          <w:sz w:val="32"/>
          <w:szCs w:val="32"/>
          <w:lang w:bidi="en-US"/>
        </w:rPr>
      </w:pPr>
    </w:p>
    <w:p w14:paraId="31AAA1F5">
      <w:pPr>
        <w:spacing w:line="480" w:lineRule="auto"/>
        <w:ind w:firstLine="0" w:firstLineChars="0"/>
        <w:rPr>
          <w:rFonts w:ascii="黑体" w:hAnsi="Times New Roman" w:eastAsia="黑体" w:cs="Times New Roman"/>
          <w:b/>
          <w:kern w:val="0"/>
          <w:sz w:val="32"/>
          <w:szCs w:val="32"/>
          <w:lang w:bidi="en-US"/>
        </w:rPr>
      </w:pPr>
    </w:p>
    <w:p w14:paraId="4AE89C15">
      <w:pPr>
        <w:spacing w:line="480" w:lineRule="auto"/>
        <w:ind w:firstLine="0" w:firstLineChars="0"/>
        <w:rPr>
          <w:rFonts w:ascii="黑体" w:hAnsi="Times New Roman" w:eastAsia="黑体" w:cs="Times New Roman"/>
          <w:b/>
          <w:kern w:val="0"/>
          <w:sz w:val="32"/>
          <w:szCs w:val="32"/>
          <w:lang w:bidi="en-US"/>
        </w:rPr>
      </w:pPr>
    </w:p>
    <w:p w14:paraId="3105BBF5">
      <w:pPr>
        <w:spacing w:line="480" w:lineRule="auto"/>
        <w:ind w:firstLine="0" w:firstLineChars="0"/>
        <w:jc w:val="center"/>
        <w:rPr>
          <w:rFonts w:ascii="仿宋_GB2312" w:hAnsi="Times New Roman" w:cs="Times New Roman"/>
          <w:kern w:val="0"/>
          <w:sz w:val="32"/>
          <w:szCs w:val="32"/>
          <w:lang w:bidi="en-US"/>
        </w:rPr>
      </w:pPr>
      <w:r>
        <w:rPr>
          <w:rFonts w:hint="eastAsia" w:ascii="仿宋_GB2312" w:hAnsi="Times New Roman" w:cs="Times New Roman"/>
          <w:kern w:val="0"/>
          <w:sz w:val="32"/>
          <w:szCs w:val="32"/>
          <w:lang w:bidi="en-US"/>
        </w:rPr>
        <w:t>2024年</w:t>
      </w:r>
      <w:r>
        <w:rPr>
          <w:rFonts w:hint="eastAsia" w:ascii="仿宋_GB2312" w:hAnsi="Times New Roman" w:cs="Times New Roman"/>
          <w:kern w:val="0"/>
          <w:sz w:val="32"/>
          <w:szCs w:val="32"/>
          <w:lang w:val="en-US" w:eastAsia="zh-CN" w:bidi="en-US"/>
        </w:rPr>
        <w:t>12</w:t>
      </w:r>
      <w:r>
        <w:rPr>
          <w:rFonts w:hint="eastAsia" w:ascii="仿宋_GB2312" w:hAnsi="Times New Roman" w:cs="Times New Roman"/>
          <w:kern w:val="0"/>
          <w:sz w:val="32"/>
          <w:szCs w:val="32"/>
          <w:lang w:bidi="en-US"/>
        </w:rPr>
        <w:t>月</w:t>
      </w:r>
    </w:p>
    <w:p w14:paraId="7D17DFDD">
      <w:pPr>
        <w:spacing w:line="480" w:lineRule="auto"/>
        <w:ind w:firstLine="0" w:firstLineChars="0"/>
        <w:jc w:val="center"/>
        <w:rPr>
          <w:rFonts w:ascii="仿宋_GB2312" w:hAnsi="Times New Roman" w:cs="Times New Roman"/>
          <w:kern w:val="0"/>
          <w:sz w:val="32"/>
          <w:szCs w:val="32"/>
          <w:lang w:bidi="en-US"/>
        </w:rPr>
      </w:pPr>
    </w:p>
    <w:p w14:paraId="5CE99723">
      <w:pPr>
        <w:tabs>
          <w:tab w:val="left" w:pos="3324"/>
        </w:tabs>
        <w:spacing w:line="480" w:lineRule="auto"/>
        <w:ind w:firstLine="0" w:firstLineChars="0"/>
        <w:rPr>
          <w:rFonts w:ascii="仿宋_GB2312" w:hAnsi="Times New Roman" w:cs="Times New Roman"/>
          <w:kern w:val="0"/>
          <w:sz w:val="32"/>
          <w:szCs w:val="32"/>
          <w:lang w:bidi="en-US"/>
        </w:rPr>
      </w:pPr>
      <w:r>
        <w:rPr>
          <w:rFonts w:ascii="仿宋_GB2312" w:hAnsi="Times New Roman" w:cs="Times New Roman"/>
          <w:kern w:val="0"/>
          <w:sz w:val="32"/>
          <w:szCs w:val="32"/>
          <w:lang w:bidi="en-US"/>
        </w:rPr>
        <w:tab/>
      </w:r>
    </w:p>
    <w:p w14:paraId="1B083681">
      <w:pPr>
        <w:ind w:firstLine="640"/>
        <w:rPr>
          <w:rFonts w:ascii="仿宋_GB2312" w:hAnsi="Times New Roman" w:cs="Times New Roman"/>
          <w:kern w:val="0"/>
          <w:sz w:val="32"/>
          <w:szCs w:val="32"/>
          <w:lang w:bidi="en-US"/>
        </w:rPr>
      </w:pPr>
    </w:p>
    <w:sdt>
      <w:sdtPr>
        <w:rPr>
          <w:rFonts w:ascii="Calibri" w:hAnsi="Calibri" w:eastAsia="仿宋_GB2312" w:cs="黑体"/>
          <w:color w:val="auto"/>
          <w:kern w:val="2"/>
          <w:sz w:val="28"/>
          <w:szCs w:val="22"/>
          <w:lang w:val="zh-CN"/>
        </w:rPr>
        <w:id w:val="-1822651860"/>
        <w:docPartObj>
          <w:docPartGallery w:val="Table of Contents"/>
          <w:docPartUnique/>
        </w:docPartObj>
      </w:sdtPr>
      <w:sdtEndPr>
        <w:rPr>
          <w:rFonts w:ascii="Calibri" w:hAnsi="Calibri" w:eastAsia="仿宋_GB2312" w:cs="黑体"/>
          <w:b/>
          <w:bCs/>
          <w:color w:val="auto"/>
          <w:kern w:val="2"/>
          <w:sz w:val="28"/>
          <w:szCs w:val="22"/>
          <w:lang w:val="zh-CN"/>
        </w:rPr>
      </w:sdtEndPr>
      <w:sdtContent>
        <w:p w14:paraId="4B3D4D34">
          <w:pPr>
            <w:pStyle w:val="32"/>
            <w:ind w:firstLine="560"/>
            <w:jc w:val="center"/>
          </w:pPr>
          <w:r>
            <w:rPr>
              <w:lang w:val="zh-CN"/>
            </w:rPr>
            <w:t>目录</w:t>
          </w:r>
        </w:p>
        <w:p w14:paraId="12F98348">
          <w:pPr>
            <w:pStyle w:val="11"/>
            <w:tabs>
              <w:tab w:val="right" w:leader="dot" w:pos="8296"/>
            </w:tabs>
            <w:ind w:firstLine="560"/>
            <w:rPr>
              <w:rFonts w:asciiTheme="minorHAnsi" w:hAnsiTheme="minorHAnsi" w:eastAsiaTheme="minorEastAsia" w:cstheme="minorBidi"/>
              <w:sz w:val="21"/>
            </w:rPr>
          </w:pPr>
          <w:r>
            <w:fldChar w:fldCharType="begin"/>
          </w:r>
          <w:r>
            <w:instrText xml:space="preserve">TOC \o "1-3" \h \z \u</w:instrText>
          </w:r>
          <w:r>
            <w:fldChar w:fldCharType="separate"/>
          </w:r>
          <w:r>
            <w:fldChar w:fldCharType="begin"/>
          </w:r>
          <w:r>
            <w:instrText xml:space="preserve"> HYPERLINK \l "_Toc165277220" </w:instrText>
          </w:r>
          <w:r>
            <w:fldChar w:fldCharType="separate"/>
          </w:r>
          <w:r>
            <w:rPr>
              <w:rStyle w:val="19"/>
              <w:rFonts w:hint="eastAsia" w:ascii="仿宋" w:hAnsi="仿宋" w:eastAsia="仿宋"/>
              <w:color w:val="0563C1" w:themeColor="hyperlink"/>
              <w:lang w:bidi="en-US"/>
              <w14:textFill>
                <w14:solidFill>
                  <w14:schemeClr w14:val="hlink"/>
                </w14:solidFill>
              </w14:textFill>
            </w:rPr>
            <w:t>一、基本情况</w:t>
          </w:r>
          <w:r>
            <w:tab/>
          </w:r>
          <w:r>
            <w:fldChar w:fldCharType="begin"/>
          </w:r>
          <w:r>
            <w:instrText xml:space="preserve"> PAGEREF _Toc165277220 \h </w:instrText>
          </w:r>
          <w:r>
            <w:fldChar w:fldCharType="separate"/>
          </w:r>
          <w:r>
            <w:t>1</w:t>
          </w:r>
          <w:r>
            <w:fldChar w:fldCharType="end"/>
          </w:r>
          <w:r>
            <w:fldChar w:fldCharType="end"/>
          </w:r>
        </w:p>
        <w:p w14:paraId="322778BA">
          <w:pPr>
            <w:pStyle w:val="13"/>
            <w:tabs>
              <w:tab w:val="right" w:leader="dot" w:pos="8296"/>
            </w:tabs>
            <w:ind w:left="560" w:firstLine="560"/>
            <w:rPr>
              <w:rFonts w:asciiTheme="minorHAnsi" w:hAnsiTheme="minorHAnsi" w:eastAsiaTheme="minorEastAsia" w:cstheme="minorBidi"/>
              <w:sz w:val="21"/>
            </w:rPr>
          </w:pPr>
          <w:r>
            <w:fldChar w:fldCharType="begin"/>
          </w:r>
          <w:r>
            <w:instrText xml:space="preserve"> HYPERLINK \l "_Toc165277221" </w:instrText>
          </w:r>
          <w:r>
            <w:fldChar w:fldCharType="separate"/>
          </w:r>
          <w:r>
            <w:rPr>
              <w:rStyle w:val="19"/>
              <w:rFonts w:hint="eastAsia" w:ascii="仿宋" w:hAnsi="仿宋" w:eastAsia="仿宋"/>
              <w:color w:val="0563C1" w:themeColor="hyperlink"/>
              <w:lang w:bidi="en-US"/>
              <w14:textFill>
                <w14:solidFill>
                  <w14:schemeClr w14:val="hlink"/>
                </w14:solidFill>
              </w14:textFill>
            </w:rPr>
            <w:t>（一）项目概况：</w:t>
          </w:r>
          <w:r>
            <w:tab/>
          </w:r>
          <w:r>
            <w:fldChar w:fldCharType="begin"/>
          </w:r>
          <w:r>
            <w:instrText xml:space="preserve"> PAGEREF _Toc165277221 \h </w:instrText>
          </w:r>
          <w:r>
            <w:fldChar w:fldCharType="separate"/>
          </w:r>
          <w:r>
            <w:t>1</w:t>
          </w:r>
          <w:r>
            <w:fldChar w:fldCharType="end"/>
          </w:r>
          <w:r>
            <w:fldChar w:fldCharType="end"/>
          </w:r>
        </w:p>
        <w:p w14:paraId="410AE147">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"_Toc165277222" </w:instrText>
          </w:r>
          <w:r>
            <w:fldChar w:fldCharType="separate"/>
          </w:r>
          <w:r>
            <w:rPr>
              <w:rStyle w:val="19"/>
              <w:color w:val="0563C1" w:themeColor="hyperlink"/>
              <w14:textFill>
                <w14:solidFill>
                  <w14:schemeClr w14:val="hlink"/>
                </w14:solidFill>
              </w14:textFill>
            </w:rPr>
            <w:t>1</w:t>
          </w:r>
          <w:r>
            <w:rPr>
              <w:rStyle w:val="19"/>
              <w:rFonts w:hint="eastAsia"/>
              <w:color w:val="0563C1" w:themeColor="hyperlink"/>
              <w14:textFill>
                <w14:solidFill>
                  <w14:schemeClr w14:val="hlink"/>
                </w14:solidFill>
              </w14:textFill>
            </w:rPr>
            <w:t>．项目背景、主要内容及实施情况</w:t>
          </w:r>
          <w:r>
            <w:tab/>
          </w:r>
          <w:r>
            <w:fldChar w:fldCharType="begin"/>
          </w:r>
          <w:r>
            <w:instrText xml:space="preserve"> PAGEREF _Toc165277222 \h </w:instrText>
          </w:r>
          <w:r>
            <w:fldChar w:fldCharType="separate"/>
          </w:r>
          <w:r>
            <w:t>1</w:t>
          </w:r>
          <w:r>
            <w:fldChar w:fldCharType="end"/>
          </w:r>
          <w:r>
            <w:fldChar w:fldCharType="end"/>
          </w:r>
        </w:p>
        <w:p w14:paraId="16A223DB">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"_Toc165277223" </w:instrText>
          </w:r>
          <w:r>
            <w:fldChar w:fldCharType="separate"/>
          </w:r>
          <w:r>
            <w:rPr>
              <w:rStyle w:val="19"/>
              <w:color w:val="0563C1" w:themeColor="hyperlink"/>
              <w14:textFill>
                <w14:solidFill>
                  <w14:schemeClr w14:val="hlink"/>
                </w14:solidFill>
              </w14:textFill>
            </w:rPr>
            <w:t>2.</w:t>
          </w:r>
          <w:r>
            <w:rPr>
              <w:rStyle w:val="19"/>
              <w:rFonts w:hint="eastAsia"/>
              <w:color w:val="0563C1" w:themeColor="hyperlink"/>
              <w14:textFill>
                <w14:solidFill>
                  <w14:schemeClr w14:val="hlink"/>
                </w14:solidFill>
              </w14:textFill>
            </w:rPr>
            <w:t>资金投入和使用情况</w:t>
          </w:r>
          <w:r>
            <w:tab/>
          </w:r>
          <w:r>
            <w:fldChar w:fldCharType="begin"/>
          </w:r>
          <w:r>
            <w:instrText xml:space="preserve"> PAGEREF _Toc165277223 \h </w:instrText>
          </w:r>
          <w:r>
            <w:fldChar w:fldCharType="separate"/>
          </w:r>
          <w:r>
            <w:t>3</w:t>
          </w:r>
          <w:r>
            <w:fldChar w:fldCharType="end"/>
          </w:r>
          <w:r>
            <w:fldChar w:fldCharType="end"/>
          </w:r>
        </w:p>
        <w:p w14:paraId="4EF0438A">
          <w:pPr>
            <w:pStyle w:val="13"/>
            <w:tabs>
              <w:tab w:val="right" w:leader="dot" w:pos="8296"/>
            </w:tabs>
            <w:ind w:left="560" w:firstLine="560"/>
            <w:rPr>
              <w:rFonts w:asciiTheme="minorHAnsi" w:hAnsiTheme="minorHAnsi" w:eastAsiaTheme="minorEastAsia" w:cstheme="minorBidi"/>
              <w:sz w:val="21"/>
            </w:rPr>
          </w:pPr>
          <w:r>
            <w:fldChar w:fldCharType="begin"/>
          </w:r>
          <w:r>
            <w:instrText xml:space="preserve"> HYPERLINK \l "_Toc165277224" </w:instrText>
          </w:r>
          <w:r>
            <w:fldChar w:fldCharType="separate"/>
          </w:r>
          <w:r>
            <w:rPr>
              <w:rStyle w:val="19"/>
              <w:rFonts w:hint="eastAsia" w:ascii="仿宋" w:hAnsi="仿宋" w:eastAsia="仿宋"/>
              <w:color w:val="0563C1" w:themeColor="hyperlink"/>
              <w:lang w:bidi="en-US"/>
              <w14:textFill>
                <w14:solidFill>
                  <w14:schemeClr w14:val="hlink"/>
                </w14:solidFill>
              </w14:textFill>
            </w:rPr>
            <w:t>（二）项目绩效目标：</w:t>
          </w:r>
          <w:r>
            <w:tab/>
          </w:r>
          <w:r>
            <w:fldChar w:fldCharType="begin"/>
          </w:r>
          <w:r>
            <w:instrText xml:space="preserve"> PAGEREF _Toc165277224 \h </w:instrText>
          </w:r>
          <w:r>
            <w:fldChar w:fldCharType="separate"/>
          </w:r>
          <w:r>
            <w:t>3</w:t>
          </w:r>
          <w:r>
            <w:fldChar w:fldCharType="end"/>
          </w:r>
          <w:r>
            <w:fldChar w:fldCharType="end"/>
          </w:r>
        </w:p>
        <w:p w14:paraId="2E6E999A">
          <w:pPr>
            <w:pStyle w:val="11"/>
            <w:tabs>
              <w:tab w:val="right" w:leader="dot" w:pos="8296"/>
            </w:tabs>
            <w:ind w:firstLine="560"/>
            <w:rPr>
              <w:rFonts w:asciiTheme="minorHAnsi" w:hAnsiTheme="minorHAnsi" w:eastAsiaTheme="minorEastAsia" w:cstheme="minorBidi"/>
              <w:sz w:val="21"/>
            </w:rPr>
          </w:pPr>
          <w:r>
            <w:fldChar w:fldCharType="begin"/>
          </w:r>
          <w:r>
            <w:instrText xml:space="preserve"> HYPERLINK \l "_Toc165277225" </w:instrText>
          </w:r>
          <w:r>
            <w:fldChar w:fldCharType="separate"/>
          </w:r>
          <w:r>
            <w:rPr>
              <w:rStyle w:val="19"/>
              <w:rFonts w:hint="eastAsia" w:ascii="仿宋" w:hAnsi="仿宋" w:eastAsia="仿宋"/>
              <w:color w:val="0563C1" w:themeColor="hyperlink"/>
              <w:lang w:bidi="en-US"/>
              <w14:textFill>
                <w14:solidFill>
                  <w14:schemeClr w14:val="hlink"/>
                </w14:solidFill>
              </w14:textFill>
            </w:rPr>
            <w:t>二、绩效评价工作开展情况</w:t>
          </w:r>
          <w:r>
            <w:tab/>
          </w:r>
          <w:r>
            <w:fldChar w:fldCharType="begin"/>
          </w:r>
          <w:r>
            <w:instrText xml:space="preserve"> PAGEREF _Toc165277225 \h </w:instrText>
          </w:r>
          <w:r>
            <w:fldChar w:fldCharType="separate"/>
          </w:r>
          <w:r>
            <w:t>5</w:t>
          </w:r>
          <w:r>
            <w:fldChar w:fldCharType="end"/>
          </w:r>
          <w:r>
            <w:fldChar w:fldCharType="end"/>
          </w:r>
        </w:p>
        <w:p w14:paraId="2545CD81">
          <w:pPr>
            <w:pStyle w:val="13"/>
            <w:tabs>
              <w:tab w:val="right" w:leader="dot" w:pos="8296"/>
            </w:tabs>
            <w:ind w:left="560" w:firstLine="560"/>
            <w:rPr>
              <w:rFonts w:asciiTheme="minorHAnsi" w:hAnsiTheme="minorHAnsi" w:eastAsiaTheme="minorEastAsia" w:cstheme="minorBidi"/>
              <w:sz w:val="21"/>
            </w:rPr>
          </w:pPr>
          <w:r>
            <w:fldChar w:fldCharType="begin"/>
          </w:r>
          <w:r>
            <w:instrText xml:space="preserve"> HYPERLINK \l "_Toc165277226" </w:instrText>
          </w:r>
          <w:r>
            <w:fldChar w:fldCharType="separate"/>
          </w:r>
          <w:r>
            <w:rPr>
              <w:rStyle w:val="19"/>
              <w:rFonts w:hint="eastAsia" w:ascii="仿宋" w:hAnsi="仿宋" w:eastAsia="仿宋"/>
              <w:color w:val="0563C1" w:themeColor="hyperlink"/>
              <w:lang w:bidi="en-US"/>
              <w14:textFill>
                <w14:solidFill>
                  <w14:schemeClr w14:val="hlink"/>
                </w14:solidFill>
              </w14:textFill>
            </w:rPr>
            <w:t>（一）绩效评价目的、对象和范围</w:t>
          </w:r>
          <w:r>
            <w:tab/>
          </w:r>
          <w:r>
            <w:fldChar w:fldCharType="begin"/>
          </w:r>
          <w:r>
            <w:instrText xml:space="preserve"> PAGEREF _Toc165277226 \h </w:instrText>
          </w:r>
          <w:r>
            <w:fldChar w:fldCharType="separate"/>
          </w:r>
          <w:r>
            <w:t>5</w:t>
          </w:r>
          <w:r>
            <w:fldChar w:fldCharType="end"/>
          </w:r>
          <w:r>
            <w:fldChar w:fldCharType="end"/>
          </w:r>
        </w:p>
        <w:p w14:paraId="6944794A">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"_Toc165277227" </w:instrText>
          </w:r>
          <w:r>
            <w:fldChar w:fldCharType="separate"/>
          </w:r>
          <w:r>
            <w:rPr>
              <w:rStyle w:val="19"/>
              <w:color w:val="0563C1" w:themeColor="hyperlink"/>
              <w14:textFill>
                <w14:solidFill>
                  <w14:schemeClr w14:val="hlink"/>
                </w14:solidFill>
              </w14:textFill>
            </w:rPr>
            <w:t>1.</w:t>
          </w:r>
          <w:r>
            <w:rPr>
              <w:rStyle w:val="19"/>
              <w:rFonts w:hint="eastAsia"/>
              <w:color w:val="0563C1" w:themeColor="hyperlink"/>
              <w14:textFill>
                <w14:solidFill>
                  <w14:schemeClr w14:val="hlink"/>
                </w14:solidFill>
              </w14:textFill>
            </w:rPr>
            <w:t>绩效评价完整性</w:t>
          </w:r>
          <w:r>
            <w:tab/>
          </w:r>
          <w:r>
            <w:fldChar w:fldCharType="begin"/>
          </w:r>
          <w:r>
            <w:instrText xml:space="preserve"> PAGEREF _Toc165277227 \h </w:instrText>
          </w:r>
          <w:r>
            <w:fldChar w:fldCharType="separate"/>
          </w:r>
          <w:r>
            <w:t>5</w:t>
          </w:r>
          <w:r>
            <w:fldChar w:fldCharType="end"/>
          </w:r>
          <w:r>
            <w:fldChar w:fldCharType="end"/>
          </w:r>
        </w:p>
        <w:p w14:paraId="4BAE9742">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"_Toc165277228" </w:instrText>
          </w:r>
          <w:r>
            <w:fldChar w:fldCharType="separate"/>
          </w:r>
          <w:r>
            <w:rPr>
              <w:rStyle w:val="19"/>
              <w:color w:val="0563C1" w:themeColor="hyperlink"/>
              <w14:textFill>
                <w14:solidFill>
                  <w14:schemeClr w14:val="hlink"/>
                </w14:solidFill>
              </w14:textFill>
            </w:rPr>
            <w:t>2.</w:t>
          </w:r>
          <w:r>
            <w:rPr>
              <w:rStyle w:val="19"/>
              <w:rFonts w:hint="eastAsia"/>
              <w:color w:val="0563C1" w:themeColor="hyperlink"/>
              <w14:textFill>
                <w14:solidFill>
                  <w14:schemeClr w14:val="hlink"/>
                </w14:solidFill>
              </w14:textFill>
            </w:rPr>
            <w:t>评价目的</w:t>
          </w:r>
          <w:r>
            <w:tab/>
          </w:r>
          <w:r>
            <w:fldChar w:fldCharType="begin"/>
          </w:r>
          <w:r>
            <w:instrText xml:space="preserve"> PAGEREF _Toc165277228 \h </w:instrText>
          </w:r>
          <w:r>
            <w:fldChar w:fldCharType="separate"/>
          </w:r>
          <w:r>
            <w:t>5</w:t>
          </w:r>
          <w:r>
            <w:fldChar w:fldCharType="end"/>
          </w:r>
          <w:r>
            <w:fldChar w:fldCharType="end"/>
          </w:r>
        </w:p>
        <w:p w14:paraId="57485D2D">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"_Toc165277229" </w:instrText>
          </w:r>
          <w:r>
            <w:fldChar w:fldCharType="separate"/>
          </w:r>
          <w:r>
            <w:rPr>
              <w:rStyle w:val="19"/>
              <w:color w:val="0563C1" w:themeColor="hyperlink"/>
              <w14:textFill>
                <w14:solidFill>
                  <w14:schemeClr w14:val="hlink"/>
                </w14:solidFill>
              </w14:textFill>
            </w:rPr>
            <w:t>3.</w:t>
          </w:r>
          <w:r>
            <w:rPr>
              <w:rStyle w:val="19"/>
              <w:rFonts w:hint="eastAsia"/>
              <w:color w:val="0563C1" w:themeColor="hyperlink"/>
              <w14:textFill>
                <w14:solidFill>
                  <w14:schemeClr w14:val="hlink"/>
                </w14:solidFill>
              </w14:textFill>
            </w:rPr>
            <w:t>评价对象</w:t>
          </w:r>
          <w:r>
            <w:tab/>
          </w:r>
          <w:r>
            <w:fldChar w:fldCharType="begin"/>
          </w:r>
          <w:r>
            <w:instrText xml:space="preserve"> PAGEREF _Toc165277229 \h </w:instrText>
          </w:r>
          <w:r>
            <w:fldChar w:fldCharType="separate"/>
          </w:r>
          <w:r>
            <w:t>6</w:t>
          </w:r>
          <w:r>
            <w:fldChar w:fldCharType="end"/>
          </w:r>
          <w:r>
            <w:fldChar w:fldCharType="end"/>
          </w:r>
        </w:p>
        <w:p w14:paraId="1847B4B3">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"_Toc165277230" </w:instrText>
          </w:r>
          <w:r>
            <w:fldChar w:fldCharType="separate"/>
          </w:r>
          <w:r>
            <w:rPr>
              <w:rStyle w:val="19"/>
              <w:color w:val="0563C1" w:themeColor="hyperlink"/>
              <w14:textFill>
                <w14:solidFill>
                  <w14:schemeClr w14:val="hlink"/>
                </w14:solidFill>
              </w14:textFill>
            </w:rPr>
            <w:t>4.</w:t>
          </w:r>
          <w:r>
            <w:rPr>
              <w:rStyle w:val="19"/>
              <w:rFonts w:hint="eastAsia"/>
              <w:color w:val="0563C1" w:themeColor="hyperlink"/>
              <w14:textFill>
                <w14:solidFill>
                  <w14:schemeClr w14:val="hlink"/>
                </w14:solidFill>
              </w14:textFill>
            </w:rPr>
            <w:t>绩效评价范围</w:t>
          </w:r>
          <w:r>
            <w:tab/>
          </w:r>
          <w:r>
            <w:fldChar w:fldCharType="begin"/>
          </w:r>
          <w:r>
            <w:instrText xml:space="preserve"> PAGEREF _Toc165277230 \h </w:instrText>
          </w:r>
          <w:r>
            <w:fldChar w:fldCharType="separate"/>
          </w:r>
          <w:r>
            <w:t>6</w:t>
          </w:r>
          <w:r>
            <w:fldChar w:fldCharType="end"/>
          </w:r>
          <w:r>
            <w:fldChar w:fldCharType="end"/>
          </w:r>
        </w:p>
        <w:p w14:paraId="55833735">
          <w:pPr>
            <w:pStyle w:val="13"/>
            <w:tabs>
              <w:tab w:val="right" w:leader="dot" w:pos="8296"/>
            </w:tabs>
            <w:ind w:left="560" w:firstLine="560"/>
            <w:rPr>
              <w:rFonts w:asciiTheme="minorHAnsi" w:hAnsiTheme="minorHAnsi" w:eastAsiaTheme="minorEastAsia" w:cstheme="minorBidi"/>
              <w:sz w:val="21"/>
            </w:rPr>
          </w:pPr>
          <w:r>
            <w:fldChar w:fldCharType="begin"/>
          </w:r>
          <w:r>
            <w:instrText xml:space="preserve"> HYPERLINK \l "_Toc165277231" </w:instrText>
          </w:r>
          <w:r>
            <w:fldChar w:fldCharType="separate"/>
          </w:r>
          <w:r>
            <w:rPr>
              <w:rStyle w:val="19"/>
              <w:rFonts w:hint="eastAsia" w:ascii="仿宋" w:hAnsi="仿宋" w:eastAsia="仿宋"/>
              <w:color w:val="0563C1" w:themeColor="hyperlink"/>
              <w:lang w:bidi="en-US"/>
              <w14:textFill>
                <w14:solidFill>
                  <w14:schemeClr w14:val="hlink"/>
                </w14:solidFill>
              </w14:textFill>
            </w:rPr>
            <w:t>（二）绩效评价原则、指标体系、方法及标准</w:t>
          </w:r>
          <w:r>
            <w:tab/>
          </w:r>
          <w:r>
            <w:fldChar w:fldCharType="begin"/>
          </w:r>
          <w:r>
            <w:instrText xml:space="preserve"> PAGEREF _Toc165277231 \h </w:instrText>
          </w:r>
          <w:r>
            <w:fldChar w:fldCharType="separate"/>
          </w:r>
          <w:r>
            <w:t>10</w:t>
          </w:r>
          <w:r>
            <w:fldChar w:fldCharType="end"/>
          </w:r>
          <w:r>
            <w:fldChar w:fldCharType="end"/>
          </w:r>
        </w:p>
        <w:p w14:paraId="22AE99C0">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"_Toc165277232" </w:instrText>
          </w:r>
          <w:r>
            <w:fldChar w:fldCharType="separate"/>
          </w:r>
          <w:r>
            <w:rPr>
              <w:rStyle w:val="19"/>
              <w:color w:val="0563C1" w:themeColor="hyperlink"/>
              <w14:textFill>
                <w14:solidFill>
                  <w14:schemeClr w14:val="hlink"/>
                </w14:solidFill>
              </w14:textFill>
            </w:rPr>
            <w:t>1.</w:t>
          </w:r>
          <w:r>
            <w:rPr>
              <w:rStyle w:val="19"/>
              <w:rFonts w:hint="eastAsia"/>
              <w:color w:val="0563C1" w:themeColor="hyperlink"/>
              <w14:textFill>
                <w14:solidFill>
                  <w14:schemeClr w14:val="hlink"/>
                </w14:solidFill>
              </w14:textFill>
            </w:rPr>
            <w:t>评价原则</w:t>
          </w:r>
          <w:r>
            <w:tab/>
          </w:r>
          <w:r>
            <w:fldChar w:fldCharType="begin"/>
          </w:r>
          <w:r>
            <w:instrText xml:space="preserve"> PAGEREF _Toc165277232 \h </w:instrText>
          </w:r>
          <w:r>
            <w:fldChar w:fldCharType="separate"/>
          </w:r>
          <w:r>
            <w:t>10</w:t>
          </w:r>
          <w:r>
            <w:fldChar w:fldCharType="end"/>
          </w:r>
          <w:r>
            <w:fldChar w:fldCharType="end"/>
          </w:r>
        </w:p>
        <w:p w14:paraId="79BCDC60">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"_Toc165277233" </w:instrText>
          </w:r>
          <w:r>
            <w:fldChar w:fldCharType="separate"/>
          </w:r>
          <w:r>
            <w:rPr>
              <w:rStyle w:val="19"/>
              <w:color w:val="0563C1" w:themeColor="hyperlink"/>
              <w14:textFill>
                <w14:solidFill>
                  <w14:schemeClr w14:val="hlink"/>
                </w14:solidFill>
              </w14:textFill>
            </w:rPr>
            <w:t>2.</w:t>
          </w:r>
          <w:r>
            <w:rPr>
              <w:rStyle w:val="19"/>
              <w:rFonts w:hint="eastAsia"/>
              <w:color w:val="0563C1" w:themeColor="hyperlink"/>
              <w14:textFill>
                <w14:solidFill>
                  <w14:schemeClr w14:val="hlink"/>
                </w14:solidFill>
              </w14:textFill>
            </w:rPr>
            <w:t>评价指标体系</w:t>
          </w:r>
          <w:r>
            <w:tab/>
          </w:r>
          <w:r>
            <w:fldChar w:fldCharType="begin"/>
          </w:r>
          <w:r>
            <w:instrText xml:space="preserve"> PAGEREF _Toc165277233 \h </w:instrText>
          </w:r>
          <w:r>
            <w:fldChar w:fldCharType="separate"/>
          </w:r>
          <w:r>
            <w:t>11</w:t>
          </w:r>
          <w:r>
            <w:fldChar w:fldCharType="end"/>
          </w:r>
          <w:r>
            <w:fldChar w:fldCharType="end"/>
          </w:r>
        </w:p>
        <w:p w14:paraId="2FC9DDD9">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"_Toc165277234" </w:instrText>
          </w:r>
          <w:r>
            <w:fldChar w:fldCharType="separate"/>
          </w:r>
          <w:r>
            <w:rPr>
              <w:rStyle w:val="19"/>
              <w:color w:val="0563C1" w:themeColor="hyperlink"/>
              <w14:textFill>
                <w14:solidFill>
                  <w14:schemeClr w14:val="hlink"/>
                </w14:solidFill>
              </w14:textFill>
            </w:rPr>
            <w:t>3.</w:t>
          </w:r>
          <w:r>
            <w:rPr>
              <w:rStyle w:val="19"/>
              <w:rFonts w:hint="eastAsia"/>
              <w:color w:val="0563C1" w:themeColor="hyperlink"/>
              <w14:textFill>
                <w14:solidFill>
                  <w14:schemeClr w14:val="hlink"/>
                </w14:solidFill>
              </w14:textFill>
            </w:rPr>
            <w:t>评价方法</w:t>
          </w:r>
          <w:r>
            <w:tab/>
          </w:r>
          <w:r>
            <w:fldChar w:fldCharType="begin"/>
          </w:r>
          <w:r>
            <w:instrText xml:space="preserve"> PAGEREF _Toc165277234 \h </w:instrText>
          </w:r>
          <w:r>
            <w:fldChar w:fldCharType="separate"/>
          </w:r>
          <w:r>
            <w:t>17</w:t>
          </w:r>
          <w:r>
            <w:fldChar w:fldCharType="end"/>
          </w:r>
          <w:r>
            <w:fldChar w:fldCharType="end"/>
          </w:r>
        </w:p>
        <w:p w14:paraId="6B77BEEA">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"_Toc165277235" </w:instrText>
          </w:r>
          <w:r>
            <w:fldChar w:fldCharType="separate"/>
          </w:r>
          <w:r>
            <w:rPr>
              <w:rStyle w:val="19"/>
              <w:color w:val="0563C1" w:themeColor="hyperlink"/>
              <w14:textFill>
                <w14:solidFill>
                  <w14:schemeClr w14:val="hlink"/>
                </w14:solidFill>
              </w14:textFill>
            </w:rPr>
            <w:t>4.</w:t>
          </w:r>
          <w:r>
            <w:rPr>
              <w:rStyle w:val="19"/>
              <w:rFonts w:hint="eastAsia"/>
              <w:color w:val="0563C1" w:themeColor="hyperlink"/>
              <w14:textFill>
                <w14:solidFill>
                  <w14:schemeClr w14:val="hlink"/>
                </w14:solidFill>
              </w14:textFill>
            </w:rPr>
            <w:t>评价标准</w:t>
          </w:r>
          <w:r>
            <w:tab/>
          </w:r>
          <w:r>
            <w:fldChar w:fldCharType="begin"/>
          </w:r>
          <w:r>
            <w:instrText xml:space="preserve"> PAGEREF _Toc165277235 \h </w:instrText>
          </w:r>
          <w:r>
            <w:fldChar w:fldCharType="separate"/>
          </w:r>
          <w:r>
            <w:t>18</w:t>
          </w:r>
          <w:r>
            <w:fldChar w:fldCharType="end"/>
          </w:r>
          <w:r>
            <w:fldChar w:fldCharType="end"/>
          </w:r>
        </w:p>
        <w:p w14:paraId="01F536DA">
          <w:pPr>
            <w:pStyle w:val="13"/>
            <w:tabs>
              <w:tab w:val="right" w:leader="dot" w:pos="8296"/>
            </w:tabs>
            <w:ind w:left="560" w:firstLine="560"/>
            <w:rPr>
              <w:rFonts w:asciiTheme="minorHAnsi" w:hAnsiTheme="minorHAnsi" w:eastAsiaTheme="minorEastAsia" w:cstheme="minorBidi"/>
              <w:sz w:val="21"/>
            </w:rPr>
          </w:pPr>
          <w:r>
            <w:fldChar w:fldCharType="begin"/>
          </w:r>
          <w:r>
            <w:instrText xml:space="preserve"> HYPERLINK \l "_Toc165277236" </w:instrText>
          </w:r>
          <w:r>
            <w:fldChar w:fldCharType="separate"/>
          </w:r>
          <w:r>
            <w:rPr>
              <w:rStyle w:val="19"/>
              <w:rFonts w:hint="eastAsia" w:ascii="仿宋" w:hAnsi="仿宋" w:eastAsia="仿宋"/>
              <w:color w:val="0563C1" w:themeColor="hyperlink"/>
              <w:lang w:bidi="en-US"/>
              <w14:textFill>
                <w14:solidFill>
                  <w14:schemeClr w14:val="hlink"/>
                </w14:solidFill>
              </w14:textFill>
            </w:rPr>
            <w:t>（三）绩效评价工作过程</w:t>
          </w:r>
          <w:r>
            <w:tab/>
          </w:r>
          <w:r>
            <w:fldChar w:fldCharType="begin"/>
          </w:r>
          <w:r>
            <w:instrText xml:space="preserve"> PAGEREF _Toc165277236 \h </w:instrText>
          </w:r>
          <w:r>
            <w:fldChar w:fldCharType="separate"/>
          </w:r>
          <w:r>
            <w:t>19</w:t>
          </w:r>
          <w:r>
            <w:fldChar w:fldCharType="end"/>
          </w:r>
          <w:r>
            <w:fldChar w:fldCharType="end"/>
          </w:r>
        </w:p>
        <w:p w14:paraId="5F6F22DD">
          <w:pPr>
            <w:pStyle w:val="11"/>
            <w:tabs>
              <w:tab w:val="right" w:leader="dot" w:pos="8296"/>
            </w:tabs>
            <w:ind w:firstLine="560"/>
            <w:rPr>
              <w:rFonts w:asciiTheme="minorHAnsi" w:hAnsiTheme="minorHAnsi" w:eastAsiaTheme="minorEastAsia" w:cstheme="minorBidi"/>
              <w:sz w:val="21"/>
            </w:rPr>
          </w:pPr>
          <w:r>
            <w:fldChar w:fldCharType="begin"/>
          </w:r>
          <w:r>
            <w:instrText xml:space="preserve"> HYPERLINK \l "_Toc165277237" </w:instrText>
          </w:r>
          <w:r>
            <w:fldChar w:fldCharType="separate"/>
          </w:r>
          <w:r>
            <w:rPr>
              <w:rStyle w:val="19"/>
              <w:rFonts w:hint="eastAsia" w:ascii="仿宋" w:hAnsi="仿宋" w:eastAsia="仿宋"/>
              <w:color w:val="0563C1" w:themeColor="hyperlink"/>
              <w:lang w:bidi="en-US"/>
              <w14:textFill>
                <w14:solidFill>
                  <w14:schemeClr w14:val="hlink"/>
                </w14:solidFill>
              </w14:textFill>
            </w:rPr>
            <w:t>三、综合评价情况及评价结论</w:t>
          </w:r>
          <w:r>
            <w:tab/>
          </w:r>
          <w:r>
            <w:fldChar w:fldCharType="begin"/>
          </w:r>
          <w:r>
            <w:instrText xml:space="preserve"> PAGEREF _Toc165277237 \h </w:instrText>
          </w:r>
          <w:r>
            <w:fldChar w:fldCharType="separate"/>
          </w:r>
          <w:r>
            <w:t>19</w:t>
          </w:r>
          <w:r>
            <w:fldChar w:fldCharType="end"/>
          </w:r>
          <w:r>
            <w:fldChar w:fldCharType="end"/>
          </w:r>
        </w:p>
        <w:p w14:paraId="7CB0AE8F">
          <w:pPr>
            <w:pStyle w:val="13"/>
            <w:tabs>
              <w:tab w:val="right" w:leader="dot" w:pos="8296"/>
            </w:tabs>
            <w:ind w:left="560" w:firstLine="560"/>
            <w:rPr>
              <w:rFonts w:asciiTheme="minorHAnsi" w:hAnsiTheme="minorHAnsi" w:eastAsiaTheme="minorEastAsia" w:cstheme="minorBidi"/>
              <w:sz w:val="21"/>
            </w:rPr>
          </w:pPr>
          <w:r>
            <w:fldChar w:fldCharType="begin"/>
          </w:r>
          <w:r>
            <w:instrText xml:space="preserve"> HYPERLINK \l "_Toc165277238" </w:instrText>
          </w:r>
          <w:r>
            <w:fldChar w:fldCharType="separate"/>
          </w:r>
          <w:r>
            <w:rPr>
              <w:rStyle w:val="19"/>
              <w:rFonts w:hint="eastAsia" w:ascii="仿宋" w:hAnsi="仿宋" w:eastAsia="仿宋"/>
              <w:color w:val="0563C1" w:themeColor="hyperlink"/>
              <w:lang w:bidi="en-US"/>
              <w14:textFill>
                <w14:solidFill>
                  <w14:schemeClr w14:val="hlink"/>
                </w14:solidFill>
              </w14:textFill>
            </w:rPr>
            <w:t>（一）评价结论</w:t>
          </w:r>
          <w:r>
            <w:tab/>
          </w:r>
          <w:r>
            <w:fldChar w:fldCharType="begin"/>
          </w:r>
          <w:r>
            <w:instrText xml:space="preserve"> PAGEREF _Toc165277238 \h </w:instrText>
          </w:r>
          <w:r>
            <w:fldChar w:fldCharType="separate"/>
          </w:r>
          <w:r>
            <w:t>19</w:t>
          </w:r>
          <w:r>
            <w:fldChar w:fldCharType="end"/>
          </w:r>
          <w:r>
            <w:fldChar w:fldCharType="end"/>
          </w:r>
        </w:p>
        <w:p w14:paraId="51EA93EE">
          <w:pPr>
            <w:pStyle w:val="13"/>
            <w:tabs>
              <w:tab w:val="right" w:leader="dot" w:pos="8296"/>
            </w:tabs>
            <w:ind w:left="560" w:firstLine="560"/>
            <w:rPr>
              <w:rFonts w:asciiTheme="minorHAnsi" w:hAnsiTheme="minorHAnsi" w:eastAsiaTheme="minorEastAsia" w:cstheme="minorBidi"/>
              <w:sz w:val="21"/>
            </w:rPr>
          </w:pPr>
          <w:r>
            <w:fldChar w:fldCharType="begin"/>
          </w:r>
          <w:r>
            <w:instrText xml:space="preserve"> HYPERLINK \l "_Toc165277239" </w:instrText>
          </w:r>
          <w:r>
            <w:fldChar w:fldCharType="separate"/>
          </w:r>
          <w:r>
            <w:rPr>
              <w:rStyle w:val="19"/>
              <w:rFonts w:hint="eastAsia" w:ascii="仿宋" w:hAnsi="仿宋" w:eastAsia="仿宋"/>
              <w:color w:val="0563C1" w:themeColor="hyperlink"/>
              <w:lang w:bidi="en-US"/>
              <w14:textFill>
                <w14:solidFill>
                  <w14:schemeClr w14:val="hlink"/>
                </w14:solidFill>
              </w14:textFill>
            </w:rPr>
            <w:t>（二）主要绩效</w:t>
          </w:r>
          <w:r>
            <w:tab/>
          </w:r>
          <w:r>
            <w:fldChar w:fldCharType="begin"/>
          </w:r>
          <w:r>
            <w:instrText xml:space="preserve"> PAGEREF _Toc165277239 \h </w:instrText>
          </w:r>
          <w:r>
            <w:fldChar w:fldCharType="separate"/>
          </w:r>
          <w:r>
            <w:t>20</w:t>
          </w:r>
          <w:r>
            <w:fldChar w:fldCharType="end"/>
          </w:r>
          <w:r>
            <w:fldChar w:fldCharType="end"/>
          </w:r>
        </w:p>
        <w:p w14:paraId="46AA4115">
          <w:pPr>
            <w:pStyle w:val="11"/>
            <w:tabs>
              <w:tab w:val="right" w:leader="dot" w:pos="8296"/>
            </w:tabs>
            <w:ind w:firstLine="560"/>
            <w:rPr>
              <w:rFonts w:asciiTheme="minorHAnsi" w:hAnsiTheme="minorHAnsi" w:eastAsiaTheme="minorEastAsia" w:cstheme="minorBidi"/>
              <w:sz w:val="21"/>
            </w:rPr>
          </w:pPr>
          <w:r>
            <w:fldChar w:fldCharType="begin"/>
          </w:r>
          <w:r>
            <w:instrText xml:space="preserve"> HYPERLINK \l "_Toc165277240" </w:instrText>
          </w:r>
          <w:r>
            <w:fldChar w:fldCharType="separate"/>
          </w:r>
          <w:r>
            <w:rPr>
              <w:rStyle w:val="19"/>
              <w:rFonts w:hint="eastAsia" w:ascii="仿宋" w:hAnsi="仿宋" w:eastAsia="仿宋"/>
              <w:color w:val="0563C1" w:themeColor="hyperlink"/>
              <w:lang w:bidi="en-US"/>
              <w14:textFill>
                <w14:solidFill>
                  <w14:schemeClr w14:val="hlink"/>
                </w14:solidFill>
              </w14:textFill>
            </w:rPr>
            <w:t>四、绩效评价指标分析</w:t>
          </w:r>
          <w:r>
            <w:tab/>
          </w:r>
          <w:r>
            <w:fldChar w:fldCharType="begin"/>
          </w:r>
          <w:r>
            <w:instrText xml:space="preserve"> PAGEREF _Toc165277240 \h </w:instrText>
          </w:r>
          <w:r>
            <w:fldChar w:fldCharType="separate"/>
          </w:r>
          <w:r>
            <w:t>21</w:t>
          </w:r>
          <w:r>
            <w:fldChar w:fldCharType="end"/>
          </w:r>
          <w:r>
            <w:fldChar w:fldCharType="end"/>
          </w:r>
        </w:p>
        <w:p w14:paraId="64C887A4">
          <w:pPr>
            <w:pStyle w:val="13"/>
            <w:tabs>
              <w:tab w:val="right" w:leader="dot" w:pos="8296"/>
            </w:tabs>
            <w:ind w:left="560" w:firstLine="560"/>
            <w:rPr>
              <w:rFonts w:asciiTheme="minorHAnsi" w:hAnsiTheme="minorHAnsi" w:eastAsiaTheme="minorEastAsia" w:cstheme="minorBidi"/>
              <w:sz w:val="21"/>
            </w:rPr>
          </w:pPr>
          <w:r>
            <w:fldChar w:fldCharType="begin"/>
          </w:r>
          <w:r>
            <w:instrText xml:space="preserve"> HYPERLINK \l "_Toc165277241" </w:instrText>
          </w:r>
          <w:r>
            <w:fldChar w:fldCharType="separate"/>
          </w:r>
          <w:r>
            <w:rPr>
              <w:rStyle w:val="19"/>
              <w:rFonts w:hint="eastAsia" w:ascii="仿宋" w:hAnsi="仿宋" w:eastAsia="仿宋"/>
              <w:color w:val="0563C1" w:themeColor="hyperlink"/>
              <w:lang w:bidi="en-US"/>
              <w14:textFill>
                <w14:solidFill>
                  <w14:schemeClr w14:val="hlink"/>
                </w14:solidFill>
              </w14:textFill>
            </w:rPr>
            <w:t>（一）项目决策情况</w:t>
          </w:r>
          <w:r>
            <w:tab/>
          </w:r>
          <w:r>
            <w:fldChar w:fldCharType="begin"/>
          </w:r>
          <w:r>
            <w:instrText xml:space="preserve"> PAGEREF _Toc165277241 \h </w:instrText>
          </w:r>
          <w:r>
            <w:fldChar w:fldCharType="separate"/>
          </w:r>
          <w:r>
            <w:t>21</w:t>
          </w:r>
          <w:r>
            <w:fldChar w:fldCharType="end"/>
          </w:r>
          <w:r>
            <w:fldChar w:fldCharType="end"/>
          </w:r>
        </w:p>
        <w:p w14:paraId="7B236797">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"_Toc165277242" </w:instrText>
          </w:r>
          <w:r>
            <w:fldChar w:fldCharType="separate"/>
          </w:r>
          <w:r>
            <w:rPr>
              <w:rStyle w:val="19"/>
              <w:color w:val="0563C1" w:themeColor="hyperlink"/>
              <w14:textFill>
                <w14:solidFill>
                  <w14:schemeClr w14:val="hlink"/>
                </w14:solidFill>
              </w14:textFill>
            </w:rPr>
            <w:t>1.</w:t>
          </w:r>
          <w:r>
            <w:rPr>
              <w:rStyle w:val="19"/>
              <w:rFonts w:hint="eastAsia"/>
              <w:color w:val="0563C1" w:themeColor="hyperlink"/>
              <w14:textFill>
                <w14:solidFill>
                  <w14:schemeClr w14:val="hlink"/>
                </w14:solidFill>
              </w14:textFill>
            </w:rPr>
            <w:t>项目立项</w:t>
          </w:r>
          <w:r>
            <w:tab/>
          </w:r>
          <w:r>
            <w:fldChar w:fldCharType="begin"/>
          </w:r>
          <w:r>
            <w:instrText xml:space="preserve"> PAGEREF _Toc165277242 \h </w:instrText>
          </w:r>
          <w:r>
            <w:fldChar w:fldCharType="separate"/>
          </w:r>
          <w:r>
            <w:t>21</w:t>
          </w:r>
          <w:r>
            <w:fldChar w:fldCharType="end"/>
          </w:r>
          <w:r>
            <w:fldChar w:fldCharType="end"/>
          </w:r>
        </w:p>
        <w:p w14:paraId="5CC109CE">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"_Toc165277243" </w:instrText>
          </w:r>
          <w:r>
            <w:fldChar w:fldCharType="separate"/>
          </w:r>
          <w:r>
            <w:rPr>
              <w:rStyle w:val="19"/>
              <w:color w:val="0563C1" w:themeColor="hyperlink"/>
              <w14:textFill>
                <w14:solidFill>
                  <w14:schemeClr w14:val="hlink"/>
                </w14:solidFill>
              </w14:textFill>
            </w:rPr>
            <w:t>2.</w:t>
          </w:r>
          <w:r>
            <w:rPr>
              <w:rStyle w:val="19"/>
              <w:rFonts w:hint="eastAsia"/>
              <w:color w:val="0563C1" w:themeColor="hyperlink"/>
              <w14:textFill>
                <w14:solidFill>
                  <w14:schemeClr w14:val="hlink"/>
                </w14:solidFill>
              </w14:textFill>
            </w:rPr>
            <w:t>绩效目标</w:t>
          </w:r>
          <w:r>
            <w:tab/>
          </w:r>
          <w:r>
            <w:fldChar w:fldCharType="begin"/>
          </w:r>
          <w:r>
            <w:instrText xml:space="preserve"> PAGEREF _Toc165277243 \h </w:instrText>
          </w:r>
          <w:r>
            <w:fldChar w:fldCharType="separate"/>
          </w:r>
          <w:r>
            <w:t>22</w:t>
          </w:r>
          <w:r>
            <w:fldChar w:fldCharType="end"/>
          </w:r>
          <w:r>
            <w:fldChar w:fldCharType="end"/>
          </w:r>
        </w:p>
        <w:p w14:paraId="67698251">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"_Toc165277244" </w:instrText>
          </w:r>
          <w:r>
            <w:fldChar w:fldCharType="separate"/>
          </w:r>
          <w:r>
            <w:rPr>
              <w:rStyle w:val="19"/>
              <w:color w:val="0563C1" w:themeColor="hyperlink"/>
              <w14:textFill>
                <w14:solidFill>
                  <w14:schemeClr w14:val="hlink"/>
                </w14:solidFill>
              </w14:textFill>
            </w:rPr>
            <w:t>3.</w:t>
          </w:r>
          <w:r>
            <w:rPr>
              <w:rStyle w:val="19"/>
              <w:rFonts w:hint="eastAsia"/>
              <w:color w:val="0563C1" w:themeColor="hyperlink"/>
              <w14:textFill>
                <w14:solidFill>
                  <w14:schemeClr w14:val="hlink"/>
                </w14:solidFill>
              </w14:textFill>
            </w:rPr>
            <w:t>资金投入</w:t>
          </w:r>
          <w:r>
            <w:tab/>
          </w:r>
          <w:r>
            <w:fldChar w:fldCharType="begin"/>
          </w:r>
          <w:r>
            <w:instrText xml:space="preserve"> PAGEREF _Toc165277244 \h </w:instrText>
          </w:r>
          <w:r>
            <w:fldChar w:fldCharType="separate"/>
          </w:r>
          <w:r>
            <w:t>23</w:t>
          </w:r>
          <w:r>
            <w:fldChar w:fldCharType="end"/>
          </w:r>
          <w:r>
            <w:fldChar w:fldCharType="end"/>
          </w:r>
        </w:p>
        <w:p w14:paraId="227C35BD">
          <w:pPr>
            <w:pStyle w:val="13"/>
            <w:tabs>
              <w:tab w:val="right" w:leader="dot" w:pos="8296"/>
            </w:tabs>
            <w:ind w:left="560" w:firstLine="560"/>
            <w:rPr>
              <w:rFonts w:asciiTheme="minorHAnsi" w:hAnsiTheme="minorHAnsi" w:eastAsiaTheme="minorEastAsia" w:cstheme="minorBidi"/>
              <w:sz w:val="21"/>
            </w:rPr>
          </w:pPr>
          <w:r>
            <w:fldChar w:fldCharType="begin"/>
          </w:r>
          <w:r>
            <w:instrText xml:space="preserve"> HYPERLINK \l "_Toc165277245" </w:instrText>
          </w:r>
          <w:r>
            <w:fldChar w:fldCharType="separate"/>
          </w:r>
          <w:r>
            <w:rPr>
              <w:rStyle w:val="19"/>
              <w:rFonts w:hint="eastAsia" w:ascii="仿宋" w:hAnsi="仿宋" w:eastAsia="仿宋"/>
              <w:color w:val="0563C1" w:themeColor="hyperlink"/>
              <w:lang w:bidi="en-US"/>
              <w14:textFill>
                <w14:solidFill>
                  <w14:schemeClr w14:val="hlink"/>
                </w14:solidFill>
              </w14:textFill>
            </w:rPr>
            <w:t>（二）项目过程情况</w:t>
          </w:r>
          <w:r>
            <w:tab/>
          </w:r>
          <w:r>
            <w:fldChar w:fldCharType="begin"/>
          </w:r>
          <w:r>
            <w:instrText xml:space="preserve"> PAGEREF _Toc165277245 \h </w:instrText>
          </w:r>
          <w:r>
            <w:fldChar w:fldCharType="separate"/>
          </w:r>
          <w:r>
            <w:t>23</w:t>
          </w:r>
          <w:r>
            <w:fldChar w:fldCharType="end"/>
          </w:r>
          <w:r>
            <w:fldChar w:fldCharType="end"/>
          </w:r>
        </w:p>
        <w:p w14:paraId="3F79395E">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"_Toc165277246" </w:instrText>
          </w:r>
          <w:r>
            <w:fldChar w:fldCharType="separate"/>
          </w:r>
          <w:r>
            <w:rPr>
              <w:rStyle w:val="19"/>
              <w:color w:val="0563C1" w:themeColor="hyperlink"/>
              <w14:textFill>
                <w14:solidFill>
                  <w14:schemeClr w14:val="hlink"/>
                </w14:solidFill>
              </w14:textFill>
            </w:rPr>
            <w:t>1.</w:t>
          </w:r>
          <w:r>
            <w:rPr>
              <w:rStyle w:val="19"/>
              <w:rFonts w:hint="eastAsia"/>
              <w:color w:val="0563C1" w:themeColor="hyperlink"/>
              <w14:textFill>
                <w14:solidFill>
                  <w14:schemeClr w14:val="hlink"/>
                </w14:solidFill>
              </w14:textFill>
            </w:rPr>
            <w:t>资金管理</w:t>
          </w:r>
          <w:r>
            <w:tab/>
          </w:r>
          <w:r>
            <w:fldChar w:fldCharType="begin"/>
          </w:r>
          <w:r>
            <w:instrText xml:space="preserve"> PAGEREF _Toc165277246 \h </w:instrText>
          </w:r>
          <w:r>
            <w:fldChar w:fldCharType="separate"/>
          </w:r>
          <w:r>
            <w:t>23</w:t>
          </w:r>
          <w:r>
            <w:fldChar w:fldCharType="end"/>
          </w:r>
          <w:r>
            <w:fldChar w:fldCharType="end"/>
          </w:r>
        </w:p>
        <w:p w14:paraId="2DAE6584">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"_Toc165277247" </w:instrText>
          </w:r>
          <w:r>
            <w:fldChar w:fldCharType="separate"/>
          </w:r>
          <w:r>
            <w:rPr>
              <w:rStyle w:val="19"/>
              <w:color w:val="0563C1" w:themeColor="hyperlink"/>
              <w14:textFill>
                <w14:solidFill>
                  <w14:schemeClr w14:val="hlink"/>
                </w14:solidFill>
              </w14:textFill>
            </w:rPr>
            <w:t>2.</w:t>
          </w:r>
          <w:r>
            <w:rPr>
              <w:rStyle w:val="19"/>
              <w:rFonts w:hint="eastAsia"/>
              <w:color w:val="0563C1" w:themeColor="hyperlink"/>
              <w14:textFill>
                <w14:solidFill>
                  <w14:schemeClr w14:val="hlink"/>
                </w14:solidFill>
              </w14:textFill>
            </w:rPr>
            <w:t>组织实施</w:t>
          </w:r>
          <w:r>
            <w:tab/>
          </w:r>
          <w:r>
            <w:fldChar w:fldCharType="begin"/>
          </w:r>
          <w:r>
            <w:instrText xml:space="preserve"> PAGEREF _Toc165277247 \h </w:instrText>
          </w:r>
          <w:r>
            <w:fldChar w:fldCharType="separate"/>
          </w:r>
          <w:r>
            <w:t>24</w:t>
          </w:r>
          <w:r>
            <w:fldChar w:fldCharType="end"/>
          </w:r>
          <w:r>
            <w:fldChar w:fldCharType="end"/>
          </w:r>
        </w:p>
        <w:p w14:paraId="501E5BA2">
          <w:pPr>
            <w:pStyle w:val="13"/>
            <w:tabs>
              <w:tab w:val="right" w:leader="dot" w:pos="8296"/>
            </w:tabs>
            <w:ind w:left="560" w:firstLine="560"/>
            <w:rPr>
              <w:rFonts w:asciiTheme="minorHAnsi" w:hAnsiTheme="minorHAnsi" w:eastAsiaTheme="minorEastAsia" w:cstheme="minorBidi"/>
              <w:sz w:val="21"/>
            </w:rPr>
          </w:pPr>
          <w:r>
            <w:fldChar w:fldCharType="begin"/>
          </w:r>
          <w:r>
            <w:instrText xml:space="preserve"> HYPERLINK \l "_Toc165277248" </w:instrText>
          </w:r>
          <w:r>
            <w:fldChar w:fldCharType="separate"/>
          </w:r>
          <w:r>
            <w:rPr>
              <w:rStyle w:val="19"/>
              <w:rFonts w:hint="eastAsia" w:ascii="仿宋" w:hAnsi="仿宋" w:eastAsia="仿宋"/>
              <w:color w:val="0563C1" w:themeColor="hyperlink"/>
              <w:lang w:bidi="en-US"/>
              <w14:textFill>
                <w14:solidFill>
                  <w14:schemeClr w14:val="hlink"/>
                </w14:solidFill>
              </w14:textFill>
            </w:rPr>
            <w:t>（三）项目产出情况</w:t>
          </w:r>
          <w:r>
            <w:tab/>
          </w:r>
          <w:r>
            <w:fldChar w:fldCharType="begin"/>
          </w:r>
          <w:r>
            <w:instrText xml:space="preserve"> PAGEREF _Toc165277248 \h </w:instrText>
          </w:r>
          <w:r>
            <w:fldChar w:fldCharType="separate"/>
          </w:r>
          <w:r>
            <w:t>25</w:t>
          </w:r>
          <w:r>
            <w:fldChar w:fldCharType="end"/>
          </w:r>
          <w:r>
            <w:fldChar w:fldCharType="end"/>
          </w:r>
        </w:p>
        <w:p w14:paraId="5BF0A25A">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"_Toc165277249" </w:instrText>
          </w:r>
          <w:r>
            <w:fldChar w:fldCharType="separate"/>
          </w:r>
          <w:r>
            <w:rPr>
              <w:rStyle w:val="19"/>
              <w:color w:val="0563C1" w:themeColor="hyperlink"/>
              <w14:textFill>
                <w14:solidFill>
                  <w14:schemeClr w14:val="hlink"/>
                </w14:solidFill>
              </w14:textFill>
            </w:rPr>
            <w:t>1.</w:t>
          </w:r>
          <w:r>
            <w:rPr>
              <w:rStyle w:val="19"/>
              <w:rFonts w:hint="eastAsia"/>
              <w:color w:val="0563C1" w:themeColor="hyperlink"/>
              <w14:textFill>
                <w14:solidFill>
                  <w14:schemeClr w14:val="hlink"/>
                </w14:solidFill>
              </w14:textFill>
            </w:rPr>
            <w:t>产出数量</w:t>
          </w:r>
          <w:r>
            <w:tab/>
          </w:r>
          <w:r>
            <w:fldChar w:fldCharType="begin"/>
          </w:r>
          <w:r>
            <w:instrText xml:space="preserve"> PAGEREF _Toc165277249 \h </w:instrText>
          </w:r>
          <w:r>
            <w:fldChar w:fldCharType="separate"/>
          </w:r>
          <w:r>
            <w:t>25</w:t>
          </w:r>
          <w:r>
            <w:fldChar w:fldCharType="end"/>
          </w:r>
          <w:r>
            <w:fldChar w:fldCharType="end"/>
          </w:r>
        </w:p>
        <w:p w14:paraId="489677CE">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"_Toc165277250" </w:instrText>
          </w:r>
          <w:r>
            <w:fldChar w:fldCharType="separate"/>
          </w:r>
          <w:r>
            <w:rPr>
              <w:rStyle w:val="19"/>
              <w:color w:val="0563C1" w:themeColor="hyperlink"/>
              <w14:textFill>
                <w14:solidFill>
                  <w14:schemeClr w14:val="hlink"/>
                </w14:solidFill>
              </w14:textFill>
            </w:rPr>
            <w:t>2.</w:t>
          </w:r>
          <w:r>
            <w:rPr>
              <w:rStyle w:val="19"/>
              <w:rFonts w:hint="eastAsia"/>
              <w:color w:val="0563C1" w:themeColor="hyperlink"/>
              <w14:textFill>
                <w14:solidFill>
                  <w14:schemeClr w14:val="hlink"/>
                </w14:solidFill>
              </w14:textFill>
            </w:rPr>
            <w:t>产出质量</w:t>
          </w:r>
          <w:r>
            <w:tab/>
          </w:r>
          <w:r>
            <w:fldChar w:fldCharType="begin"/>
          </w:r>
          <w:r>
            <w:instrText xml:space="preserve"> PAGEREF _Toc165277250 \h </w:instrText>
          </w:r>
          <w:r>
            <w:fldChar w:fldCharType="separate"/>
          </w:r>
          <w:r>
            <w:t>26</w:t>
          </w:r>
          <w:r>
            <w:fldChar w:fldCharType="end"/>
          </w:r>
          <w:r>
            <w:fldChar w:fldCharType="end"/>
          </w:r>
        </w:p>
        <w:p w14:paraId="68A7B60D">
          <w:pPr>
            <w:pStyle w:val="6"/>
            <w:tabs>
              <w:tab w:val="right" w:leader="dot" w:pos="8296"/>
            </w:tabs>
            <w:ind w:left="1120" w:firstLine="560"/>
            <w:rPr>
              <w:rFonts w:hint="default" w:eastAsia="仿宋_GB2312" w:asciiTheme="minorHAnsi" w:hAnsiTheme="minorHAnsi" w:cstheme="minorBidi"/>
              <w:sz w:val="21"/>
              <w:lang w:val="en-US" w:eastAsia="zh-CN"/>
            </w:rPr>
          </w:pPr>
          <w:r>
            <w:fldChar w:fldCharType="begin"/>
          </w:r>
          <w:r>
            <w:instrText xml:space="preserve"> HYPERLINK \l "_Toc165277251" </w:instrText>
          </w:r>
          <w:r>
            <w:fldChar w:fldCharType="separate"/>
          </w:r>
          <w:r>
            <w:rPr>
              <w:rStyle w:val="19"/>
              <w:color w:val="0563C1" w:themeColor="hyperlink"/>
              <w14:textFill>
                <w14:solidFill>
                  <w14:schemeClr w14:val="hlink"/>
                </w14:solidFill>
              </w14:textFill>
            </w:rPr>
            <w:t>3.</w:t>
          </w:r>
          <w:r>
            <w:rPr>
              <w:rStyle w:val="19"/>
              <w:rFonts w:hint="eastAsia"/>
              <w:color w:val="0563C1" w:themeColor="hyperlink"/>
              <w14:textFill>
                <w14:solidFill>
                  <w14:schemeClr w14:val="hlink"/>
                </w14:solidFill>
              </w14:textFill>
            </w:rPr>
            <w:t>产出时效</w:t>
          </w:r>
          <w:r>
            <w:tab/>
          </w:r>
          <w:r>
            <w:fldChar w:fldCharType="end"/>
          </w:r>
          <w:r>
            <w:rPr>
              <w:rFonts w:hint="eastAsia"/>
              <w:lang w:val="en-US" w:eastAsia="zh-CN"/>
            </w:rPr>
            <w:t>27</w:t>
          </w:r>
        </w:p>
        <w:p w14:paraId="42543559">
          <w:pPr>
            <w:pStyle w:val="6"/>
            <w:tabs>
              <w:tab w:val="right" w:leader="dot" w:pos="8296"/>
            </w:tabs>
            <w:ind w:left="1120" w:firstLine="560"/>
            <w:rPr>
              <w:rFonts w:hint="default" w:eastAsia="仿宋_GB2312" w:asciiTheme="minorHAnsi" w:hAnsiTheme="minorHAnsi" w:cstheme="minorBidi"/>
              <w:sz w:val="21"/>
              <w:lang w:val="en-US" w:eastAsia="zh-CN"/>
            </w:rPr>
          </w:pPr>
          <w:r>
            <w:fldChar w:fldCharType="begin"/>
          </w:r>
          <w:r>
            <w:instrText xml:space="preserve"> HYPERLINK \l "_Toc165277252" </w:instrText>
          </w:r>
          <w:r>
            <w:fldChar w:fldCharType="separate"/>
          </w:r>
          <w:r>
            <w:rPr>
              <w:rStyle w:val="19"/>
              <w:color w:val="0563C1" w:themeColor="hyperlink"/>
              <w14:textFill>
                <w14:solidFill>
                  <w14:schemeClr w14:val="hlink"/>
                </w14:solidFill>
              </w14:textFill>
            </w:rPr>
            <w:t>4.</w:t>
          </w:r>
          <w:r>
            <w:rPr>
              <w:rStyle w:val="19"/>
              <w:rFonts w:hint="eastAsia"/>
              <w:color w:val="0563C1" w:themeColor="hyperlink"/>
              <w14:textFill>
                <w14:solidFill>
                  <w14:schemeClr w14:val="hlink"/>
                </w14:solidFill>
              </w14:textFill>
            </w:rPr>
            <w:t>产出成本</w:t>
          </w:r>
          <w:r>
            <w:tab/>
          </w:r>
          <w:r>
            <w:fldChar w:fldCharType="end"/>
          </w:r>
          <w:r>
            <w:rPr>
              <w:rFonts w:hint="eastAsia"/>
              <w:lang w:val="en-US" w:eastAsia="zh-CN"/>
            </w:rPr>
            <w:t>27</w:t>
          </w:r>
        </w:p>
        <w:p w14:paraId="5732CB82">
          <w:pPr>
            <w:pStyle w:val="13"/>
            <w:tabs>
              <w:tab w:val="right" w:leader="dot" w:pos="8296"/>
            </w:tabs>
            <w:ind w:left="560" w:firstLine="560"/>
            <w:rPr>
              <w:rFonts w:hint="default" w:eastAsia="仿宋_GB2312" w:asciiTheme="minorHAnsi" w:hAnsiTheme="minorHAnsi" w:cstheme="minorBidi"/>
              <w:sz w:val="21"/>
              <w:lang w:val="en-US" w:eastAsia="zh-CN"/>
            </w:rPr>
          </w:pPr>
          <w:r>
            <w:fldChar w:fldCharType="begin"/>
          </w:r>
          <w:r>
            <w:instrText xml:space="preserve"> HYPERLINK \l "_Toc165277253" </w:instrText>
          </w:r>
          <w:r>
            <w:fldChar w:fldCharType="separate"/>
          </w:r>
          <w:r>
            <w:rPr>
              <w:rStyle w:val="19"/>
              <w:rFonts w:hint="eastAsia" w:ascii="仿宋" w:hAnsi="仿宋" w:eastAsia="仿宋"/>
              <w:color w:val="0563C1" w:themeColor="hyperlink"/>
              <w:lang w:bidi="en-US"/>
              <w14:textFill>
                <w14:solidFill>
                  <w14:schemeClr w14:val="hlink"/>
                </w14:solidFill>
              </w14:textFill>
            </w:rPr>
            <w:t>（四）项目效益情况</w:t>
          </w:r>
          <w:r>
            <w:tab/>
          </w:r>
          <w:r>
            <w:fldChar w:fldCharType="end"/>
          </w:r>
          <w:r>
            <w:rPr>
              <w:rFonts w:hint="eastAsia"/>
              <w:lang w:val="en-US" w:eastAsia="zh-CN"/>
            </w:rPr>
            <w:t>27</w:t>
          </w:r>
        </w:p>
        <w:p w14:paraId="2960F066">
          <w:pPr>
            <w:pStyle w:val="6"/>
            <w:tabs>
              <w:tab w:val="right" w:leader="dot" w:pos="8296"/>
            </w:tabs>
            <w:ind w:left="1120" w:firstLine="560"/>
            <w:rPr>
              <w:rFonts w:hint="default" w:eastAsia="仿宋_GB2312" w:asciiTheme="minorHAnsi" w:hAnsiTheme="minorHAnsi" w:cstheme="minorBidi"/>
              <w:sz w:val="21"/>
              <w:lang w:val="en-US" w:eastAsia="zh-CN"/>
            </w:rPr>
          </w:pPr>
          <w:r>
            <w:fldChar w:fldCharType="begin"/>
          </w:r>
          <w:r>
            <w:instrText xml:space="preserve"> HYPERLINK \l "_Toc165277254" </w:instrText>
          </w:r>
          <w:r>
            <w:fldChar w:fldCharType="separate"/>
          </w:r>
          <w:r>
            <w:rPr>
              <w:rStyle w:val="19"/>
              <w:color w:val="0563C1" w:themeColor="hyperlink"/>
              <w14:textFill>
                <w14:solidFill>
                  <w14:schemeClr w14:val="hlink"/>
                </w14:solidFill>
              </w14:textFill>
            </w:rPr>
            <w:t>1.</w:t>
          </w:r>
          <w:r>
            <w:rPr>
              <w:rStyle w:val="19"/>
              <w:rFonts w:hint="eastAsia"/>
              <w:color w:val="0563C1" w:themeColor="hyperlink"/>
              <w14:textFill>
                <w14:solidFill>
                  <w14:schemeClr w14:val="hlink"/>
                </w14:solidFill>
              </w14:textFill>
            </w:rPr>
            <w:t>项目效益</w:t>
          </w:r>
          <w:r>
            <w:tab/>
          </w:r>
          <w:r>
            <w:fldChar w:fldCharType="end"/>
          </w:r>
          <w:r>
            <w:rPr>
              <w:rFonts w:hint="eastAsia"/>
              <w:lang w:val="en-US" w:eastAsia="zh-CN"/>
            </w:rPr>
            <w:t>27</w:t>
          </w:r>
        </w:p>
        <w:p w14:paraId="7EE147CC">
          <w:pPr>
            <w:pStyle w:val="6"/>
            <w:tabs>
              <w:tab w:val="right" w:leader="dot" w:pos="8296"/>
            </w:tabs>
            <w:ind w:left="1120" w:firstLine="560"/>
            <w:rPr>
              <w:rFonts w:asciiTheme="minorHAnsi" w:hAnsiTheme="minorHAnsi" w:eastAsiaTheme="minorEastAsia" w:cstheme="minorBidi"/>
              <w:sz w:val="21"/>
            </w:rPr>
          </w:pPr>
          <w:r>
            <w:fldChar w:fldCharType="begin"/>
          </w:r>
          <w:r>
            <w:instrText xml:space="preserve"> HYPERLINK \l "_Toc165277255" </w:instrText>
          </w:r>
          <w:r>
            <w:fldChar w:fldCharType="separate"/>
          </w:r>
          <w:r>
            <w:rPr>
              <w:rStyle w:val="19"/>
              <w:color w:val="0563C1" w:themeColor="hyperlink"/>
              <w14:textFill>
                <w14:solidFill>
                  <w14:schemeClr w14:val="hlink"/>
                </w14:solidFill>
              </w14:textFill>
            </w:rPr>
            <w:t xml:space="preserve">2. </w:t>
          </w:r>
          <w:r>
            <w:rPr>
              <w:rStyle w:val="19"/>
              <w:rFonts w:hint="eastAsia"/>
              <w:color w:val="0563C1" w:themeColor="hyperlink"/>
              <w14:textFill>
                <w14:solidFill>
                  <w14:schemeClr w14:val="hlink"/>
                </w14:solidFill>
              </w14:textFill>
            </w:rPr>
            <w:t>满意度指标完成情况分析</w:t>
          </w:r>
          <w:r>
            <w:tab/>
          </w:r>
          <w:r>
            <w:fldChar w:fldCharType="begin"/>
          </w:r>
          <w:r>
            <w:instrText xml:space="preserve"> PAGEREF _Toc165277255 \h </w:instrText>
          </w:r>
          <w:r>
            <w:fldChar w:fldCharType="separate"/>
          </w:r>
          <w:r>
            <w:t>27</w:t>
          </w:r>
          <w:r>
            <w:fldChar w:fldCharType="end"/>
          </w:r>
          <w:r>
            <w:fldChar w:fldCharType="end"/>
          </w:r>
        </w:p>
        <w:p w14:paraId="456F1A32">
          <w:pPr>
            <w:pStyle w:val="11"/>
            <w:tabs>
              <w:tab w:val="right" w:leader="dot" w:pos="8296"/>
            </w:tabs>
            <w:ind w:firstLine="560"/>
            <w:rPr>
              <w:rFonts w:asciiTheme="minorHAnsi" w:hAnsiTheme="minorHAnsi" w:eastAsiaTheme="minorEastAsia" w:cstheme="minorBidi"/>
              <w:sz w:val="21"/>
            </w:rPr>
          </w:pPr>
          <w:r>
            <w:fldChar w:fldCharType="begin"/>
          </w:r>
          <w:r>
            <w:instrText xml:space="preserve"> HYPERLINK \l "_Toc165277256" </w:instrText>
          </w:r>
          <w:r>
            <w:fldChar w:fldCharType="separate"/>
          </w:r>
          <w:r>
            <w:rPr>
              <w:rStyle w:val="19"/>
              <w:rFonts w:hint="eastAsia" w:ascii="仿宋" w:hAnsi="仿宋" w:eastAsia="仿宋"/>
              <w:color w:val="0563C1" w:themeColor="hyperlink"/>
              <w:lang w:bidi="en-US"/>
              <w14:textFill>
                <w14:solidFill>
                  <w14:schemeClr w14:val="hlink"/>
                </w14:solidFill>
              </w14:textFill>
            </w:rPr>
            <w:t>五、主要经验及做法、存在的问题及原因分析</w:t>
          </w:r>
          <w:r>
            <w:tab/>
          </w:r>
          <w:r>
            <w:fldChar w:fldCharType="begin"/>
          </w:r>
          <w:r>
            <w:instrText xml:space="preserve"> PAGEREF _Toc165277256 \h </w:instrText>
          </w:r>
          <w:r>
            <w:fldChar w:fldCharType="separate"/>
          </w:r>
          <w:r>
            <w:t>28</w:t>
          </w:r>
          <w:r>
            <w:fldChar w:fldCharType="end"/>
          </w:r>
          <w:r>
            <w:fldChar w:fldCharType="end"/>
          </w:r>
        </w:p>
        <w:p w14:paraId="6191160B">
          <w:pPr>
            <w:pStyle w:val="13"/>
            <w:tabs>
              <w:tab w:val="right" w:leader="dot" w:pos="8296"/>
            </w:tabs>
            <w:ind w:left="560" w:firstLine="560"/>
            <w:rPr>
              <w:rFonts w:asciiTheme="minorHAnsi" w:hAnsiTheme="minorHAnsi" w:eastAsiaTheme="minorEastAsia" w:cstheme="minorBidi"/>
              <w:sz w:val="21"/>
            </w:rPr>
          </w:pPr>
          <w:r>
            <w:fldChar w:fldCharType="begin"/>
          </w:r>
          <w:r>
            <w:instrText xml:space="preserve"> HYPERLINK \l "_Toc165277257" </w:instrText>
          </w:r>
          <w:r>
            <w:fldChar w:fldCharType="separate"/>
          </w:r>
          <w:r>
            <w:rPr>
              <w:rStyle w:val="19"/>
              <w:rFonts w:hint="eastAsia" w:ascii="仿宋" w:hAnsi="仿宋" w:eastAsia="仿宋"/>
              <w:color w:val="0563C1" w:themeColor="hyperlink"/>
              <w:lang w:bidi="en-US"/>
              <w14:textFill>
                <w14:solidFill>
                  <w14:schemeClr w14:val="hlink"/>
                </w14:solidFill>
              </w14:textFill>
            </w:rPr>
            <w:t>（一）主要经验及做法</w:t>
          </w:r>
          <w:r>
            <w:tab/>
          </w:r>
          <w:r>
            <w:fldChar w:fldCharType="begin"/>
          </w:r>
          <w:r>
            <w:instrText xml:space="preserve"> PAGEREF _Toc165277257 \h </w:instrText>
          </w:r>
          <w:r>
            <w:fldChar w:fldCharType="separate"/>
          </w:r>
          <w:r>
            <w:t>28</w:t>
          </w:r>
          <w:r>
            <w:fldChar w:fldCharType="end"/>
          </w:r>
          <w:r>
            <w:fldChar w:fldCharType="end"/>
          </w:r>
        </w:p>
        <w:p w14:paraId="0B4332C6">
          <w:pPr>
            <w:pStyle w:val="13"/>
            <w:tabs>
              <w:tab w:val="right" w:leader="dot" w:pos="8296"/>
            </w:tabs>
            <w:ind w:left="560" w:firstLine="560"/>
            <w:rPr>
              <w:rFonts w:asciiTheme="minorHAnsi" w:hAnsiTheme="minorHAnsi" w:eastAsiaTheme="minorEastAsia" w:cstheme="minorBidi"/>
              <w:sz w:val="21"/>
            </w:rPr>
          </w:pPr>
          <w:r>
            <w:fldChar w:fldCharType="begin"/>
          </w:r>
          <w:r>
            <w:instrText xml:space="preserve"> HYPERLINK \l "_Toc165277258" </w:instrText>
          </w:r>
          <w:r>
            <w:fldChar w:fldCharType="separate"/>
          </w:r>
          <w:r>
            <w:rPr>
              <w:rStyle w:val="19"/>
              <w:rFonts w:hint="eastAsia" w:ascii="仿宋" w:hAnsi="仿宋" w:eastAsia="仿宋"/>
              <w:color w:val="0563C1" w:themeColor="hyperlink"/>
              <w:lang w:bidi="en-US"/>
              <w14:textFill>
                <w14:solidFill>
                  <w14:schemeClr w14:val="hlink"/>
                </w14:solidFill>
              </w14:textFill>
            </w:rPr>
            <w:t>（二）存在的问题及原因分析</w:t>
          </w:r>
          <w:r>
            <w:tab/>
          </w:r>
          <w:r>
            <w:fldChar w:fldCharType="begin"/>
          </w:r>
          <w:r>
            <w:instrText xml:space="preserve"> PAGEREF _Toc165277258 \h </w:instrText>
          </w:r>
          <w:r>
            <w:fldChar w:fldCharType="separate"/>
          </w:r>
          <w:r>
            <w:t>28</w:t>
          </w:r>
          <w:r>
            <w:fldChar w:fldCharType="end"/>
          </w:r>
          <w:r>
            <w:fldChar w:fldCharType="end"/>
          </w:r>
        </w:p>
        <w:p w14:paraId="13D2735B">
          <w:pPr>
            <w:pStyle w:val="11"/>
            <w:tabs>
              <w:tab w:val="right" w:leader="dot" w:pos="8296"/>
            </w:tabs>
            <w:ind w:firstLine="560"/>
            <w:rPr>
              <w:rFonts w:asciiTheme="minorHAnsi" w:hAnsiTheme="minorHAnsi" w:eastAsiaTheme="minorEastAsia" w:cstheme="minorBidi"/>
              <w:sz w:val="21"/>
            </w:rPr>
          </w:pPr>
          <w:r>
            <w:fldChar w:fldCharType="begin"/>
          </w:r>
          <w:r>
            <w:instrText xml:space="preserve"> HYPERLINK \l "_Toc165277259" </w:instrText>
          </w:r>
          <w:r>
            <w:fldChar w:fldCharType="separate"/>
          </w:r>
          <w:r>
            <w:rPr>
              <w:rStyle w:val="19"/>
              <w:rFonts w:hint="eastAsia" w:ascii="仿宋" w:hAnsi="仿宋" w:eastAsia="仿宋"/>
              <w:color w:val="0563C1" w:themeColor="hyperlink"/>
              <w:lang w:bidi="en-US"/>
              <w14:textFill>
                <w14:solidFill>
                  <w14:schemeClr w14:val="hlink"/>
                </w14:solidFill>
              </w14:textFill>
            </w:rPr>
            <w:t>六、有关建议</w:t>
          </w:r>
          <w:r>
            <w:tab/>
          </w:r>
          <w:r>
            <w:fldChar w:fldCharType="begin"/>
          </w:r>
          <w:r>
            <w:instrText xml:space="preserve"> PAGEREF _Toc165277259 \h </w:instrText>
          </w:r>
          <w:r>
            <w:fldChar w:fldCharType="separate"/>
          </w:r>
          <w:r>
            <w:t>28</w:t>
          </w:r>
          <w:r>
            <w:fldChar w:fldCharType="end"/>
          </w:r>
          <w:r>
            <w:fldChar w:fldCharType="end"/>
          </w:r>
        </w:p>
        <w:p w14:paraId="56DE1729">
          <w:pPr>
            <w:pStyle w:val="11"/>
            <w:tabs>
              <w:tab w:val="right" w:leader="dot" w:pos="8296"/>
            </w:tabs>
            <w:ind w:firstLine="560"/>
            <w:rPr>
              <w:rFonts w:asciiTheme="minorHAnsi" w:hAnsiTheme="minorHAnsi" w:eastAsiaTheme="minorEastAsia" w:cstheme="minorBidi"/>
              <w:sz w:val="21"/>
            </w:rPr>
          </w:pPr>
          <w:r>
            <w:fldChar w:fldCharType="begin"/>
          </w:r>
          <w:r>
            <w:instrText xml:space="preserve"> HYPERLINK \l "_Toc165277260" </w:instrText>
          </w:r>
          <w:r>
            <w:fldChar w:fldCharType="separate"/>
          </w:r>
          <w:r>
            <w:rPr>
              <w:rStyle w:val="19"/>
              <w:rFonts w:hint="eastAsia" w:ascii="仿宋" w:hAnsi="仿宋" w:eastAsia="仿宋"/>
              <w:color w:val="0563C1" w:themeColor="hyperlink"/>
              <w:lang w:bidi="en-US"/>
              <w14:textFill>
                <w14:solidFill>
                  <w14:schemeClr w14:val="hlink"/>
                </w14:solidFill>
              </w14:textFill>
            </w:rPr>
            <w:t>七、其他需要说明的问题</w:t>
          </w:r>
          <w:r>
            <w:tab/>
          </w:r>
          <w:r>
            <w:fldChar w:fldCharType="begin"/>
          </w:r>
          <w:r>
            <w:instrText xml:space="preserve"> PAGEREF _Toc165277260 \h </w:instrText>
          </w:r>
          <w:r>
            <w:fldChar w:fldCharType="separate"/>
          </w:r>
          <w:r>
            <w:t>29</w:t>
          </w:r>
          <w:r>
            <w:fldChar w:fldCharType="end"/>
          </w:r>
          <w:r>
            <w:fldChar w:fldCharType="end"/>
          </w:r>
        </w:p>
        <w:p w14:paraId="726D0CB8">
          <w:pPr>
            <w:ind w:firstLine="562"/>
          </w:pPr>
          <w:r>
            <w:rPr>
              <w:b/>
              <w:bCs/>
              <w:lang w:val="zh-CN"/>
            </w:rPr>
            <w:fldChar w:fldCharType="end"/>
          </w:r>
        </w:p>
      </w:sdtContent>
    </w:sdt>
    <w:p w14:paraId="7D6C99C2">
      <w:pPr>
        <w:ind w:firstLine="598" w:firstLineChars="187"/>
        <w:rPr>
          <w:rFonts w:ascii="仿宋_GB2312" w:hAnsi="Times New Roman" w:cs="Times New Roman"/>
          <w:sz w:val="32"/>
          <w:szCs w:val="32"/>
          <w:lang w:bidi="en-US"/>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49D312CB">
      <w:pPr>
        <w:pStyle w:val="3"/>
        <w:ind w:firstLine="0" w:firstLineChars="0"/>
        <w:jc w:val="left"/>
        <w:rPr>
          <w:rFonts w:ascii="仿宋" w:hAnsi="仿宋" w:eastAsia="仿宋"/>
          <w:sz w:val="36"/>
          <w:szCs w:val="36"/>
          <w:lang w:bidi="en-US"/>
        </w:rPr>
      </w:pPr>
      <w:bookmarkStart w:id="0" w:name="_Toc67911601"/>
      <w:bookmarkStart w:id="1" w:name="_Toc165277220"/>
      <w:r>
        <w:rPr>
          <w:rFonts w:hint="eastAsia" w:ascii="仿宋" w:hAnsi="仿宋" w:eastAsia="仿宋"/>
          <w:sz w:val="36"/>
          <w:szCs w:val="36"/>
          <w:lang w:bidi="en-US"/>
        </w:rPr>
        <w:t>一、基本情况</w:t>
      </w:r>
      <w:bookmarkEnd w:id="0"/>
      <w:bookmarkEnd w:id="1"/>
    </w:p>
    <w:p w14:paraId="2703DDC6">
      <w:pPr>
        <w:pStyle w:val="4"/>
        <w:ind w:firstLine="643"/>
        <w:rPr>
          <w:rFonts w:ascii="仿宋" w:hAnsi="仿宋" w:eastAsia="仿宋"/>
          <w:lang w:bidi="en-US"/>
        </w:rPr>
      </w:pPr>
      <w:bookmarkStart w:id="2" w:name="_Toc165277221"/>
      <w:bookmarkStart w:id="3" w:name="_Toc67911602"/>
      <w:r>
        <w:rPr>
          <w:rFonts w:hint="eastAsia" w:ascii="仿宋" w:hAnsi="仿宋" w:eastAsia="仿宋"/>
          <w:lang w:bidi="en-US"/>
        </w:rPr>
        <w:t>（一）项目概况：</w:t>
      </w:r>
      <w:bookmarkEnd w:id="2"/>
      <w:bookmarkEnd w:id="3"/>
    </w:p>
    <w:p w14:paraId="786E8A20">
      <w:pPr>
        <w:pStyle w:val="5"/>
        <w:ind w:firstLine="643"/>
      </w:pPr>
      <w:bookmarkStart w:id="4" w:name="_Toc165277222"/>
      <w:r>
        <w:rPr>
          <w:rFonts w:hint="eastAsia"/>
        </w:rPr>
        <w:t>1．项目背景、主要内容及实施情况</w:t>
      </w:r>
      <w:bookmarkEnd w:id="4"/>
    </w:p>
    <w:p w14:paraId="69A4927E">
      <w:pPr>
        <w:spacing w:line="560" w:lineRule="exact"/>
        <w:ind w:firstLine="560"/>
        <w:rPr>
          <w:rFonts w:ascii="仿宋_GB2312"/>
        </w:rPr>
      </w:pPr>
      <w:r>
        <w:rPr>
          <w:rFonts w:hint="eastAsia" w:ascii="仿宋_GB2312"/>
        </w:rPr>
        <w:t>该项目实施背景：</w:t>
      </w:r>
      <w:r>
        <w:rPr>
          <w:rFonts w:hint="eastAsia" w:ascii="仿宋_GB2312"/>
          <w:lang w:val="en-US" w:eastAsia="zh-CN"/>
        </w:rPr>
        <w:t>①</w:t>
      </w:r>
      <w:r>
        <w:rPr>
          <w:rFonts w:hint="eastAsia" w:ascii="仿宋_GB2312"/>
        </w:rPr>
        <w:t>2013年3月29日，中共乌鲁木齐市委员会财经领导小组在领导小组2013年第三次会议（乌党财纪字</w:t>
      </w:r>
      <w:r>
        <w:rPr>
          <w:rFonts w:hint="eastAsia" w:ascii="方正仿宋_GBK" w:hAnsi="宋体" w:eastAsia="方正仿宋_GBK" w:cs="宋体"/>
          <w:kern w:val="0"/>
          <w:sz w:val="32"/>
          <w:szCs w:val="32"/>
        </w:rPr>
        <w:t>〔</w:t>
      </w:r>
      <w:r>
        <w:rPr>
          <w:rFonts w:hint="eastAsia" w:ascii="仿宋_GB2312"/>
        </w:rPr>
        <w:t>2013</w:t>
      </w:r>
      <w:r>
        <w:rPr>
          <w:rFonts w:hint="eastAsia" w:ascii="方正仿宋_GBK" w:hAnsi="宋体" w:eastAsia="方正仿宋_GBK" w:cs="宋体"/>
          <w:kern w:val="0"/>
          <w:sz w:val="32"/>
          <w:szCs w:val="32"/>
        </w:rPr>
        <w:t>〕</w:t>
      </w:r>
      <w:r>
        <w:rPr>
          <w:rFonts w:hint="eastAsia" w:ascii="仿宋_GB2312"/>
        </w:rPr>
        <w:t xml:space="preserve">3号）提出由市委宣传部牵头尽快组建成立乌鲁木齐雪莲文化传媒投资有限公司（暂定名），作为市文化中心建设项目的投资主体，负责项目投融资、开发建设、运营管理维护及资本运作。 </w:t>
      </w:r>
    </w:p>
    <w:p w14:paraId="648177AE">
      <w:pPr>
        <w:spacing w:line="560" w:lineRule="exact"/>
        <w:ind w:firstLine="560"/>
        <w:rPr>
          <w:rFonts w:ascii="仿宋_GB2312"/>
        </w:rPr>
      </w:pPr>
      <w:r>
        <w:rPr>
          <w:rFonts w:hint="eastAsia" w:ascii="仿宋_GB2312"/>
          <w:lang w:val="en-US" w:eastAsia="zh-CN"/>
        </w:rPr>
        <w:t>②</w:t>
      </w:r>
      <w:r>
        <w:rPr>
          <w:rFonts w:hint="eastAsia" w:ascii="仿宋_GB2312"/>
        </w:rPr>
        <w:t>2013年4月9日，市委、市政府组织召开专会中提出成立乌鲁木齐文化传媒投资有限公司（以下简称文化传媒公司）负责投融资工作。</w:t>
      </w:r>
    </w:p>
    <w:p w14:paraId="08D486FD">
      <w:pPr>
        <w:spacing w:line="560" w:lineRule="exact"/>
        <w:ind w:firstLine="560"/>
        <w:rPr>
          <w:rFonts w:ascii="仿宋_GB2312"/>
        </w:rPr>
      </w:pPr>
      <w:r>
        <w:rPr>
          <w:rFonts w:hint="eastAsia" w:ascii="仿宋_GB2312"/>
          <w:lang w:val="en-US" w:eastAsia="zh-CN"/>
        </w:rPr>
        <w:t>③</w:t>
      </w:r>
      <w:r>
        <w:rPr>
          <w:rFonts w:hint="eastAsia" w:ascii="仿宋_GB2312"/>
        </w:rPr>
        <w:t>2013年4月27日，《关于对乌鲁木齐文化中心建设项目立项的批复》</w:t>
      </w:r>
      <w:r>
        <w:rPr>
          <w:rFonts w:hint="eastAsia" w:ascii="仿宋_GB2312"/>
          <w:lang w:eastAsia="zh-CN"/>
        </w:rPr>
        <w:t>（</w:t>
      </w:r>
      <w:r>
        <w:rPr>
          <w:rFonts w:hint="eastAsia" w:ascii="仿宋_GB2312"/>
        </w:rPr>
        <w:t>乌发改函</w:t>
      </w:r>
      <w:r>
        <w:rPr>
          <w:rFonts w:hint="eastAsia" w:ascii="方正仿宋_GBK" w:hAnsi="宋体" w:eastAsia="方正仿宋_GBK" w:cs="宋体"/>
          <w:kern w:val="0"/>
          <w:sz w:val="32"/>
          <w:szCs w:val="32"/>
        </w:rPr>
        <w:t>〔</w:t>
      </w:r>
      <w:r>
        <w:rPr>
          <w:rFonts w:hint="eastAsia" w:ascii="仿宋_GB2312"/>
        </w:rPr>
        <w:t>2013</w:t>
      </w:r>
      <w:r>
        <w:rPr>
          <w:rFonts w:hint="eastAsia" w:ascii="方正仿宋_GBK" w:hAnsi="宋体" w:eastAsia="方正仿宋_GBK" w:cs="宋体"/>
          <w:kern w:val="0"/>
          <w:sz w:val="32"/>
          <w:szCs w:val="32"/>
        </w:rPr>
        <w:t>〕</w:t>
      </w:r>
      <w:r>
        <w:rPr>
          <w:rFonts w:hint="eastAsia" w:ascii="仿宋_GB2312"/>
        </w:rPr>
        <w:t>256号</w:t>
      </w:r>
      <w:r>
        <w:rPr>
          <w:rFonts w:hint="eastAsia" w:ascii="仿宋_GB2312"/>
          <w:lang w:eastAsia="zh-CN"/>
        </w:rPr>
        <w:t>），</w:t>
      </w:r>
      <w:r>
        <w:rPr>
          <w:rFonts w:hint="eastAsia" w:ascii="仿宋_GB2312"/>
        </w:rPr>
        <w:t>明确文化中心建设内容由六馆一塔组成，总建筑面积为240853平方米，项目资金来源以政府投资和社会融资结合的方式解决。</w:t>
      </w:r>
    </w:p>
    <w:p w14:paraId="1FFB7984">
      <w:pPr>
        <w:spacing w:line="560" w:lineRule="exact"/>
        <w:ind w:firstLine="560"/>
        <w:rPr>
          <w:rFonts w:hint="eastAsia" w:ascii="仿宋_GB2312" w:eastAsia="仿宋_GB2312"/>
          <w:lang w:eastAsia="zh-CN"/>
        </w:rPr>
      </w:pPr>
      <w:r>
        <w:rPr>
          <w:rFonts w:hint="eastAsia" w:ascii="仿宋_GB2312"/>
          <w:lang w:val="en-US" w:eastAsia="zh-CN"/>
        </w:rPr>
        <w:t>④</w:t>
      </w:r>
      <w:r>
        <w:rPr>
          <w:rFonts w:hint="eastAsia" w:ascii="仿宋_GB2312"/>
        </w:rPr>
        <w:t>2013年5月20日</w:t>
      </w:r>
      <w:r>
        <w:rPr>
          <w:rFonts w:hint="eastAsia" w:ascii="仿宋_GB2312"/>
          <w:lang w:eastAsia="zh-CN"/>
        </w:rPr>
        <w:t>，</w:t>
      </w:r>
      <w:r>
        <w:rPr>
          <w:rFonts w:hint="eastAsia" w:ascii="仿宋_GB2312"/>
        </w:rPr>
        <w:t>乌鲁木齐市城乡规划管理局发放《建设用地规划许可证》</w:t>
      </w:r>
      <w:r>
        <w:rPr>
          <w:rFonts w:hint="eastAsia" w:ascii="仿宋_GB2312"/>
          <w:lang w:eastAsia="zh-CN"/>
        </w:rPr>
        <w:t>。</w:t>
      </w:r>
    </w:p>
    <w:p w14:paraId="1BDA0344">
      <w:pPr>
        <w:spacing w:line="560" w:lineRule="exact"/>
        <w:ind w:firstLine="560"/>
        <w:rPr>
          <w:rFonts w:ascii="仿宋_GB2312"/>
        </w:rPr>
      </w:pPr>
      <w:r>
        <w:rPr>
          <w:rFonts w:hint="eastAsia" w:ascii="仿宋_GB2312"/>
          <w:lang w:val="en-US" w:eastAsia="zh-CN"/>
        </w:rPr>
        <w:t>⑤</w:t>
      </w:r>
      <w:r>
        <w:rPr>
          <w:rFonts w:hint="eastAsia" w:ascii="仿宋_GB2312"/>
        </w:rPr>
        <w:t>2014年5月12日，《关于对乌鲁木齐市文化中心建设项目初步设计的批复》</w:t>
      </w:r>
      <w:r>
        <w:rPr>
          <w:rFonts w:hint="eastAsia" w:ascii="仿宋_GB2312"/>
          <w:lang w:eastAsia="zh-CN"/>
        </w:rPr>
        <w:t>（</w:t>
      </w:r>
      <w:r>
        <w:rPr>
          <w:rFonts w:hint="eastAsia" w:ascii="仿宋_GB2312"/>
        </w:rPr>
        <w:t>乌发改函</w:t>
      </w:r>
      <w:r>
        <w:rPr>
          <w:rFonts w:hint="eastAsia" w:ascii="方正仿宋_GBK" w:hAnsi="宋体" w:eastAsia="方正仿宋_GBK" w:cs="宋体"/>
          <w:kern w:val="0"/>
          <w:sz w:val="32"/>
          <w:szCs w:val="32"/>
        </w:rPr>
        <w:t>〔</w:t>
      </w:r>
      <w:r>
        <w:rPr>
          <w:rFonts w:hint="eastAsia" w:ascii="仿宋_GB2312"/>
        </w:rPr>
        <w:t>2014</w:t>
      </w:r>
      <w:r>
        <w:rPr>
          <w:rFonts w:hint="eastAsia" w:ascii="方正仿宋_GBK" w:hAnsi="宋体" w:eastAsia="方正仿宋_GBK" w:cs="宋体"/>
          <w:kern w:val="0"/>
          <w:sz w:val="32"/>
          <w:szCs w:val="32"/>
        </w:rPr>
        <w:t>〕</w:t>
      </w:r>
      <w:r>
        <w:rPr>
          <w:rFonts w:hint="eastAsia" w:ascii="仿宋_GB2312"/>
        </w:rPr>
        <w:t>172号</w:t>
      </w:r>
      <w:r>
        <w:rPr>
          <w:rFonts w:hint="eastAsia" w:ascii="仿宋_GB2312"/>
          <w:lang w:eastAsia="zh-CN"/>
        </w:rPr>
        <w:t>）</w:t>
      </w:r>
      <w:r>
        <w:rPr>
          <w:rFonts w:hint="eastAsia" w:ascii="仿宋_GB2312"/>
        </w:rPr>
        <w:t>明确乌鲁木齐市文化中心项目总建筑面积246248平方米，最大建筑高度为75米，项目总投资380908.86万元。</w:t>
      </w:r>
    </w:p>
    <w:p w14:paraId="624A836A">
      <w:pPr>
        <w:spacing w:line="560" w:lineRule="exact"/>
        <w:ind w:firstLine="560"/>
        <w:rPr>
          <w:rFonts w:ascii="仿宋_GB2312"/>
        </w:rPr>
      </w:pPr>
      <w:r>
        <w:rPr>
          <w:rFonts w:hint="eastAsia" w:ascii="仿宋_GB2312"/>
          <w:lang w:val="en-US" w:eastAsia="zh-CN"/>
        </w:rPr>
        <w:t>⑥</w:t>
      </w:r>
      <w:r>
        <w:rPr>
          <w:rFonts w:hint="eastAsia" w:ascii="仿宋_GB2312"/>
        </w:rPr>
        <w:t>2016年12月13日，《关于调增市文化中心项目建筑面积及变更相关建设内容名称的通知》</w:t>
      </w:r>
      <w:r>
        <w:rPr>
          <w:rFonts w:hint="eastAsia" w:ascii="仿宋_GB2312"/>
          <w:lang w:eastAsia="zh-CN"/>
        </w:rPr>
        <w:t>（</w:t>
      </w:r>
      <w:r>
        <w:rPr>
          <w:rFonts w:hint="eastAsia" w:ascii="仿宋_GB2312"/>
        </w:rPr>
        <w:t>乌发改函</w:t>
      </w:r>
      <w:r>
        <w:rPr>
          <w:rFonts w:hint="eastAsia" w:ascii="方正仿宋_GBK" w:hAnsi="宋体" w:eastAsia="方正仿宋_GBK" w:cs="宋体"/>
          <w:kern w:val="0"/>
          <w:sz w:val="32"/>
          <w:szCs w:val="32"/>
        </w:rPr>
        <w:t>〔</w:t>
      </w:r>
      <w:r>
        <w:rPr>
          <w:rFonts w:hint="eastAsia" w:ascii="仿宋_GB2312"/>
        </w:rPr>
        <w:t>2016</w:t>
      </w:r>
      <w:r>
        <w:rPr>
          <w:rFonts w:hint="eastAsia" w:ascii="方正仿宋_GBK" w:hAnsi="宋体" w:eastAsia="方正仿宋_GBK" w:cs="宋体"/>
          <w:kern w:val="0"/>
          <w:sz w:val="32"/>
          <w:szCs w:val="32"/>
        </w:rPr>
        <w:t>〕</w:t>
      </w:r>
      <w:r>
        <w:rPr>
          <w:rFonts w:hint="eastAsia" w:ascii="仿宋_GB2312"/>
        </w:rPr>
        <w:t>605号</w:t>
      </w:r>
      <w:r>
        <w:rPr>
          <w:rFonts w:hint="eastAsia" w:ascii="仿宋_GB2312"/>
          <w:lang w:eastAsia="zh-CN"/>
        </w:rPr>
        <w:t>），</w:t>
      </w:r>
      <w:r>
        <w:rPr>
          <w:rFonts w:hint="eastAsia" w:ascii="仿宋_GB2312"/>
        </w:rPr>
        <w:t>同意调增乌鲁木齐市文化中心项目建筑面积，由246248平方米调增为247980.14平方米，总建筑面积合计增加1732.14平方米。</w:t>
      </w:r>
    </w:p>
    <w:p w14:paraId="7F8AFBDF">
      <w:pPr>
        <w:spacing w:line="560" w:lineRule="exact"/>
        <w:ind w:firstLine="560"/>
        <w:rPr>
          <w:rFonts w:ascii="仿宋_GB2312"/>
        </w:rPr>
      </w:pPr>
      <w:r>
        <w:rPr>
          <w:rFonts w:hint="eastAsia" w:ascii="仿宋_GB2312"/>
          <w:lang w:val="en-US" w:eastAsia="zh-CN"/>
        </w:rPr>
        <w:t>⑦</w:t>
      </w:r>
      <w:r>
        <w:rPr>
          <w:rFonts w:hint="eastAsia" w:ascii="仿宋_GB2312"/>
        </w:rPr>
        <w:t>2017年7月，根据财政部相关通知精神，该项目调整为 PPP 项目，12月5日乌鲁木齐市发改委在《关于调整市文化中心项目初步设计批复业主单位的批复》中将市文化中心项目业主单位由文化传媒公司变更为市文化局（新闻出版、版权局）。</w:t>
      </w:r>
    </w:p>
    <w:p w14:paraId="2AEDE442">
      <w:pPr>
        <w:spacing w:line="560" w:lineRule="exact"/>
        <w:ind w:firstLine="560"/>
        <w:rPr>
          <w:rFonts w:ascii="仿宋_GB2312"/>
        </w:rPr>
      </w:pPr>
      <w:r>
        <w:rPr>
          <w:rFonts w:hint="eastAsia" w:ascii="仿宋_GB2312"/>
          <w:lang w:val="en-US" w:eastAsia="zh-CN"/>
        </w:rPr>
        <w:t>⑧</w:t>
      </w:r>
      <w:r>
        <w:rPr>
          <w:rFonts w:hint="eastAsia" w:ascii="仿宋_GB2312"/>
        </w:rPr>
        <w:t>2019年3月完成 PPP 项目入库；4月文化传媒公司与市文化和旅游局（市文物局）签订 PPP 项目合同，甲方为市文旅局</w:t>
      </w:r>
      <w:r>
        <w:rPr>
          <w:rFonts w:hint="eastAsia" w:ascii="仿宋_GB2312"/>
          <w:lang w:eastAsia="zh-CN"/>
        </w:rPr>
        <w:t>（原）</w:t>
      </w:r>
      <w:r>
        <w:rPr>
          <w:rFonts w:hint="eastAsia" w:ascii="仿宋_GB2312"/>
        </w:rPr>
        <w:t>，</w:t>
      </w:r>
      <w:r>
        <w:rPr>
          <w:rFonts w:hint="eastAsia" w:ascii="仿宋_GB2312"/>
          <w:lang w:eastAsia="zh-CN"/>
        </w:rPr>
        <w:t>现为市文广旅局，</w:t>
      </w:r>
      <w:r>
        <w:rPr>
          <w:rFonts w:hint="eastAsia" w:ascii="仿宋_GB2312"/>
        </w:rPr>
        <w:t>乙方为文化传媒公司，项目运作方式为 BOO ，甲方负责各项审批、核准、备案手续，乙方负责承担项目的建设、投资、运营和维护职责。6月25日，《关于变更市文化中心项目法人和调整项目建筑面积的函》</w:t>
      </w:r>
      <w:r>
        <w:rPr>
          <w:rFonts w:hint="eastAsia" w:ascii="仿宋_GB2312"/>
          <w:lang w:eastAsia="zh-CN"/>
        </w:rPr>
        <w:t>（</w:t>
      </w:r>
      <w:r>
        <w:rPr>
          <w:rFonts w:hint="eastAsia" w:ascii="仿宋_GB2312"/>
        </w:rPr>
        <w:t>乌发改函</w:t>
      </w:r>
      <w:r>
        <w:rPr>
          <w:rFonts w:hint="eastAsia" w:ascii="方正仿宋_GBK" w:hAnsi="宋体" w:eastAsia="方正仿宋_GBK" w:cs="宋体"/>
          <w:kern w:val="0"/>
          <w:sz w:val="32"/>
          <w:szCs w:val="32"/>
        </w:rPr>
        <w:t>〔</w:t>
      </w:r>
      <w:r>
        <w:rPr>
          <w:rFonts w:hint="eastAsia" w:ascii="仿宋_GB2312"/>
        </w:rPr>
        <w:t>2019</w:t>
      </w:r>
      <w:r>
        <w:rPr>
          <w:rFonts w:hint="eastAsia" w:ascii="方正仿宋_GBK" w:hAnsi="宋体" w:eastAsia="方正仿宋_GBK" w:cs="宋体"/>
          <w:kern w:val="0"/>
          <w:sz w:val="32"/>
          <w:szCs w:val="32"/>
        </w:rPr>
        <w:t>〕</w:t>
      </w:r>
      <w:r>
        <w:rPr>
          <w:rFonts w:hint="eastAsia" w:ascii="仿宋_GB2312"/>
        </w:rPr>
        <w:t>373号</w:t>
      </w:r>
      <w:r>
        <w:rPr>
          <w:rFonts w:hint="eastAsia" w:ascii="仿宋_GB2312"/>
          <w:lang w:eastAsia="zh-CN"/>
        </w:rPr>
        <w:t>），</w:t>
      </w:r>
      <w:r>
        <w:rPr>
          <w:rFonts w:hint="eastAsia" w:ascii="仿宋_GB2312"/>
        </w:rPr>
        <w:t>明确项目法人由原市文化局（市文物局）变更为文化传媒公司；在总投资不变的基础上，将乌鲁木齐市文化中心项目总面积由247980.14平方米增调至256521.42平方米。</w:t>
      </w:r>
    </w:p>
    <w:p w14:paraId="56F85C47">
      <w:pPr>
        <w:spacing w:line="560" w:lineRule="exact"/>
        <w:ind w:firstLine="560"/>
        <w:rPr>
          <w:rFonts w:ascii="仿宋_GB2312"/>
        </w:rPr>
      </w:pPr>
      <w:r>
        <w:rPr>
          <w:rFonts w:ascii="仿宋_GB2312"/>
        </w:rPr>
        <w:t>项目</w:t>
      </w:r>
      <w:r>
        <w:rPr>
          <w:rFonts w:hint="eastAsia" w:ascii="仿宋_GB2312"/>
        </w:rPr>
        <w:t>2024</w:t>
      </w:r>
      <w:r>
        <w:rPr>
          <w:rFonts w:ascii="仿宋_GB2312"/>
        </w:rPr>
        <w:t>年的主要实施内容：</w:t>
      </w:r>
      <w:r>
        <w:rPr>
          <w:rFonts w:hint="eastAsia" w:ascii="仿宋_GB2312"/>
        </w:rPr>
        <w:t>乌鲁木齐市文化中心项目计划2024年在全面做好展陈场馆、演艺场馆、同文书店、中心影城运营，打造演艺+图书+院线品牌的基础上，下大力开展配套商业区对外招商工作。具体目标为：①演出150场;②接待游客120万人次；③开展社会文化活动80场；④提供实习就业岗位10个；⑤演员出勤率达90%；⑥资金到位及时率达90%；社会公众满意度达90%;</w:t>
      </w:r>
    </w:p>
    <w:p w14:paraId="1C0C5B33">
      <w:pPr>
        <w:spacing w:line="560" w:lineRule="exact"/>
        <w:ind w:firstLine="560"/>
        <w:rPr>
          <w:rFonts w:ascii="仿宋_GB2312"/>
        </w:rPr>
      </w:pPr>
      <w:r>
        <w:rPr>
          <w:rFonts w:ascii="仿宋_GB2312"/>
        </w:rPr>
        <w:t>实际完成情况：</w:t>
      </w:r>
      <w:r>
        <w:rPr>
          <w:rFonts w:hint="eastAsia" w:ascii="仿宋_GB2312"/>
        </w:rPr>
        <w:t>乌鲁木齐市文化中心项目2024年成功获评国家级AAA级旅游景区，为文化惠民项目提升整体综合质量、推动服务升级迭代打下坚实基础。一是文化中心紧跟市场需求，不断丰富文化内容和形式，举办市民喜闻乐见的文化活动、展览和演出，文化阵地作用充分发挥；二是积极与自治区文旅厅及市文广旅局对接，已引入中演院线合作，为后续引进高质量、高标准演出提供有力保障。具体指标完成情况为：①演出176场;②接待游客299.7万人次；③开展社会文化活动96场；④提供实习就业岗位10个；⑤演员出勤率达98%；⑥资金到位及时率达100%；社会公众满意度达100%。</w:t>
      </w:r>
    </w:p>
    <w:p w14:paraId="6BDA89A1">
      <w:pPr>
        <w:pStyle w:val="5"/>
        <w:ind w:firstLine="643"/>
      </w:pPr>
      <w:bookmarkStart w:id="5" w:name="_Toc165277223"/>
      <w:r>
        <w:rPr>
          <w:rFonts w:hint="eastAsia"/>
        </w:rPr>
        <w:t>2</w:t>
      </w:r>
      <w:r>
        <w:t>.资金投入和使用情况</w:t>
      </w:r>
      <w:bookmarkEnd w:id="5"/>
    </w:p>
    <w:p w14:paraId="6AF930DD">
      <w:pPr>
        <w:spacing w:line="560" w:lineRule="exact"/>
        <w:ind w:firstLine="560"/>
        <w:rPr>
          <w:rFonts w:ascii="仿宋_GB2312"/>
        </w:rPr>
      </w:pPr>
      <w:r>
        <w:rPr>
          <w:rFonts w:hint="eastAsia" w:ascii="仿宋_GB2312"/>
        </w:rPr>
        <w:t>该项目资金投入情况：经2024年年初预算批复（乌财科教[2024]2号文）批准，项目系</w:t>
      </w:r>
      <w:r>
        <w:rPr>
          <w:rFonts w:ascii="仿宋_GB2312"/>
        </w:rPr>
        <w:t>2024</w:t>
      </w:r>
      <w:r>
        <w:rPr>
          <w:rFonts w:hint="eastAsia" w:ascii="仿宋_GB2312"/>
        </w:rPr>
        <w:t>年市本级预算资金，共安排预算5600万元，于2024年年初预算批复项目。</w:t>
      </w:r>
    </w:p>
    <w:p w14:paraId="260BDF7D">
      <w:pPr>
        <w:spacing w:line="560" w:lineRule="exact"/>
        <w:ind w:firstLine="560"/>
        <w:rPr>
          <w:rFonts w:ascii="仿宋_GB2312"/>
        </w:rPr>
      </w:pPr>
      <w:r>
        <w:rPr>
          <w:rFonts w:hint="eastAsia" w:ascii="仿宋_GB2312"/>
        </w:rPr>
        <w:t>该项目资金使用情况：项目总预算5600万，无年中追加情况，年初一次性下达完毕。资金投入主要为运营成本，包括水电暖气费750万元、物业费1700万元、安保费用250万元、多媒体设备维修费400万元、剧目引进费用400万元、书城运营成本200万元、影城运营成本100万元、人工成本1800万元，共计5600万元。2024年全年执行金额5600万元，预算执行率为100%。</w:t>
      </w:r>
    </w:p>
    <w:p w14:paraId="0D41A061">
      <w:pPr>
        <w:pStyle w:val="4"/>
        <w:ind w:firstLine="643"/>
        <w:rPr>
          <w:rFonts w:ascii="仿宋" w:hAnsi="仿宋" w:eastAsia="仿宋"/>
          <w:lang w:bidi="en-US"/>
        </w:rPr>
      </w:pPr>
      <w:bookmarkStart w:id="6" w:name="_Toc67911603"/>
      <w:bookmarkStart w:id="7" w:name="_Toc165277224"/>
      <w:r>
        <w:rPr>
          <w:rFonts w:hint="eastAsia" w:ascii="仿宋" w:hAnsi="仿宋" w:eastAsia="仿宋"/>
          <w:lang w:bidi="en-US"/>
        </w:rPr>
        <w:t>（二）项目绩效目标：</w:t>
      </w:r>
      <w:bookmarkEnd w:id="6"/>
      <w:bookmarkEnd w:id="7"/>
    </w:p>
    <w:p w14:paraId="70D9DBAD">
      <w:pPr>
        <w:spacing w:line="560" w:lineRule="exact"/>
        <w:ind w:firstLine="560"/>
        <w:rPr>
          <w:rFonts w:ascii="仿宋_GB2312"/>
        </w:rPr>
      </w:pPr>
      <w:r>
        <w:rPr>
          <w:rFonts w:hint="eastAsia" w:ascii="仿宋_GB2312"/>
        </w:rPr>
        <w:t>本项目依据《中共中央 国务院关于全面实施预算绩效管理的意见》（中发〔2018〕34号）、《关于印发&lt;乌鲁木齐市本级部门预算绩效目标管理暂行办法&gt;的通知》（乌财预</w:t>
      </w:r>
      <w:bookmarkStart w:id="8" w:name="_Hlk67566397"/>
      <w:r>
        <w:rPr>
          <w:rFonts w:hint="eastAsia" w:ascii="仿宋_GB2312"/>
        </w:rPr>
        <w:t>〔2018〕56号</w:t>
      </w:r>
      <w:bookmarkEnd w:id="8"/>
      <w:r>
        <w:rPr>
          <w:rFonts w:hint="eastAsia" w:ascii="仿宋_GB2312"/>
        </w:rPr>
        <w:t xml:space="preserve">）、《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时效指标、成本指标、效益指标、满意度指标），以准确、清晰地反映财政资金在使用期所能达到的预期产出和效果。 </w:t>
      </w:r>
    </w:p>
    <w:p w14:paraId="7F75672F">
      <w:pPr>
        <w:spacing w:line="560" w:lineRule="exact"/>
        <w:ind w:firstLine="560"/>
        <w:rPr>
          <w:rFonts w:ascii="仿宋_GB2312"/>
        </w:rPr>
      </w:pPr>
      <w:r>
        <w:rPr>
          <w:rFonts w:hint="eastAsia" w:ascii="仿宋_GB2312"/>
        </w:rPr>
        <w:t>该项目为经常性项目。</w:t>
      </w:r>
    </w:p>
    <w:p w14:paraId="18F37FDC">
      <w:pPr>
        <w:spacing w:line="560" w:lineRule="exact"/>
        <w:ind w:firstLine="560"/>
        <w:rPr>
          <w:rFonts w:ascii="仿宋_GB2312"/>
        </w:rPr>
      </w:pPr>
      <w:r>
        <w:rPr>
          <w:rFonts w:hint="eastAsia" w:ascii="仿宋_GB2312"/>
        </w:rPr>
        <w:t>该项目总体绩效目标：PPP项目总体绩效目标是项目在全生命周期内预期达到的产出和效果。本项目的建设是对新疆本土文化的保护、展示、传承与发展，将成为展示和宣传乌鲁木齐城市形象的重要窗口，为实现首府文化艺术跨越式发展提供有力保证，能够有效缓解乌鲁木齐市文化设施严重滞后的现状，在充分满足广大市民日益增长的精神文化需求的同时对于城市综合发展有着重要意义，也将进一步促进社会稳定和谐发展。</w:t>
      </w:r>
    </w:p>
    <w:p w14:paraId="57E2B502">
      <w:pPr>
        <w:spacing w:line="560" w:lineRule="exact"/>
        <w:ind w:firstLine="560"/>
        <w:rPr>
          <w:rFonts w:ascii="仿宋_GB2312"/>
        </w:rPr>
      </w:pPr>
      <w:r>
        <w:rPr>
          <w:rFonts w:hint="eastAsia" w:ascii="仿宋_GB2312"/>
        </w:rPr>
        <w:t>该项目阶段性目标为：本项目运营期内项目管理、维修维护情况保持良好，每季度、每年度内保证运营内容以及配套设施和地下室的运营管理、安全管理等达到管理要求，且满意度良好，资金使用及管理合规，管理资料保存完好，为提高乌鲁木齐市公共文化服务做好管理工作。具体阶段目标为：①演出150场;②接待游客120万人次；③开展社会文化活动80场；④提供实习就业岗位10个；⑤演员出勤率达90%；⑥社会公众满意度达90%。</w:t>
      </w:r>
    </w:p>
    <w:p w14:paraId="2BA65FE0">
      <w:pPr>
        <w:pStyle w:val="3"/>
        <w:ind w:firstLine="0" w:firstLineChars="0"/>
        <w:jc w:val="left"/>
        <w:rPr>
          <w:rFonts w:ascii="仿宋" w:hAnsi="仿宋" w:eastAsia="仿宋"/>
          <w:sz w:val="36"/>
          <w:szCs w:val="36"/>
          <w:lang w:bidi="en-US"/>
        </w:rPr>
      </w:pPr>
      <w:bookmarkStart w:id="9" w:name="_Toc67911604"/>
      <w:bookmarkStart w:id="10" w:name="_Toc165277225"/>
      <w:r>
        <w:rPr>
          <w:rFonts w:hint="eastAsia" w:ascii="仿宋" w:hAnsi="仿宋" w:eastAsia="仿宋"/>
          <w:sz w:val="36"/>
          <w:szCs w:val="36"/>
          <w:lang w:bidi="en-US"/>
        </w:rPr>
        <w:t>二、绩效评价工作开展情况</w:t>
      </w:r>
      <w:bookmarkEnd w:id="9"/>
      <w:bookmarkEnd w:id="10"/>
    </w:p>
    <w:p w14:paraId="0706E332">
      <w:pPr>
        <w:pStyle w:val="4"/>
        <w:ind w:firstLine="643"/>
        <w:rPr>
          <w:rFonts w:ascii="仿宋" w:hAnsi="仿宋" w:eastAsia="仿宋"/>
          <w:lang w:bidi="en-US"/>
        </w:rPr>
      </w:pPr>
      <w:bookmarkStart w:id="11" w:name="_Toc165277226"/>
      <w:bookmarkStart w:id="12" w:name="_Toc67911605"/>
      <w:r>
        <w:rPr>
          <w:rFonts w:hint="eastAsia" w:ascii="仿宋" w:hAnsi="仿宋" w:eastAsia="仿宋"/>
          <w:lang w:bidi="en-US"/>
        </w:rPr>
        <w:t>（一）绩效评价目的、对象和范围</w:t>
      </w:r>
      <w:bookmarkEnd w:id="11"/>
      <w:bookmarkEnd w:id="12"/>
    </w:p>
    <w:p w14:paraId="33F17E17">
      <w:pPr>
        <w:pStyle w:val="5"/>
        <w:ind w:firstLine="643"/>
      </w:pPr>
      <w:bookmarkStart w:id="13" w:name="_Toc165277227"/>
      <w:r>
        <w:rPr>
          <w:rFonts w:hint="eastAsia"/>
        </w:rPr>
        <w:t>1</w:t>
      </w:r>
      <w:r>
        <w:t>.绩效评价完整性</w:t>
      </w:r>
      <w:bookmarkEnd w:id="13"/>
    </w:p>
    <w:p w14:paraId="3C0738FB">
      <w:pPr>
        <w:spacing w:line="360" w:lineRule="auto"/>
        <w:ind w:firstLine="560"/>
        <w:rPr>
          <w:rFonts w:hint="eastAsia"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14:textFill>
            <w14:solidFill>
              <w14:schemeClr w14:val="tx1"/>
            </w14:solidFill>
          </w14:textFill>
        </w:rPr>
        <w:t>本项目的建设目标是对新疆本土文化的保护、展示、传承与发展，将成为展示和宣传乌鲁木齐城市形象的重要窗口，为实现首府文化艺术跨越式发展提供有力保证，能够有效缓解乌鲁木齐市文化设施严重滞后的现状，充分满足广大市民日益增长的精神文化需求。通过设置的绩效目标，如全年接待人次、开展文化活动等具体指标可以完整体现。</w:t>
      </w:r>
    </w:p>
    <w:p w14:paraId="410719A6">
      <w:pPr>
        <w:spacing w:line="360" w:lineRule="auto"/>
        <w:ind w:firstLine="560"/>
        <w:rPr>
          <w:rFonts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14:textFill>
            <w14:solidFill>
              <w14:schemeClr w14:val="tx1"/>
            </w14:solidFill>
          </w14:textFill>
        </w:rPr>
        <w:t>项目由乌鲁木齐市文化传媒投资有限公司企业运行，通过企业的运营模式和有效管理，更加能够带动文化中心的经济效益。本年项目进展良好，</w:t>
      </w:r>
      <w:r>
        <w:rPr>
          <w:rFonts w:hint="eastAsia" w:ascii="仿宋_GB2312"/>
        </w:rPr>
        <w:t>完成演出176场，接待游客299.7万人次，开展社会文化活动96场，提供实习就业岗位10个，演员出勤率达98%，社会公众满意度达100%。</w:t>
      </w:r>
      <w:r>
        <w:rPr>
          <w:rFonts w:hint="eastAsia" w:ascii="仿宋" w:hAnsi="仿宋" w:eastAsia="仿宋" w:cs="仿宋"/>
          <w:color w:val="000000" w:themeColor="text1"/>
          <w:szCs w:val="40"/>
          <w14:textFill>
            <w14:solidFill>
              <w14:schemeClr w14:val="tx1"/>
            </w14:solidFill>
          </w14:textFill>
        </w:rPr>
        <w:t>评价数据均来源于企业运营日常管理统计数据，具有真实性、可靠性，能够准确的采集到所需数据，对绩效指标进行合理说明和解释。</w:t>
      </w:r>
    </w:p>
    <w:p w14:paraId="1DE93C60">
      <w:pPr>
        <w:pStyle w:val="5"/>
        <w:ind w:firstLine="643"/>
      </w:pPr>
      <w:bookmarkStart w:id="14" w:name="_Toc165277228"/>
      <w:r>
        <w:t>2</w:t>
      </w:r>
      <w:r>
        <w:rPr>
          <w:rFonts w:hint="eastAsia"/>
        </w:rPr>
        <w:t>.评价目的</w:t>
      </w:r>
      <w:bookmarkEnd w:id="14"/>
    </w:p>
    <w:p w14:paraId="69838438">
      <w:pPr>
        <w:spacing w:line="360" w:lineRule="auto"/>
        <w:ind w:firstLine="560"/>
        <w:rPr>
          <w:rFonts w:ascii="仿宋_GB2312"/>
        </w:rPr>
      </w:pPr>
      <w:r>
        <w:rPr>
          <w:rFonts w:hint="eastAsia" w:ascii="仿宋_GB2312"/>
        </w:rPr>
        <w:t>本项工作旨在落实《中共中央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产出指标、成本指标和效益指标等进行深入调研和分析，进一步了解乌鲁木齐市文化中心项目的实施情况，并考察项目实施过程和效果。</w:t>
      </w:r>
    </w:p>
    <w:p w14:paraId="5753B566">
      <w:pPr>
        <w:spacing w:line="360" w:lineRule="auto"/>
        <w:ind w:firstLine="560"/>
        <w:rPr>
          <w:rFonts w:ascii="仿宋_GB2312"/>
          <w:b/>
          <w:bCs/>
        </w:rPr>
      </w:pPr>
      <w:r>
        <w:rPr>
          <w:rFonts w:hint="eastAsia" w:ascii="仿宋_GB2312"/>
        </w:rPr>
        <w:t>（2）通过评价，客观公正反映项目立项科学性、项目管理规范性、项目实施有效性和项目效果，总结项目实施的经验，发现项目实施过程中存在的问题，提高财政资金使用效益。</w:t>
      </w:r>
    </w:p>
    <w:p w14:paraId="6FEA7897">
      <w:pPr>
        <w:pStyle w:val="5"/>
        <w:ind w:firstLine="643"/>
      </w:pPr>
      <w:bookmarkStart w:id="15" w:name="_Toc165277229"/>
      <w:r>
        <w:t>3</w:t>
      </w:r>
      <w:r>
        <w:rPr>
          <w:rFonts w:hint="eastAsia"/>
        </w:rPr>
        <w:t>.评价对象</w:t>
      </w:r>
      <w:bookmarkEnd w:id="15"/>
    </w:p>
    <w:p w14:paraId="6DA89CC9">
      <w:pPr>
        <w:spacing w:line="360" w:lineRule="auto"/>
        <w:ind w:firstLine="560"/>
        <w:rPr>
          <w:rFonts w:ascii="仿宋_GB2312"/>
        </w:rPr>
      </w:pPr>
      <w:r>
        <w:rPr>
          <w:rFonts w:hint="eastAsia" w:ascii="仿宋_GB2312"/>
        </w:rPr>
        <w:t>（1）绩效评价的对象：乌鲁木齐市文化中心项目</w:t>
      </w:r>
      <w:r>
        <w:rPr>
          <w:rFonts w:ascii="仿宋_GB2312"/>
        </w:rPr>
        <w:t xml:space="preserve"> </w:t>
      </w:r>
    </w:p>
    <w:p w14:paraId="0646A2B6">
      <w:pPr>
        <w:pStyle w:val="5"/>
        <w:ind w:firstLine="643"/>
      </w:pPr>
      <w:bookmarkStart w:id="16" w:name="_Toc165277230"/>
      <w:r>
        <w:rPr>
          <w:rFonts w:hint="eastAsia"/>
        </w:rPr>
        <w:t>4</w:t>
      </w:r>
      <w:r>
        <w:t>.</w:t>
      </w:r>
      <w:r>
        <w:rPr>
          <w:rFonts w:hint="eastAsia"/>
        </w:rPr>
        <w:t>绩效评价范围</w:t>
      </w:r>
      <w:bookmarkEnd w:id="16"/>
    </w:p>
    <w:p w14:paraId="406AFD96">
      <w:pPr>
        <w:spacing w:line="360" w:lineRule="auto"/>
        <w:ind w:firstLine="560"/>
        <w:rPr>
          <w:rFonts w:ascii="仿宋_GB2312"/>
        </w:rPr>
      </w:pPr>
      <w:r>
        <w:rPr>
          <w:rFonts w:ascii="仿宋_GB2312"/>
        </w:rPr>
        <w:t>1.</w:t>
      </w:r>
      <w:r>
        <w:rPr>
          <w:rFonts w:hint="eastAsia" w:ascii="仿宋_GB2312"/>
        </w:rPr>
        <w:t>时间范围：2024年1月1日至2024年1</w:t>
      </w:r>
      <w:r>
        <w:rPr>
          <w:rFonts w:ascii="仿宋_GB2312"/>
        </w:rPr>
        <w:t>2</w:t>
      </w:r>
      <w:r>
        <w:rPr>
          <w:rFonts w:hint="eastAsia" w:ascii="仿宋_GB2312"/>
        </w:rPr>
        <w:t>月3</w:t>
      </w:r>
      <w:r>
        <w:rPr>
          <w:rFonts w:ascii="仿宋_GB2312"/>
        </w:rPr>
        <w:t>1</w:t>
      </w:r>
      <w:r>
        <w:rPr>
          <w:rFonts w:hint="eastAsia" w:ascii="仿宋_GB2312"/>
        </w:rPr>
        <w:t>日。</w:t>
      </w:r>
    </w:p>
    <w:p w14:paraId="547E2D8F">
      <w:pPr>
        <w:spacing w:line="560" w:lineRule="exact"/>
        <w:ind w:firstLine="560"/>
        <w:rPr>
          <w:rFonts w:hint="eastAsia" w:ascii="仿宋_GB2312"/>
        </w:rPr>
      </w:pPr>
      <w:r>
        <w:rPr>
          <w:rFonts w:ascii="仿宋_GB2312"/>
        </w:rPr>
        <w:t>2.</w:t>
      </w:r>
      <w:r>
        <w:rPr>
          <w:rFonts w:hint="eastAsia" w:ascii="仿宋_GB2312"/>
        </w:rPr>
        <w:t>项目范围：文化中心</w:t>
      </w:r>
      <w:r>
        <w:rPr>
          <w:rFonts w:hint="eastAsia" w:ascii="仿宋" w:hAnsi="仿宋" w:eastAsia="仿宋" w:cs="仿宋"/>
          <w:color w:val="000000" w:themeColor="text1"/>
          <w:szCs w:val="40"/>
          <w14:textFill>
            <w14:solidFill>
              <w14:schemeClr w14:val="tx1"/>
            </w14:solidFill>
          </w14:textFill>
        </w:rPr>
        <w:t>位于乌鲁木齐市会展中心片区，包括六馆一中心及相关配套设施等工程，总建筑面积247980.14平方米。大剧院建筑面积48659.71平方米，主要建设内容包括入口大厅、观众厅、舞台、排练厅、化妆间、贵宾区域、业务区域、乐队休息区、配套库房区、主台、舞美绘景制作区域、卸货区、设备空间、交通空间及其配套设施。音乐厅建筑面积23399.22平方米，主要建设内容包括音乐厅、多功能小剧场、培训、练习区、业务区域。图书城建筑面积29921.45平方米，主要建设内容包括图文展销区、仓储区、公共阅览区、后勤保障区。博物馆建筑面积25579.82平方米，主要建设内容包括陈列区、藏品库区及技术用房、业务区、观众服务区。文化馆行使美术馆功能，建筑面积33770平方米，主要建设内容包括群众活动用房、业务用房、管理用房、辅助用房、美术展览、建通功能。城市规划馆建筑面积28922.20平方米，主要建设内容包括序厅、展览区、综合配套维护工作区、规划专业会议报告区。花蕊文化塔建筑面积844.23平方米，主要建设内容包括平台层、应急会议室、监控指挥中</w:t>
      </w:r>
      <w:r>
        <w:rPr>
          <w:rFonts w:hint="eastAsia" w:ascii="仿宋_GB2312"/>
        </w:rPr>
        <w:t>心、智能机房、观景平台、消防控制室等。</w:t>
      </w:r>
    </w:p>
    <w:p w14:paraId="1168FC36">
      <w:pPr>
        <w:pStyle w:val="2"/>
        <w:spacing w:line="560" w:lineRule="exact"/>
        <w:ind w:firstLine="560"/>
        <w:rPr>
          <w:rFonts w:hint="eastAsia" w:ascii="仿宋_GB2312" w:eastAsia="仿宋_GB2312"/>
          <w:color w:val="auto"/>
          <w:lang w:eastAsia="zh-CN"/>
        </w:rPr>
      </w:pPr>
      <w:r>
        <w:rPr>
          <w:rFonts w:hint="eastAsia" w:ascii="仿宋_GB2312"/>
          <w:color w:val="auto"/>
        </w:rPr>
        <w:t>绩效评价工作开展情况</w:t>
      </w:r>
      <w:r>
        <w:rPr>
          <w:rFonts w:hint="eastAsia" w:ascii="仿宋_GB2312"/>
          <w:color w:val="auto"/>
          <w:lang w:eastAsia="zh-CN"/>
        </w:rPr>
        <w:t>：</w:t>
      </w:r>
    </w:p>
    <w:p w14:paraId="4F874DBB">
      <w:pPr>
        <w:pStyle w:val="2"/>
        <w:spacing w:line="560" w:lineRule="exact"/>
        <w:ind w:firstLine="560"/>
        <w:rPr>
          <w:rFonts w:hint="eastAsia" w:ascii="仿宋_GB2312"/>
          <w:color w:val="auto"/>
        </w:rPr>
      </w:pPr>
      <w:r>
        <w:rPr>
          <w:rFonts w:hint="eastAsia" w:ascii="仿宋_GB2312"/>
          <w:color w:val="auto"/>
        </w:rPr>
        <w:t xml:space="preserve">为确保乌鲁木齐文化中心PPP项目财政资金使用的规范性、经济性和有效性，本次绩效评价工作严格按照财政部《项目支出绩效评价管理办法》（财预〔2020〕10号）及《政府和社会资本合作（PPP）项目绩效管理操作指引》的要求，科学组织、系统实施，具体开展情况如下：  </w:t>
      </w:r>
    </w:p>
    <w:p w14:paraId="3AE8AE9F">
      <w:pPr>
        <w:pStyle w:val="2"/>
        <w:spacing w:line="560" w:lineRule="exact"/>
        <w:ind w:firstLine="560"/>
        <w:rPr>
          <w:rFonts w:hint="eastAsia" w:ascii="仿宋_GB2312"/>
          <w:color w:val="auto"/>
        </w:rPr>
      </w:pPr>
      <w:r>
        <w:rPr>
          <w:rFonts w:hint="eastAsia" w:ascii="仿宋_GB2312"/>
          <w:color w:val="auto"/>
        </w:rPr>
        <w:t xml:space="preserve">#1. 前期准备阶段  </w:t>
      </w:r>
    </w:p>
    <w:p w14:paraId="0713E905">
      <w:pPr>
        <w:pStyle w:val="2"/>
        <w:spacing w:line="560" w:lineRule="exact"/>
        <w:ind w:firstLine="560"/>
        <w:rPr>
          <w:rFonts w:hint="eastAsia" w:ascii="仿宋_GB2312"/>
          <w:color w:val="auto"/>
        </w:rPr>
      </w:pPr>
      <w:r>
        <w:rPr>
          <w:rFonts w:hint="eastAsia" w:ascii="仿宋_GB2312"/>
          <w:color w:val="auto"/>
        </w:rPr>
        <w:t xml:space="preserve">组建评价工作组：由乌鲁木齐市财政局牵头，联合第三方绩效评价机构及行业专家成立专项评价组，明确职责分工，确保评价工作的独立性和专业性。  </w:t>
      </w:r>
    </w:p>
    <w:p w14:paraId="39E6B94C">
      <w:pPr>
        <w:pStyle w:val="2"/>
        <w:spacing w:line="560" w:lineRule="exact"/>
        <w:ind w:firstLine="560"/>
        <w:rPr>
          <w:rFonts w:hint="eastAsia" w:ascii="仿宋_GB2312"/>
          <w:color w:val="auto"/>
        </w:rPr>
      </w:pPr>
      <w:r>
        <w:rPr>
          <w:rFonts w:hint="eastAsia" w:ascii="仿宋_GB2312"/>
          <w:color w:val="auto"/>
        </w:rPr>
        <w:t xml:space="preserve">制定评价方案：结合项目特点，细化评价指标体系，涵盖产出、效益、管理、可持续性四大维度。  </w:t>
      </w:r>
    </w:p>
    <w:p w14:paraId="1B934C96">
      <w:pPr>
        <w:pStyle w:val="2"/>
        <w:spacing w:line="560" w:lineRule="exact"/>
        <w:ind w:firstLine="560"/>
        <w:rPr>
          <w:rFonts w:hint="eastAsia" w:ascii="仿宋_GB2312"/>
          <w:color w:val="auto"/>
        </w:rPr>
      </w:pPr>
      <w:r>
        <w:rPr>
          <w:rFonts w:hint="eastAsia" w:ascii="仿宋_GB2312"/>
          <w:color w:val="auto"/>
        </w:rPr>
        <w:t xml:space="preserve">#2. 数据采集与分析阶段  </w:t>
      </w:r>
    </w:p>
    <w:p w14:paraId="5E31E92E">
      <w:pPr>
        <w:pStyle w:val="2"/>
        <w:spacing w:line="560" w:lineRule="exact"/>
        <w:ind w:firstLine="560"/>
        <w:rPr>
          <w:rFonts w:hint="eastAsia" w:ascii="仿宋_GB2312"/>
          <w:color w:val="auto"/>
        </w:rPr>
      </w:pPr>
      <w:r>
        <w:rPr>
          <w:rFonts w:hint="eastAsia" w:ascii="仿宋_GB2312"/>
          <w:color w:val="auto"/>
        </w:rPr>
        <w:t xml:space="preserve">实地调研与核查：评价组赴文化中心现场考察，重点核查场馆开放情况、设施维护状况及活动举办记录，确保数据真实可靠。  </w:t>
      </w:r>
    </w:p>
    <w:p w14:paraId="1BDDE989">
      <w:pPr>
        <w:pStyle w:val="2"/>
        <w:spacing w:line="560" w:lineRule="exact"/>
        <w:ind w:firstLine="560"/>
        <w:rPr>
          <w:rFonts w:hint="eastAsia" w:ascii="仿宋_GB2312"/>
          <w:color w:val="auto"/>
        </w:rPr>
      </w:pPr>
      <w:r>
        <w:rPr>
          <w:rFonts w:hint="eastAsia" w:ascii="仿宋_GB2312"/>
          <w:color w:val="auto"/>
        </w:rPr>
        <w:t xml:space="preserve">财务与绩效数据分析：结合项目年度审计报告、财政资金拨付记录等，分析成本控制、资金使用效率及目标达成情况。  </w:t>
      </w:r>
    </w:p>
    <w:p w14:paraId="0BABE19A">
      <w:pPr>
        <w:pStyle w:val="2"/>
        <w:spacing w:line="560" w:lineRule="exact"/>
        <w:ind w:firstLine="560"/>
        <w:rPr>
          <w:rFonts w:hint="eastAsia" w:ascii="仿宋_GB2312"/>
          <w:color w:val="auto"/>
        </w:rPr>
      </w:pPr>
      <w:r>
        <w:rPr>
          <w:rFonts w:hint="eastAsia" w:ascii="仿宋_GB2312"/>
          <w:color w:val="auto"/>
        </w:rPr>
        <w:t xml:space="preserve">#3. 综合评价与结果形成阶段  </w:t>
      </w:r>
    </w:p>
    <w:p w14:paraId="6DA707D6">
      <w:pPr>
        <w:pStyle w:val="2"/>
        <w:spacing w:line="560" w:lineRule="exact"/>
        <w:ind w:firstLine="560"/>
        <w:rPr>
          <w:rFonts w:hint="eastAsia" w:ascii="仿宋_GB2312"/>
          <w:color w:val="auto"/>
        </w:rPr>
      </w:pPr>
      <w:r>
        <w:rPr>
          <w:rFonts w:hint="eastAsia" w:ascii="仿宋_GB2312"/>
          <w:color w:val="auto"/>
        </w:rPr>
        <w:t xml:space="preserve">专家评审论证：召开绩效评价专家评审会，对初步评价结果进行质询和论证，确保评分客观公正。  </w:t>
      </w:r>
    </w:p>
    <w:p w14:paraId="2BFEF314">
      <w:pPr>
        <w:pStyle w:val="2"/>
        <w:spacing w:line="560" w:lineRule="exact"/>
        <w:ind w:firstLine="560"/>
        <w:rPr>
          <w:rFonts w:hint="eastAsia" w:ascii="仿宋_GB2312"/>
          <w:color w:val="auto"/>
        </w:rPr>
      </w:pPr>
      <w:r>
        <w:rPr>
          <w:rFonts w:hint="eastAsia" w:ascii="仿宋_GB2312"/>
          <w:color w:val="auto"/>
        </w:rPr>
        <w:t xml:space="preserve">问题反馈与整改建议：针对评价过程中发现的个别设施利用率不足、部分活动宣传力度待提升等问题，提出针对性优化建议，并督促项目公司落实整改。  </w:t>
      </w:r>
    </w:p>
    <w:p w14:paraId="2C5F78C9">
      <w:pPr>
        <w:pStyle w:val="2"/>
        <w:spacing w:line="560" w:lineRule="exact"/>
        <w:ind w:firstLine="560"/>
        <w:rPr>
          <w:rFonts w:hint="eastAsia" w:ascii="仿宋_GB2312"/>
          <w:color w:val="auto"/>
        </w:rPr>
      </w:pPr>
      <w:r>
        <w:rPr>
          <w:rFonts w:hint="eastAsia" w:ascii="仿宋_GB2312"/>
          <w:color w:val="auto"/>
        </w:rPr>
        <w:t xml:space="preserve">报告编制与结果应用：形成最终绩效评价报告，评定项目绩效等级为“优”，并将评价结果作为后续财政预算安排及PPP合同履约付费的重要依据。  </w:t>
      </w:r>
    </w:p>
    <w:p w14:paraId="50BDEB74">
      <w:pPr>
        <w:pStyle w:val="2"/>
        <w:spacing w:line="560" w:lineRule="exact"/>
        <w:ind w:firstLine="560"/>
        <w:rPr>
          <w:rFonts w:hint="eastAsia" w:ascii="仿宋_GB2312"/>
          <w:color w:val="auto"/>
        </w:rPr>
      </w:pPr>
      <w:r>
        <w:rPr>
          <w:rFonts w:hint="eastAsia" w:ascii="仿宋_GB2312"/>
          <w:color w:val="auto"/>
        </w:rPr>
        <w:t>本次绩效评价工作坚持“科学规范、客观公正、注重实效”的原则，通过定量与定性相结合的方式，全面评估了项目的综合效益，为提升政府资金使用效率和公共服务质量提供了有力支撑。</w:t>
      </w:r>
    </w:p>
    <w:p w14:paraId="7BE63284">
      <w:pPr>
        <w:pStyle w:val="2"/>
        <w:spacing w:line="560" w:lineRule="exact"/>
        <w:ind w:firstLine="560"/>
        <w:rPr>
          <w:rFonts w:hint="eastAsia" w:ascii="仿宋_GB2312"/>
        </w:rPr>
      </w:pPr>
      <w:r>
        <w:rPr>
          <w:rFonts w:hint="eastAsia" w:ascii="仿宋_GB2312"/>
        </w:rPr>
        <w:t>项目实现的产出情况：2024年文化中心成功获评国家级AAA级旅游景区，为文化惠民项目提升整体综合质量、推动服务升级迭代打下坚实基础。一是文化中心紧跟市场需求，不断丰富文化内容和形式，举办市民喜闻乐见的文化活动成功演出176场，接待游客299.7万人次</w:t>
      </w:r>
      <w:r>
        <w:rPr>
          <w:rFonts w:hint="eastAsia" w:ascii="仿宋_GB2312"/>
          <w:lang w:eastAsia="zh-CN"/>
        </w:rPr>
        <w:t>；</w:t>
      </w:r>
      <w:r>
        <w:rPr>
          <w:rFonts w:hint="eastAsia" w:ascii="仿宋_GB2312"/>
        </w:rPr>
        <w:t>二是积极与自治区文旅厅及市文广旅局对接，已引入中演院线合作，为后续引进高质量、高标准演出提供有力保障。</w:t>
      </w:r>
    </w:p>
    <w:p w14:paraId="6A872997">
      <w:pPr>
        <w:pStyle w:val="2"/>
        <w:spacing w:line="560" w:lineRule="exact"/>
        <w:ind w:firstLine="560"/>
        <w:rPr>
          <w:rFonts w:hint="eastAsia" w:ascii="仿宋_GB2312"/>
        </w:rPr>
      </w:pPr>
      <w:r>
        <w:rPr>
          <w:rFonts w:hint="eastAsia" w:ascii="仿宋_GB2312"/>
        </w:rPr>
        <w:t>取得的效益情况：</w:t>
      </w:r>
      <w:r>
        <w:rPr>
          <w:rFonts w:hint="eastAsia" w:ascii="仿宋" w:hAnsi="仿宋" w:eastAsia="仿宋" w:cs="仿宋"/>
          <w:color w:val="000000" w:themeColor="text1"/>
          <w:szCs w:val="40"/>
          <w14:textFill>
            <w14:solidFill>
              <w14:schemeClr w14:val="tx1"/>
            </w14:solidFill>
          </w14:textFill>
        </w:rPr>
        <w:t>本项目的建设是对新疆本土文化的保护、展示、传承与发展，将成为展示和宣传乌鲁木齐城市形象的重要窗口，为实现首府文化艺术跨越式发展提供有力保证，能够有效缓解乌鲁木齐市文化设施严重滞后的现状，在充分满足广大市民日益增长的精神文化需求的同时对于城市综合发展有着重要意义，也将进一步促进社会稳定和谐发展。</w:t>
      </w:r>
    </w:p>
    <w:p w14:paraId="6CD2E226">
      <w:pPr>
        <w:pStyle w:val="2"/>
        <w:spacing w:line="560" w:lineRule="exact"/>
        <w:ind w:firstLine="560"/>
        <w:rPr>
          <w:rFonts w:hint="eastAsia" w:ascii="仿宋" w:hAnsi="仿宋" w:eastAsia="仿宋"/>
          <w:lang w:bidi="en-US"/>
        </w:rPr>
      </w:pPr>
      <w:r>
        <w:rPr>
          <w:rFonts w:hint="eastAsia" w:ascii="仿宋" w:hAnsi="仿宋" w:eastAsia="仿宋"/>
          <w:lang w:bidi="en-US"/>
        </w:rPr>
        <w:t>主要经验及做法：</w:t>
      </w:r>
    </w:p>
    <w:p w14:paraId="765A9B7D">
      <w:pPr>
        <w:pStyle w:val="2"/>
        <w:spacing w:line="560" w:lineRule="exact"/>
        <w:ind w:firstLine="560"/>
        <w:rPr>
          <w:rFonts w:hint="eastAsia"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lang w:val="en-US" w:eastAsia="zh-CN"/>
          <w14:textFill>
            <w14:solidFill>
              <w14:schemeClr w14:val="tx1"/>
            </w14:solidFill>
          </w14:textFill>
        </w:rPr>
        <w:t>①</w:t>
      </w:r>
      <w:r>
        <w:rPr>
          <w:rFonts w:hint="eastAsia" w:ascii="仿宋" w:hAnsi="仿宋" w:eastAsia="仿宋" w:cs="仿宋"/>
          <w:color w:val="000000" w:themeColor="text1"/>
          <w:szCs w:val="40"/>
          <w14:textFill>
            <w14:solidFill>
              <w14:schemeClr w14:val="tx1"/>
            </w14:solidFill>
          </w14:textFill>
        </w:rPr>
        <w:t xml:space="preserve">强化全生命周期绩效管理  </w:t>
      </w:r>
    </w:p>
    <w:p w14:paraId="3EF8F9F3">
      <w:pPr>
        <w:pStyle w:val="2"/>
        <w:spacing w:line="560" w:lineRule="exact"/>
        <w:ind w:firstLine="560"/>
        <w:rPr>
          <w:rFonts w:hint="eastAsia" w:ascii="仿宋" w:hAnsi="仿宋" w:eastAsia="仿宋" w:cs="仿宋"/>
          <w:color w:val="000000" w:themeColor="text1"/>
          <w:szCs w:val="40"/>
          <w:lang w:eastAsia="zh-CN"/>
          <w14:textFill>
            <w14:solidFill>
              <w14:schemeClr w14:val="tx1"/>
            </w14:solidFill>
          </w14:textFill>
        </w:rPr>
      </w:pPr>
      <w:r>
        <w:rPr>
          <w:rFonts w:hint="eastAsia" w:ascii="仿宋" w:hAnsi="仿宋" w:eastAsia="仿宋" w:cs="仿宋"/>
          <w:color w:val="000000" w:themeColor="text1"/>
          <w:szCs w:val="40"/>
          <w14:textFill>
            <w14:solidFill>
              <w14:schemeClr w14:val="tx1"/>
            </w14:solidFill>
          </w14:textFill>
        </w:rPr>
        <w:t>将绩效评价贯穿项目全流程，明确各阶段绩效目标与评价指标</w:t>
      </w:r>
      <w:r>
        <w:rPr>
          <w:rFonts w:hint="eastAsia" w:ascii="仿宋" w:hAnsi="仿宋" w:eastAsia="仿宋" w:cs="仿宋"/>
          <w:color w:val="000000" w:themeColor="text1"/>
          <w:szCs w:val="40"/>
          <w:lang w:eastAsia="zh-CN"/>
          <w14:textFill>
            <w14:solidFill>
              <w14:schemeClr w14:val="tx1"/>
            </w14:solidFill>
          </w14:textFill>
        </w:rPr>
        <w:t>。</w:t>
      </w:r>
    </w:p>
    <w:p w14:paraId="1DED8DA4">
      <w:pPr>
        <w:pStyle w:val="2"/>
        <w:spacing w:line="560" w:lineRule="exact"/>
        <w:ind w:firstLine="560"/>
        <w:rPr>
          <w:rFonts w:hint="eastAsia"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14:textFill>
            <w14:solidFill>
              <w14:schemeClr w14:val="tx1"/>
            </w14:solidFill>
          </w14:textFill>
        </w:rPr>
        <w:t>通过定期监测（如季度考核）与动态调整机制，确保项目目标与财政资金使用效益相匹配。</w:t>
      </w:r>
    </w:p>
    <w:p w14:paraId="6BDDDC2E">
      <w:pPr>
        <w:pStyle w:val="2"/>
        <w:spacing w:line="560" w:lineRule="exact"/>
        <w:ind w:firstLine="560"/>
        <w:rPr>
          <w:rFonts w:hint="eastAsia"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lang w:val="en-US" w:eastAsia="zh-CN"/>
          <w14:textFill>
            <w14:solidFill>
              <w14:schemeClr w14:val="tx1"/>
            </w14:solidFill>
          </w14:textFill>
        </w:rPr>
        <w:t>②</w:t>
      </w:r>
      <w:r>
        <w:rPr>
          <w:rFonts w:hint="eastAsia" w:ascii="仿宋" w:hAnsi="仿宋" w:eastAsia="仿宋" w:cs="仿宋"/>
          <w:color w:val="000000" w:themeColor="text1"/>
          <w:szCs w:val="40"/>
          <w14:textFill>
            <w14:solidFill>
              <w14:schemeClr w14:val="tx1"/>
            </w14:solidFill>
          </w14:textFill>
        </w:rPr>
        <w:t xml:space="preserve">科学构建绩效指标体系  </w:t>
      </w:r>
    </w:p>
    <w:p w14:paraId="1660EDB4">
      <w:pPr>
        <w:pStyle w:val="2"/>
        <w:spacing w:line="560" w:lineRule="exact"/>
        <w:ind w:firstLine="560"/>
        <w:rPr>
          <w:rFonts w:hint="eastAsia"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14:textFill>
            <w14:solidFill>
              <w14:schemeClr w14:val="tx1"/>
            </w14:solidFill>
          </w14:textFill>
        </w:rPr>
        <w:t>设置产出、效果、管理、可持续性四类指标，突出文化惠民属性（如场馆利用率、文化活动场次、公众满意度≥90%</w:t>
      </w:r>
      <w:r>
        <w:rPr>
          <w:rFonts w:hint="eastAsia" w:ascii="仿宋" w:hAnsi="仿宋" w:eastAsia="仿宋" w:cs="仿宋"/>
          <w:color w:val="000000" w:themeColor="text1"/>
          <w:szCs w:val="40"/>
          <w:lang w:val="en-US" w:eastAsia="zh-CN"/>
          <w14:textFill>
            <w14:solidFill>
              <w14:schemeClr w14:val="tx1"/>
            </w14:solidFill>
          </w14:textFill>
        </w:rPr>
        <w:t>等</w:t>
      </w:r>
      <w:r>
        <w:rPr>
          <w:rFonts w:hint="eastAsia" w:ascii="仿宋" w:hAnsi="仿宋" w:eastAsia="仿宋" w:cs="仿宋"/>
          <w:color w:val="000000" w:themeColor="text1"/>
          <w:szCs w:val="40"/>
          <w14:textFill>
            <w14:solidFill>
              <w14:schemeClr w14:val="tx1"/>
            </w14:solidFill>
          </w14:textFill>
        </w:rPr>
        <w:t xml:space="preserve">）。  </w:t>
      </w:r>
    </w:p>
    <w:p w14:paraId="0AFDFF13">
      <w:pPr>
        <w:pStyle w:val="2"/>
        <w:spacing w:line="560" w:lineRule="exact"/>
        <w:ind w:firstLine="560"/>
        <w:rPr>
          <w:rFonts w:hint="eastAsia"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lang w:val="en-US" w:eastAsia="zh-CN"/>
          <w14:textFill>
            <w14:solidFill>
              <w14:schemeClr w14:val="tx1"/>
            </w14:solidFill>
          </w14:textFill>
        </w:rPr>
        <w:t>③</w:t>
      </w:r>
      <w:r>
        <w:rPr>
          <w:rFonts w:hint="eastAsia" w:ascii="仿宋" w:hAnsi="仿宋" w:eastAsia="仿宋" w:cs="仿宋"/>
          <w:color w:val="000000" w:themeColor="text1"/>
          <w:szCs w:val="40"/>
          <w14:textFill>
            <w14:solidFill>
              <w14:schemeClr w14:val="tx1"/>
            </w14:solidFill>
          </w14:textFill>
        </w:rPr>
        <w:t xml:space="preserve">风险共担与激励相容机制  </w:t>
      </w:r>
    </w:p>
    <w:p w14:paraId="3FDA5BCB">
      <w:pPr>
        <w:pStyle w:val="2"/>
        <w:spacing w:line="560" w:lineRule="exact"/>
        <w:ind w:firstLine="560"/>
        <w:rPr>
          <w:rFonts w:hint="eastAsia"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14:textFill>
            <w14:solidFill>
              <w14:schemeClr w14:val="tx1"/>
            </w14:solidFill>
          </w14:textFill>
        </w:rPr>
        <w:t xml:space="preserve">通过PPP合同约定社会资本方承担建设超支风险，政府方兜底最低需求风险，实现风险最优分配。  </w:t>
      </w:r>
    </w:p>
    <w:p w14:paraId="6C4DC9A8">
      <w:pPr>
        <w:pStyle w:val="2"/>
        <w:spacing w:line="560" w:lineRule="exact"/>
        <w:ind w:firstLine="560"/>
        <w:rPr>
          <w:rFonts w:hint="eastAsia"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lang w:val="en-US" w:eastAsia="zh-CN"/>
          <w14:textFill>
            <w14:solidFill>
              <w14:schemeClr w14:val="tx1"/>
            </w14:solidFill>
          </w14:textFill>
        </w:rPr>
        <w:t>④</w:t>
      </w:r>
      <w:r>
        <w:rPr>
          <w:rFonts w:hint="eastAsia" w:ascii="仿宋" w:hAnsi="仿宋" w:eastAsia="仿宋" w:cs="仿宋"/>
          <w:color w:val="000000" w:themeColor="text1"/>
          <w:szCs w:val="40"/>
          <w14:textFill>
            <w14:solidFill>
              <w14:schemeClr w14:val="tx1"/>
            </w14:solidFill>
          </w14:textFill>
        </w:rPr>
        <w:t xml:space="preserve">特色创新举措  </w:t>
      </w:r>
    </w:p>
    <w:p w14:paraId="0CE2BBD4">
      <w:pPr>
        <w:pStyle w:val="2"/>
        <w:spacing w:line="560" w:lineRule="exact"/>
        <w:ind w:firstLine="560"/>
        <w:rPr>
          <w:rFonts w:hint="eastAsia"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lang w:val="en-US" w:eastAsia="zh-CN"/>
          <w14:textFill>
            <w14:solidFill>
              <w14:schemeClr w14:val="tx1"/>
            </w14:solidFill>
          </w14:textFill>
        </w:rPr>
        <w:t>扶持资金申请</w:t>
      </w:r>
      <w:r>
        <w:rPr>
          <w:rFonts w:hint="eastAsia" w:ascii="仿宋" w:hAnsi="仿宋" w:eastAsia="仿宋" w:cs="仿宋"/>
          <w:color w:val="000000" w:themeColor="text1"/>
          <w:szCs w:val="40"/>
          <w14:textFill>
            <w14:solidFill>
              <w14:schemeClr w14:val="tx1"/>
            </w14:solidFill>
          </w14:textFill>
        </w:rPr>
        <w:t>：</w:t>
      </w:r>
      <w:r>
        <w:rPr>
          <w:rFonts w:hint="eastAsia" w:ascii="仿宋" w:hAnsi="仿宋" w:eastAsia="仿宋" w:cs="仿宋"/>
          <w:color w:val="000000" w:themeColor="text1"/>
          <w:szCs w:val="40"/>
          <w:lang w:val="en-US" w:eastAsia="zh-CN"/>
          <w14:textFill>
            <w14:solidFill>
              <w14:schemeClr w14:val="tx1"/>
            </w14:solidFill>
          </w14:textFill>
        </w:rPr>
        <w:t>取得2024年度自治区文化产业发展专项扶持资金90万元</w:t>
      </w:r>
      <w:r>
        <w:rPr>
          <w:rFonts w:hint="eastAsia" w:ascii="仿宋" w:hAnsi="仿宋" w:eastAsia="仿宋" w:cs="仿宋"/>
          <w:color w:val="000000" w:themeColor="text1"/>
          <w:szCs w:val="40"/>
          <w14:textFill>
            <w14:solidFill>
              <w14:schemeClr w14:val="tx1"/>
            </w14:solidFill>
          </w14:textFill>
        </w:rPr>
        <w:t xml:space="preserve">。  </w:t>
      </w:r>
    </w:p>
    <w:p w14:paraId="348539C5">
      <w:pPr>
        <w:pStyle w:val="2"/>
        <w:spacing w:line="560" w:lineRule="exact"/>
        <w:ind w:firstLine="560"/>
        <w:rPr>
          <w:rFonts w:hint="eastAsia"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lang w:val="en-US" w:eastAsia="zh-CN"/>
          <w14:textFill>
            <w14:solidFill>
              <w14:schemeClr w14:val="tx1"/>
            </w14:solidFill>
          </w14:textFill>
        </w:rPr>
        <w:t>节能降耗</w:t>
      </w:r>
      <w:r>
        <w:rPr>
          <w:rFonts w:hint="eastAsia" w:ascii="仿宋" w:hAnsi="仿宋" w:eastAsia="仿宋" w:cs="仿宋"/>
          <w:color w:val="000000" w:themeColor="text1"/>
          <w:szCs w:val="40"/>
          <w14:textFill>
            <w14:solidFill>
              <w14:schemeClr w14:val="tx1"/>
            </w14:solidFill>
          </w14:textFill>
        </w:rPr>
        <w:t>：</w:t>
      </w:r>
      <w:r>
        <w:rPr>
          <w:rFonts w:hint="eastAsia" w:ascii="仿宋" w:hAnsi="仿宋" w:eastAsia="仿宋" w:cs="仿宋"/>
          <w:color w:val="000000" w:themeColor="text1"/>
          <w:szCs w:val="40"/>
          <w:lang w:val="en-US" w:eastAsia="zh-CN"/>
          <w14:textFill>
            <w14:solidFill>
              <w14:schemeClr w14:val="tx1"/>
            </w14:solidFill>
          </w14:textFill>
        </w:rPr>
        <w:t>水电暖等能耗费用低于上一年度支出金额，实现成本节约、降本增效</w:t>
      </w:r>
      <w:r>
        <w:rPr>
          <w:rFonts w:hint="eastAsia" w:ascii="仿宋" w:hAnsi="仿宋" w:eastAsia="仿宋" w:cs="仿宋"/>
          <w:color w:val="000000" w:themeColor="text1"/>
          <w:szCs w:val="40"/>
          <w14:textFill>
            <w14:solidFill>
              <w14:schemeClr w14:val="tx1"/>
            </w14:solidFill>
          </w14:textFill>
        </w:rPr>
        <w:t>。</w:t>
      </w:r>
    </w:p>
    <w:p w14:paraId="19D61583">
      <w:pPr>
        <w:pStyle w:val="2"/>
        <w:spacing w:line="560" w:lineRule="exact"/>
        <w:ind w:firstLine="560"/>
        <w:rPr>
          <w:rFonts w:ascii="仿宋_GB2312"/>
        </w:rPr>
      </w:pPr>
      <w:r>
        <w:rPr>
          <w:rFonts w:hint="eastAsia" w:ascii="仿宋" w:hAnsi="仿宋" w:eastAsia="仿宋"/>
          <w:lang w:bidi="en-US"/>
        </w:rPr>
        <w:t>存在的问题及原因分析：1.</w:t>
      </w:r>
      <w:r>
        <w:rPr>
          <w:rFonts w:hint="eastAsia" w:ascii="仿宋" w:hAnsi="仿宋" w:eastAsia="仿宋" w:cs="仿宋"/>
          <w:color w:val="000000" w:themeColor="text1"/>
          <w:szCs w:val="40"/>
          <w14:textFill>
            <w14:solidFill>
              <w14:schemeClr w14:val="tx1"/>
            </w14:solidFill>
          </w14:textFill>
        </w:rPr>
        <w:t>档案管理仍需进一步强化。经评价小组资料查验，本项目工程档案资料管理应进一步完善整改及时性、完备性等方面；检查过程中，部分档案材料内容不齐全，存在缺失现象。文化中心物业服务公司在运营过程中，开展项目档案管理等具体工作中有待进一步加强改进。2.重点区域、部位安保巡查力度不足。经评价小组及行业专家资料查验，本项目针对重点区域、部位的巡查次数为每日3-5次，考核标准中要求对重点区域、部位每两小时至少进行1次巡查工作，巡查次数不足。同时，文化中心内部分监控系统运行情况有待完善，部分监控系统尚未完全运转。3.部分场馆破损处修缮不够及时。经评价小组现场实地调研，发现部分场馆内部存在地砖、墙面、吊顶破损的现象，部分墙面只进行初步处理，未能及时维修使其恢复原样，另有部分破损点实地调研时依然处于破损待修复状态，文化中心物业服务公司在运营过程中维护检查力度不足，对场馆内墙面、地面中出现的破损维修不够及时。</w:t>
      </w:r>
    </w:p>
    <w:p w14:paraId="326A145A">
      <w:pPr>
        <w:spacing w:line="560" w:lineRule="exact"/>
        <w:ind w:firstLine="0" w:firstLineChars="0"/>
        <w:rPr>
          <w:rFonts w:ascii="仿宋_GB2312"/>
        </w:rPr>
      </w:pPr>
      <w:r>
        <w:rPr>
          <w:rFonts w:hint="eastAsia" w:ascii="仿宋_GB2312"/>
        </w:rPr>
        <w:t xml:space="preserve">    本项目属于公共服务领域，是重大民生工程，对完善城市功能，加快文化事业发展，丰富人民群众文化生活，带动城市综合发展，推动“一带一路”建设进程具有重要意义。</w:t>
      </w:r>
    </w:p>
    <w:p w14:paraId="109F903B">
      <w:pPr>
        <w:pStyle w:val="4"/>
        <w:ind w:firstLine="643"/>
        <w:rPr>
          <w:rFonts w:ascii="仿宋" w:hAnsi="仿宋" w:eastAsia="仿宋"/>
          <w:lang w:bidi="en-US"/>
        </w:rPr>
      </w:pPr>
      <w:bookmarkStart w:id="17" w:name="_Hlk67586765"/>
      <w:bookmarkStart w:id="18" w:name="_Toc67911606"/>
      <w:bookmarkStart w:id="19" w:name="_Toc165277231"/>
      <w:r>
        <w:rPr>
          <w:rFonts w:hint="eastAsia" w:ascii="仿宋" w:hAnsi="仿宋" w:eastAsia="仿宋"/>
          <w:lang w:bidi="en-US"/>
        </w:rPr>
        <w:t>（二）绩效评价原则、指标体系、方法及标准</w:t>
      </w:r>
      <w:bookmarkEnd w:id="17"/>
      <w:bookmarkEnd w:id="18"/>
      <w:bookmarkEnd w:id="19"/>
    </w:p>
    <w:p w14:paraId="5CFAA141">
      <w:pPr>
        <w:pStyle w:val="5"/>
        <w:ind w:firstLine="643"/>
      </w:pPr>
      <w:bookmarkStart w:id="20" w:name="_Toc165277232"/>
      <w:r>
        <w:rPr>
          <w:rFonts w:hint="eastAsia"/>
        </w:rPr>
        <w:t>1</w:t>
      </w:r>
      <w:r>
        <w:t>.</w:t>
      </w:r>
      <w:r>
        <w:rPr>
          <w:rFonts w:hint="eastAsia"/>
        </w:rPr>
        <w:t>评价原则</w:t>
      </w:r>
      <w:bookmarkEnd w:id="20"/>
    </w:p>
    <w:p w14:paraId="753C84F9">
      <w:pPr>
        <w:spacing w:line="560" w:lineRule="exact"/>
        <w:ind w:firstLine="560"/>
        <w:rPr>
          <w:rFonts w:ascii="仿宋_GB2312"/>
          <w:bCs/>
          <w:szCs w:val="28"/>
        </w:rPr>
      </w:pPr>
      <w:r>
        <w:rPr>
          <w:rFonts w:hint="eastAsia" w:ascii="仿宋_GB2312"/>
          <w:bCs/>
          <w:szCs w:val="28"/>
        </w:rPr>
        <w:t>（一）科学公正。绩效评价应当运用科学合理的方法，按照规范的程序，对项目绩效进行客观、公正的反映。</w:t>
      </w:r>
    </w:p>
    <w:p w14:paraId="526656BC">
      <w:pPr>
        <w:spacing w:line="560" w:lineRule="exact"/>
        <w:ind w:firstLine="560"/>
        <w:rPr>
          <w:rFonts w:ascii="仿宋_GB2312"/>
          <w:bCs/>
          <w:szCs w:val="28"/>
        </w:rPr>
      </w:pPr>
      <w:r>
        <w:rPr>
          <w:rFonts w:hint="eastAsia" w:ascii="仿宋_GB2312"/>
          <w:bCs/>
          <w:szCs w:val="28"/>
        </w:rPr>
        <w:t>（二）统筹兼顾。单位自评、部门评价和财政评价应职责明确，各有侧重，相互衔接。单位自评应由项目单位自主实施，即“谁支出、谁自评”。部门评价和财政评价应在单位自评的基础上开展，必要时可委托第三方机构实施。</w:t>
      </w:r>
    </w:p>
    <w:p w14:paraId="397A0FE1">
      <w:pPr>
        <w:spacing w:line="560" w:lineRule="exact"/>
        <w:ind w:firstLine="560"/>
        <w:rPr>
          <w:rFonts w:ascii="仿宋_GB2312"/>
          <w:bCs/>
          <w:szCs w:val="28"/>
        </w:rPr>
      </w:pPr>
      <w:r>
        <w:rPr>
          <w:rFonts w:hint="eastAsia" w:ascii="仿宋_GB2312"/>
          <w:bCs/>
          <w:szCs w:val="28"/>
        </w:rPr>
        <w:t>（三）激励约束。绩效评价结果应与预算安排、政策调整、改进管理实质性挂钩，体现奖优罚劣和激励相容导向，有效要安排、低效要压减、无效要问责。</w:t>
      </w:r>
    </w:p>
    <w:p w14:paraId="216BE310">
      <w:pPr>
        <w:spacing w:line="560" w:lineRule="exact"/>
        <w:ind w:firstLine="560"/>
        <w:rPr>
          <w:rFonts w:ascii="仿宋_GB2312"/>
          <w:bCs/>
          <w:szCs w:val="28"/>
        </w:rPr>
      </w:pPr>
      <w:r>
        <w:rPr>
          <w:rFonts w:hint="eastAsia" w:ascii="仿宋_GB2312"/>
          <w:bCs/>
          <w:szCs w:val="28"/>
        </w:rPr>
        <w:t>（四）公开透明。绩效评价结果应依法依规公开，并自觉接受社会监督。</w:t>
      </w:r>
    </w:p>
    <w:p w14:paraId="101DDA6B">
      <w:pPr>
        <w:pStyle w:val="5"/>
        <w:ind w:firstLine="643"/>
      </w:pPr>
      <w:bookmarkStart w:id="21" w:name="_Toc165277233"/>
      <w:r>
        <w:t>2.</w:t>
      </w:r>
      <w:r>
        <w:rPr>
          <w:rFonts w:hint="eastAsia"/>
        </w:rPr>
        <w:t>评价指标体系</w:t>
      </w:r>
      <w:bookmarkEnd w:id="21"/>
    </w:p>
    <w:p w14:paraId="08BB137A">
      <w:pPr>
        <w:spacing w:line="360" w:lineRule="auto"/>
        <w:ind w:firstLine="560"/>
        <w:rPr>
          <w:rFonts w:ascii="仿宋_GB2312"/>
        </w:rPr>
      </w:pPr>
      <w:r>
        <w:rPr>
          <w:rFonts w:hint="eastAsia" w:ascii="仿宋_GB2312"/>
        </w:rPr>
        <w:t>绩效评价指标体系作为衡量绩效目标实现程度的考核工具，一般遵循以下原则：</w:t>
      </w:r>
    </w:p>
    <w:p w14:paraId="4590FA3D">
      <w:pPr>
        <w:spacing w:line="360" w:lineRule="auto"/>
        <w:ind w:firstLine="560"/>
        <w:rPr>
          <w:rFonts w:ascii="仿宋_GB2312"/>
        </w:rPr>
      </w:pPr>
      <w:r>
        <w:rPr>
          <w:rFonts w:hint="eastAsia" w:ascii="仿宋_GB2312"/>
        </w:rPr>
        <w:t>（1）相关性原则：绩效评价指标应当与绩效目标有直接的联系，能够恰当反映目标的实现程度。</w:t>
      </w:r>
    </w:p>
    <w:p w14:paraId="2F738113">
      <w:pPr>
        <w:spacing w:line="360" w:lineRule="auto"/>
        <w:ind w:firstLine="560"/>
        <w:rPr>
          <w:rFonts w:ascii="仿宋_GB2312"/>
        </w:rPr>
      </w:pPr>
      <w:r>
        <w:rPr>
          <w:rFonts w:hint="eastAsia" w:ascii="仿宋_GB2312"/>
        </w:rPr>
        <w:t>（2）重要性原则：应当优先使用最具评价对象代表性、最能反映评价要求的核心指标。</w:t>
      </w:r>
    </w:p>
    <w:p w14:paraId="3C37B881">
      <w:pPr>
        <w:spacing w:line="360" w:lineRule="auto"/>
        <w:ind w:firstLine="560"/>
        <w:rPr>
          <w:rFonts w:ascii="仿宋_GB2312"/>
        </w:rPr>
      </w:pPr>
      <w:r>
        <w:rPr>
          <w:rFonts w:hint="eastAsia" w:ascii="仿宋_GB2312"/>
        </w:rPr>
        <w:t>（3）可比性原则：对同类评价对象要设定共性的绩效评价指标，以便于评价结果可以相互比较。</w:t>
      </w:r>
    </w:p>
    <w:p w14:paraId="4CEAAF00">
      <w:pPr>
        <w:spacing w:line="360" w:lineRule="auto"/>
        <w:ind w:firstLine="560"/>
        <w:rPr>
          <w:rFonts w:ascii="仿宋_GB2312"/>
        </w:rPr>
      </w:pPr>
      <w:r>
        <w:rPr>
          <w:rFonts w:hint="eastAsia" w:ascii="仿宋_GB2312"/>
        </w:rPr>
        <w:t>（4）系统性原则：绩效评价指标的设置应当将定量指标与定性指标相结合，能系统反映财政支出所产生的社会效益、经济效益和可持续影响等。</w:t>
      </w:r>
    </w:p>
    <w:p w14:paraId="59F77827">
      <w:pPr>
        <w:spacing w:line="360" w:lineRule="auto"/>
        <w:ind w:firstLine="560"/>
        <w:rPr>
          <w:rFonts w:ascii="仿宋_GB2312"/>
        </w:rPr>
      </w:pPr>
      <w:r>
        <w:rPr>
          <w:rFonts w:hint="eastAsia" w:ascii="仿宋_GB2312"/>
        </w:rPr>
        <w:t>（5）经济性原则：绩效评价指标设计应当通俗易懂、简便易行，数据的获得应当考虑现实条件和可操作性，符合成本效益原则。</w:t>
      </w:r>
    </w:p>
    <w:p w14:paraId="437D6078">
      <w:pPr>
        <w:spacing w:line="360" w:lineRule="auto"/>
        <w:ind w:firstLine="560"/>
        <w:rPr>
          <w:rFonts w:ascii="仿宋_GB2312"/>
        </w:rPr>
      </w:pPr>
      <w:r>
        <w:rPr>
          <w:rFonts w:hint="eastAsia" w:ascii="仿宋_GB2312"/>
        </w:rPr>
        <w:t>本项目的评价指标体系建立如下表所示。</w:t>
      </w:r>
    </w:p>
    <w:p w14:paraId="3534D0C4">
      <w:pPr>
        <w:spacing w:line="360" w:lineRule="auto"/>
        <w:ind w:firstLine="560"/>
        <w:rPr>
          <w:rFonts w:ascii="仿宋_GB2312"/>
        </w:rPr>
      </w:pPr>
    </w:p>
    <w:p w14:paraId="75D396B0">
      <w:pPr>
        <w:spacing w:line="360" w:lineRule="auto"/>
        <w:ind w:firstLine="560"/>
        <w:rPr>
          <w:rFonts w:ascii="仿宋_GB2312"/>
        </w:rPr>
      </w:pPr>
    </w:p>
    <w:p w14:paraId="3F5FBA56">
      <w:pPr>
        <w:spacing w:line="360" w:lineRule="auto"/>
        <w:ind w:firstLine="560"/>
        <w:rPr>
          <w:rFonts w:ascii="仿宋_GB2312"/>
        </w:rPr>
        <w:sectPr>
          <w:headerReference r:id="rId11" w:type="default"/>
          <w:footerReference r:id="rId12" w:type="default"/>
          <w:pgSz w:w="11906" w:h="16838"/>
          <w:pgMar w:top="1440" w:right="1800" w:bottom="1440" w:left="1800" w:header="992" w:footer="992" w:gutter="0"/>
          <w:pgNumType w:start="1"/>
          <w:cols w:space="425" w:num="1"/>
          <w:docGrid w:type="lines" w:linePitch="381" w:charSpace="0"/>
        </w:sectPr>
      </w:pPr>
    </w:p>
    <w:p w14:paraId="3C3A93C4">
      <w:pPr>
        <w:spacing w:line="360" w:lineRule="auto"/>
        <w:ind w:firstLine="0" w:firstLineChars="0"/>
        <w:jc w:val="center"/>
        <w:rPr>
          <w:rFonts w:ascii="仿宋_GB2312"/>
          <w:b/>
          <w:bCs/>
        </w:rPr>
      </w:pPr>
      <w:r>
        <w:rPr>
          <w:rFonts w:ascii="仿宋_GB2312"/>
          <w:b/>
          <w:bCs/>
        </w:rPr>
        <w:t xml:space="preserve">  </w:t>
      </w:r>
      <w:r>
        <w:rPr>
          <w:rFonts w:hint="eastAsia" w:ascii="仿宋_GB2312"/>
          <w:b/>
          <w:bCs/>
        </w:rPr>
        <w:t>项目支出绩效评价指标体系</w:t>
      </w:r>
    </w:p>
    <w:tbl>
      <w:tblPr>
        <w:tblStyle w:val="15"/>
        <w:tblW w:w="138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55"/>
        <w:gridCol w:w="1199"/>
        <w:gridCol w:w="1411"/>
        <w:gridCol w:w="2789"/>
        <w:gridCol w:w="7341"/>
      </w:tblGrid>
      <w:tr w14:paraId="1454CA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tblHeader/>
          <w:jc w:val="center"/>
        </w:trPr>
        <w:tc>
          <w:tcPr>
            <w:tcW w:w="1155" w:type="dxa"/>
            <w:tcBorders>
              <w:tl2br w:val="nil"/>
              <w:tr2bl w:val="nil"/>
            </w:tcBorders>
            <w:shd w:val="clear" w:color="auto" w:fill="D0CECE"/>
            <w:vAlign w:val="center"/>
          </w:tcPr>
          <w:p w14:paraId="73E9F5BD">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一级指标</w:t>
            </w:r>
          </w:p>
        </w:tc>
        <w:tc>
          <w:tcPr>
            <w:tcW w:w="1199" w:type="dxa"/>
            <w:tcBorders>
              <w:tl2br w:val="nil"/>
              <w:tr2bl w:val="nil"/>
            </w:tcBorders>
            <w:shd w:val="clear" w:color="auto" w:fill="D0CECE"/>
            <w:vAlign w:val="center"/>
          </w:tcPr>
          <w:p w14:paraId="7EC6F3C2">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二级指标</w:t>
            </w:r>
          </w:p>
        </w:tc>
        <w:tc>
          <w:tcPr>
            <w:tcW w:w="1411" w:type="dxa"/>
            <w:tcBorders>
              <w:tl2br w:val="nil"/>
              <w:tr2bl w:val="nil"/>
            </w:tcBorders>
            <w:shd w:val="clear" w:color="auto" w:fill="D0CECE"/>
            <w:vAlign w:val="center"/>
          </w:tcPr>
          <w:p w14:paraId="5F19BB08">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三级指标</w:t>
            </w:r>
          </w:p>
        </w:tc>
        <w:tc>
          <w:tcPr>
            <w:tcW w:w="2789" w:type="dxa"/>
            <w:tcBorders>
              <w:tl2br w:val="nil"/>
              <w:tr2bl w:val="nil"/>
            </w:tcBorders>
            <w:shd w:val="clear" w:color="auto" w:fill="D0CECE"/>
            <w:vAlign w:val="center"/>
          </w:tcPr>
          <w:p w14:paraId="37CEFE79">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指标解释</w:t>
            </w:r>
          </w:p>
        </w:tc>
        <w:tc>
          <w:tcPr>
            <w:tcW w:w="7341" w:type="dxa"/>
            <w:tcBorders>
              <w:tl2br w:val="nil"/>
              <w:tr2bl w:val="nil"/>
            </w:tcBorders>
            <w:shd w:val="clear" w:color="auto" w:fill="D0CECE"/>
            <w:vAlign w:val="center"/>
          </w:tcPr>
          <w:p w14:paraId="4BA4F550">
            <w:pPr>
              <w:widowControl/>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指标说明</w:t>
            </w:r>
          </w:p>
        </w:tc>
      </w:tr>
      <w:tr w14:paraId="48693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18" w:hRule="atLeast"/>
          <w:jc w:val="center"/>
        </w:trPr>
        <w:tc>
          <w:tcPr>
            <w:tcW w:w="1155" w:type="dxa"/>
            <w:vMerge w:val="restart"/>
            <w:tcBorders>
              <w:tl2br w:val="nil"/>
              <w:tr2bl w:val="nil"/>
            </w:tcBorders>
            <w:shd w:val="clear" w:color="auto" w:fill="FFFFFF"/>
            <w:vAlign w:val="center"/>
          </w:tcPr>
          <w:p w14:paraId="45F8F5FD">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决策</w:t>
            </w:r>
          </w:p>
        </w:tc>
        <w:tc>
          <w:tcPr>
            <w:tcW w:w="1199" w:type="dxa"/>
            <w:vMerge w:val="restart"/>
            <w:tcBorders>
              <w:tl2br w:val="nil"/>
              <w:tr2bl w:val="nil"/>
            </w:tcBorders>
            <w:shd w:val="clear" w:color="auto" w:fill="FFFFFF"/>
            <w:vAlign w:val="center"/>
          </w:tcPr>
          <w:p w14:paraId="2A89B81A">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项目立项</w:t>
            </w:r>
          </w:p>
        </w:tc>
        <w:tc>
          <w:tcPr>
            <w:tcW w:w="1411" w:type="dxa"/>
            <w:tcBorders>
              <w:tl2br w:val="nil"/>
              <w:tr2bl w:val="nil"/>
            </w:tcBorders>
            <w:shd w:val="clear" w:color="auto" w:fill="FFFFFF"/>
            <w:vAlign w:val="center"/>
          </w:tcPr>
          <w:p w14:paraId="7AFF23F8">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立项依据</w:t>
            </w:r>
          </w:p>
          <w:p w14:paraId="585F2E6E">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充分性</w:t>
            </w:r>
          </w:p>
        </w:tc>
        <w:tc>
          <w:tcPr>
            <w:tcW w:w="2789" w:type="dxa"/>
            <w:tcBorders>
              <w:tl2br w:val="nil"/>
              <w:tr2bl w:val="nil"/>
            </w:tcBorders>
            <w:shd w:val="clear" w:color="auto" w:fill="FFFFFF"/>
            <w:vAlign w:val="center"/>
          </w:tcPr>
          <w:p w14:paraId="609285DB">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项目立项是否符合法律法规、相关政策、发展规划以及部门职责，用以反映和考核项目立项依据情况。</w:t>
            </w:r>
          </w:p>
        </w:tc>
        <w:tc>
          <w:tcPr>
            <w:tcW w:w="7341" w:type="dxa"/>
            <w:tcBorders>
              <w:tl2br w:val="nil"/>
              <w:tr2bl w:val="nil"/>
            </w:tcBorders>
            <w:shd w:val="clear" w:color="auto" w:fill="FFFFFF"/>
            <w:vAlign w:val="center"/>
          </w:tcPr>
          <w:p w14:paraId="468FA676">
            <w:pPr>
              <w:widowControl/>
              <w:ind w:firstLine="0" w:firstLineChars="0"/>
              <w:jc w:val="left"/>
              <w:rPr>
                <w:rFonts w:ascii="宋体" w:hAnsi="宋体" w:eastAsia="宋体" w:cs="宋体"/>
                <w:color w:val="000000"/>
                <w:kern w:val="0"/>
                <w:sz w:val="22"/>
              </w:rPr>
            </w:pPr>
            <w:r>
              <w:rPr>
                <w:rFonts w:hint="eastAsia" w:ascii="宋体" w:hAnsi="宋体" w:eastAsia="宋体" w:cs="宋体"/>
                <w:kern w:val="0"/>
                <w:sz w:val="22"/>
              </w:rPr>
              <w:t>评价要点：</w:t>
            </w:r>
            <w:r>
              <w:rPr>
                <w:rFonts w:hint="eastAsia" w:ascii="宋体" w:hAnsi="宋体" w:eastAsia="宋体" w:cs="宋体"/>
                <w:kern w:val="0"/>
                <w:sz w:val="22"/>
              </w:rPr>
              <w:br w:type="textWrapping"/>
            </w:r>
            <w:r>
              <w:rPr>
                <w:rFonts w:hint="eastAsia" w:ascii="宋体" w:hAnsi="宋体" w:eastAsia="宋体" w:cs="宋体"/>
                <w:kern w:val="0"/>
                <w:sz w:val="22"/>
              </w:rPr>
              <w:t>①项目立项是否符合国家法律法规、国民经济发展规划和相关政策；</w:t>
            </w:r>
            <w:r>
              <w:rPr>
                <w:rFonts w:hint="eastAsia" w:ascii="宋体" w:hAnsi="宋体" w:eastAsia="宋体" w:cs="宋体"/>
                <w:kern w:val="0"/>
                <w:sz w:val="22"/>
              </w:rPr>
              <w:br w:type="textWrapping"/>
            </w:r>
            <w:r>
              <w:rPr>
                <w:rFonts w:hint="eastAsia" w:ascii="宋体" w:hAnsi="宋体" w:eastAsia="宋体" w:cs="宋体"/>
                <w:kern w:val="0"/>
                <w:sz w:val="22"/>
              </w:rPr>
              <w:t>②项目立项是否符合行业发展规划和政策要求；</w:t>
            </w:r>
            <w:r>
              <w:rPr>
                <w:rFonts w:hint="eastAsia" w:ascii="宋体" w:hAnsi="宋体" w:eastAsia="宋体" w:cs="宋体"/>
                <w:kern w:val="0"/>
                <w:sz w:val="22"/>
              </w:rPr>
              <w:br w:type="textWrapping"/>
            </w:r>
            <w:r>
              <w:rPr>
                <w:rFonts w:hint="eastAsia" w:ascii="宋体" w:hAnsi="宋体" w:eastAsia="宋体" w:cs="宋体"/>
                <w:kern w:val="0"/>
                <w:sz w:val="22"/>
              </w:rPr>
              <w:t>③项目立项是否与部门职责范围相符，属</w:t>
            </w:r>
            <w:r>
              <w:rPr>
                <w:rFonts w:hint="eastAsia" w:ascii="宋体" w:hAnsi="宋体" w:eastAsia="宋体" w:cs="宋体"/>
                <w:kern w:val="0"/>
                <w:sz w:val="22"/>
                <w:lang w:eastAsia="zh-CN"/>
              </w:rPr>
              <w:t>于</w:t>
            </w:r>
            <w:r>
              <w:rPr>
                <w:rFonts w:hint="eastAsia" w:ascii="宋体" w:hAnsi="宋体" w:eastAsia="宋体" w:cs="宋体"/>
                <w:kern w:val="0"/>
                <w:sz w:val="22"/>
              </w:rPr>
              <w:t>部门履职所需；</w:t>
            </w:r>
            <w:r>
              <w:rPr>
                <w:rFonts w:hint="eastAsia" w:ascii="宋体" w:hAnsi="宋体" w:eastAsia="宋体" w:cs="宋体"/>
                <w:kern w:val="0"/>
                <w:sz w:val="22"/>
              </w:rPr>
              <w:br w:type="textWrapping"/>
            </w:r>
            <w:r>
              <w:rPr>
                <w:rFonts w:hint="eastAsia" w:ascii="宋体" w:hAnsi="宋体" w:eastAsia="宋体" w:cs="宋体"/>
                <w:kern w:val="0"/>
                <w:sz w:val="22"/>
              </w:rPr>
              <w:t>④项目是否属于公共财政支持范围，是否符合中央、地方事权支出责任划分原则；</w:t>
            </w:r>
            <w:r>
              <w:rPr>
                <w:rFonts w:hint="eastAsia" w:ascii="宋体" w:hAnsi="宋体" w:eastAsia="宋体" w:cs="宋体"/>
                <w:kern w:val="0"/>
                <w:sz w:val="22"/>
              </w:rPr>
              <w:br w:type="textWrapping"/>
            </w:r>
            <w:r>
              <w:rPr>
                <w:rFonts w:hint="eastAsia" w:ascii="宋体" w:hAnsi="宋体" w:eastAsia="宋体" w:cs="宋体"/>
                <w:kern w:val="0"/>
                <w:sz w:val="22"/>
              </w:rPr>
              <w:t>⑤项目是否与相关部门同类项目或部门内部相关项目重复。</w:t>
            </w:r>
          </w:p>
        </w:tc>
      </w:tr>
      <w:tr w14:paraId="4B6D4B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0" w:hRule="atLeast"/>
          <w:jc w:val="center"/>
        </w:trPr>
        <w:tc>
          <w:tcPr>
            <w:tcW w:w="1155" w:type="dxa"/>
            <w:vMerge w:val="continue"/>
            <w:tcBorders>
              <w:tl2br w:val="nil"/>
              <w:tr2bl w:val="nil"/>
            </w:tcBorders>
            <w:shd w:val="clear" w:color="auto" w:fill="FFFFFF"/>
            <w:vAlign w:val="center"/>
          </w:tcPr>
          <w:p w14:paraId="1D1C916E">
            <w:pPr>
              <w:ind w:firstLine="0" w:firstLineChars="0"/>
              <w:jc w:val="center"/>
              <w:rPr>
                <w:rFonts w:ascii="宋体" w:hAnsi="宋体" w:eastAsia="宋体" w:cs="宋体"/>
                <w:color w:val="000000"/>
                <w:kern w:val="0"/>
                <w:sz w:val="22"/>
              </w:rPr>
            </w:pPr>
          </w:p>
        </w:tc>
        <w:tc>
          <w:tcPr>
            <w:tcW w:w="1199" w:type="dxa"/>
            <w:vMerge w:val="continue"/>
            <w:tcBorders>
              <w:tl2br w:val="nil"/>
              <w:tr2bl w:val="nil"/>
            </w:tcBorders>
            <w:shd w:val="clear" w:color="auto" w:fill="FFFFFF"/>
            <w:vAlign w:val="center"/>
          </w:tcPr>
          <w:p w14:paraId="04AB9BE9">
            <w:pPr>
              <w:widowControl/>
              <w:ind w:firstLine="0" w:firstLineChars="0"/>
              <w:jc w:val="center"/>
              <w:rPr>
                <w:rFonts w:ascii="宋体" w:hAnsi="宋体" w:eastAsia="宋体" w:cs="宋体"/>
                <w:color w:val="000000"/>
                <w:kern w:val="0"/>
                <w:sz w:val="22"/>
              </w:rPr>
            </w:pPr>
          </w:p>
        </w:tc>
        <w:tc>
          <w:tcPr>
            <w:tcW w:w="1411" w:type="dxa"/>
            <w:tcBorders>
              <w:tl2br w:val="nil"/>
              <w:tr2bl w:val="nil"/>
            </w:tcBorders>
            <w:shd w:val="clear" w:color="auto" w:fill="FFFFFF"/>
            <w:vAlign w:val="center"/>
          </w:tcPr>
          <w:p w14:paraId="1A82C553">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立项程序</w:t>
            </w:r>
          </w:p>
          <w:p w14:paraId="3DB0EEE2">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规范性</w:t>
            </w:r>
          </w:p>
        </w:tc>
        <w:tc>
          <w:tcPr>
            <w:tcW w:w="2789" w:type="dxa"/>
            <w:tcBorders>
              <w:tl2br w:val="nil"/>
              <w:tr2bl w:val="nil"/>
            </w:tcBorders>
            <w:shd w:val="clear" w:color="auto" w:fill="FFFFFF"/>
            <w:vAlign w:val="center"/>
          </w:tcPr>
          <w:p w14:paraId="177C1174">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项目申请、设立过程是否符合相关要求，用以反映和考核项目立项的规范情况。</w:t>
            </w:r>
          </w:p>
        </w:tc>
        <w:tc>
          <w:tcPr>
            <w:tcW w:w="7341" w:type="dxa"/>
            <w:tcBorders>
              <w:tl2br w:val="nil"/>
              <w:tr2bl w:val="nil"/>
            </w:tcBorders>
            <w:shd w:val="clear" w:color="auto" w:fill="FFFFFF"/>
            <w:vAlign w:val="center"/>
          </w:tcPr>
          <w:p w14:paraId="328D5238">
            <w:pPr>
              <w:widowControl/>
              <w:ind w:firstLine="0" w:firstLineChars="0"/>
              <w:jc w:val="left"/>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①项目是否按照规定的程序申请设立；</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②审批文件、材料是否符合相关要求；</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③事前是否已经过必要的可行性研究、专家论证、风险评估、绩效评估、集体决策。</w:t>
            </w:r>
          </w:p>
        </w:tc>
      </w:tr>
      <w:tr w14:paraId="73F83F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19" w:hRule="atLeast"/>
          <w:jc w:val="center"/>
        </w:trPr>
        <w:tc>
          <w:tcPr>
            <w:tcW w:w="1155" w:type="dxa"/>
            <w:vMerge w:val="continue"/>
            <w:tcBorders>
              <w:tl2br w:val="nil"/>
              <w:tr2bl w:val="nil"/>
            </w:tcBorders>
            <w:shd w:val="clear" w:color="auto" w:fill="FFFFFF"/>
            <w:vAlign w:val="center"/>
          </w:tcPr>
          <w:p w14:paraId="31A0BDE9">
            <w:pPr>
              <w:ind w:firstLine="0" w:firstLineChars="0"/>
              <w:jc w:val="center"/>
              <w:rPr>
                <w:rFonts w:ascii="宋体" w:hAnsi="宋体" w:eastAsia="宋体" w:cs="宋体"/>
                <w:color w:val="000000"/>
                <w:kern w:val="0"/>
                <w:sz w:val="22"/>
              </w:rPr>
            </w:pPr>
          </w:p>
        </w:tc>
        <w:tc>
          <w:tcPr>
            <w:tcW w:w="1199" w:type="dxa"/>
            <w:tcBorders>
              <w:tl2br w:val="nil"/>
              <w:tr2bl w:val="nil"/>
            </w:tcBorders>
            <w:shd w:val="clear" w:color="auto" w:fill="FFFFFF"/>
            <w:vAlign w:val="center"/>
          </w:tcPr>
          <w:p w14:paraId="5E141DAD">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绩效目标</w:t>
            </w:r>
          </w:p>
        </w:tc>
        <w:tc>
          <w:tcPr>
            <w:tcW w:w="1411" w:type="dxa"/>
            <w:tcBorders>
              <w:tl2br w:val="nil"/>
              <w:tr2bl w:val="nil"/>
            </w:tcBorders>
            <w:shd w:val="clear" w:color="auto" w:fill="FFFFFF"/>
            <w:vAlign w:val="center"/>
          </w:tcPr>
          <w:p w14:paraId="67875CA0">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绩效目标</w:t>
            </w:r>
          </w:p>
          <w:p w14:paraId="53EE12D6">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合理性</w:t>
            </w:r>
          </w:p>
        </w:tc>
        <w:tc>
          <w:tcPr>
            <w:tcW w:w="2789" w:type="dxa"/>
            <w:tcBorders>
              <w:tl2br w:val="nil"/>
              <w:tr2bl w:val="nil"/>
            </w:tcBorders>
            <w:shd w:val="clear" w:color="000000" w:fill="FFFFFF"/>
            <w:vAlign w:val="center"/>
          </w:tcPr>
          <w:p w14:paraId="7A7FFE35">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项目所设定的绩效目标是否依据充分，是否符合客观实际，用以反映和考核项目绩效目标与项目实施的相符情况。</w:t>
            </w:r>
          </w:p>
        </w:tc>
        <w:tc>
          <w:tcPr>
            <w:tcW w:w="7341" w:type="dxa"/>
            <w:tcBorders>
              <w:tl2br w:val="nil"/>
              <w:tr2bl w:val="nil"/>
            </w:tcBorders>
            <w:shd w:val="clear" w:color="000000" w:fill="FFFFFF"/>
            <w:vAlign w:val="center"/>
          </w:tcPr>
          <w:p w14:paraId="69E4C7FE">
            <w:pPr>
              <w:widowControl/>
              <w:ind w:firstLine="0" w:firstLineChars="0"/>
              <w:jc w:val="left"/>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（如未设定预算绩效目标，也可考核其他工作任务目标）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①项目是否有绩效目标；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②项目绩效目标与实际工作内容是否具有相关性；</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③项目预期产出效益和效果是否符合正常的业绩水平；</w:t>
            </w:r>
          </w:p>
          <w:p w14:paraId="5A8619D4">
            <w:pPr>
              <w:widowControl/>
              <w:ind w:firstLine="0" w:firstLineChars="0"/>
              <w:jc w:val="left"/>
              <w:rPr>
                <w:rFonts w:ascii="宋体" w:hAnsi="宋体" w:eastAsia="宋体" w:cs="宋体"/>
                <w:color w:val="000000"/>
                <w:kern w:val="0"/>
                <w:sz w:val="22"/>
              </w:rPr>
            </w:pPr>
            <w:r>
              <w:rPr>
                <w:rFonts w:hint="eastAsia" w:ascii="宋体" w:hAnsi="宋体" w:eastAsia="宋体" w:cs="宋体"/>
                <w:color w:val="000000"/>
                <w:kern w:val="0"/>
                <w:sz w:val="22"/>
              </w:rPr>
              <w:t>④是否与预算确定的项目投资额或资金量相匹配。</w:t>
            </w:r>
          </w:p>
        </w:tc>
      </w:tr>
      <w:tr w14:paraId="492E42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4" w:hRule="atLeast"/>
          <w:jc w:val="center"/>
        </w:trPr>
        <w:tc>
          <w:tcPr>
            <w:tcW w:w="1155" w:type="dxa"/>
            <w:vMerge w:val="restart"/>
            <w:tcBorders>
              <w:tl2br w:val="nil"/>
              <w:tr2bl w:val="nil"/>
            </w:tcBorders>
            <w:shd w:val="clear" w:color="auto" w:fill="FFFFFF"/>
            <w:vAlign w:val="center"/>
          </w:tcPr>
          <w:p w14:paraId="2BFBE1ED">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决策</w:t>
            </w:r>
          </w:p>
        </w:tc>
        <w:tc>
          <w:tcPr>
            <w:tcW w:w="1199" w:type="dxa"/>
            <w:tcBorders>
              <w:tl2br w:val="nil"/>
              <w:tr2bl w:val="nil"/>
            </w:tcBorders>
            <w:shd w:val="clear" w:color="auto" w:fill="FFFFFF"/>
            <w:vAlign w:val="center"/>
          </w:tcPr>
          <w:p w14:paraId="11AB6073">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绩效目标</w:t>
            </w:r>
          </w:p>
        </w:tc>
        <w:tc>
          <w:tcPr>
            <w:tcW w:w="1411" w:type="dxa"/>
            <w:tcBorders>
              <w:tl2br w:val="nil"/>
              <w:tr2bl w:val="nil"/>
            </w:tcBorders>
            <w:shd w:val="clear" w:color="auto" w:fill="FFFFFF"/>
            <w:vAlign w:val="center"/>
          </w:tcPr>
          <w:p w14:paraId="7E99C611">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绩效指标</w:t>
            </w:r>
          </w:p>
          <w:p w14:paraId="1D873EAF">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明确性</w:t>
            </w:r>
          </w:p>
        </w:tc>
        <w:tc>
          <w:tcPr>
            <w:tcW w:w="2789" w:type="dxa"/>
            <w:tcBorders>
              <w:tl2br w:val="nil"/>
              <w:tr2bl w:val="nil"/>
            </w:tcBorders>
            <w:shd w:val="clear" w:color="000000" w:fill="FFFFFF"/>
            <w:vAlign w:val="center"/>
          </w:tcPr>
          <w:p w14:paraId="1945956D">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依据绩效目标设定的绩效指标是否清晰、细化、可衡量等，用以反映和考核项目绩效目标的明细化情况。</w:t>
            </w:r>
          </w:p>
        </w:tc>
        <w:tc>
          <w:tcPr>
            <w:tcW w:w="7341" w:type="dxa"/>
            <w:tcBorders>
              <w:tl2br w:val="nil"/>
              <w:tr2bl w:val="nil"/>
            </w:tcBorders>
            <w:shd w:val="clear" w:color="000000" w:fill="FFFFFF"/>
            <w:vAlign w:val="center"/>
          </w:tcPr>
          <w:p w14:paraId="6969CDCB">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①是否将项目绩效目标细化分解为具体的绩效指标；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②是否通过清晰、可衡量的指标值予以体现；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③是否与项目目标任务数或计划数相对应。</w:t>
            </w:r>
            <w:r>
              <w:rPr>
                <w:rFonts w:hint="eastAsia" w:ascii="宋体" w:hAnsi="宋体" w:eastAsia="宋体" w:cs="宋体"/>
                <w:color w:val="000000"/>
                <w:kern w:val="0"/>
                <w:sz w:val="22"/>
              </w:rPr>
              <w:br w:type="textWrapping"/>
            </w:r>
          </w:p>
        </w:tc>
      </w:tr>
      <w:tr w14:paraId="5176A0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42" w:hRule="atLeast"/>
          <w:jc w:val="center"/>
        </w:trPr>
        <w:tc>
          <w:tcPr>
            <w:tcW w:w="1155" w:type="dxa"/>
            <w:vMerge w:val="continue"/>
            <w:tcBorders>
              <w:tl2br w:val="nil"/>
              <w:tr2bl w:val="nil"/>
            </w:tcBorders>
            <w:shd w:val="clear" w:color="auto" w:fill="FFFFFF"/>
            <w:vAlign w:val="center"/>
          </w:tcPr>
          <w:p w14:paraId="28B30DF5">
            <w:pPr>
              <w:ind w:firstLine="0" w:firstLineChars="0"/>
              <w:jc w:val="center"/>
              <w:rPr>
                <w:rFonts w:ascii="宋体" w:hAnsi="宋体" w:eastAsia="宋体" w:cs="宋体"/>
                <w:color w:val="000000"/>
                <w:kern w:val="0"/>
                <w:sz w:val="22"/>
              </w:rPr>
            </w:pPr>
          </w:p>
        </w:tc>
        <w:tc>
          <w:tcPr>
            <w:tcW w:w="1199" w:type="dxa"/>
            <w:vMerge w:val="restart"/>
            <w:tcBorders>
              <w:tl2br w:val="nil"/>
              <w:tr2bl w:val="nil"/>
            </w:tcBorders>
            <w:shd w:val="clear" w:color="auto" w:fill="FFFFFF"/>
            <w:vAlign w:val="center"/>
          </w:tcPr>
          <w:p w14:paraId="43C214BC">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资金投入</w:t>
            </w:r>
          </w:p>
        </w:tc>
        <w:tc>
          <w:tcPr>
            <w:tcW w:w="1411" w:type="dxa"/>
            <w:tcBorders>
              <w:tl2br w:val="nil"/>
              <w:tr2bl w:val="nil"/>
            </w:tcBorders>
            <w:shd w:val="clear" w:color="auto" w:fill="FFFFFF"/>
            <w:vAlign w:val="center"/>
          </w:tcPr>
          <w:p w14:paraId="360510EA">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预算编制</w:t>
            </w:r>
          </w:p>
          <w:p w14:paraId="7AFC5D49">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科学性</w:t>
            </w:r>
          </w:p>
        </w:tc>
        <w:tc>
          <w:tcPr>
            <w:tcW w:w="2789" w:type="dxa"/>
            <w:tcBorders>
              <w:tl2br w:val="nil"/>
              <w:tr2bl w:val="nil"/>
            </w:tcBorders>
            <w:shd w:val="clear" w:color="auto" w:fill="FFFFFF"/>
            <w:vAlign w:val="center"/>
          </w:tcPr>
          <w:p w14:paraId="15442C76">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项目预算编制是否经过科学论证、有明确标准，资金额度与年度目标是否相适应，用以反映和考核项目预算编制的科学性、合理性情况。</w:t>
            </w:r>
          </w:p>
        </w:tc>
        <w:tc>
          <w:tcPr>
            <w:tcW w:w="7341" w:type="dxa"/>
            <w:tcBorders>
              <w:tl2br w:val="nil"/>
              <w:tr2bl w:val="nil"/>
            </w:tcBorders>
            <w:shd w:val="clear" w:color="auto" w:fill="FFFFFF"/>
            <w:vAlign w:val="center"/>
          </w:tcPr>
          <w:p w14:paraId="1E51FD3C">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①预算编制是否经过科学论证；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②预算内容与项目内容是否匹配；</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③预算额度测算依据是否充分，是否按照标准编制；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④预算确定的项目投资额或资金量是否与工作任务相匹配。</w:t>
            </w:r>
          </w:p>
        </w:tc>
      </w:tr>
      <w:tr w14:paraId="1D34C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6" w:hRule="atLeast"/>
          <w:jc w:val="center"/>
        </w:trPr>
        <w:tc>
          <w:tcPr>
            <w:tcW w:w="1155" w:type="dxa"/>
            <w:vMerge w:val="continue"/>
            <w:tcBorders>
              <w:tl2br w:val="nil"/>
              <w:tr2bl w:val="nil"/>
            </w:tcBorders>
            <w:shd w:val="clear" w:color="auto" w:fill="FFFFFF"/>
            <w:vAlign w:val="center"/>
          </w:tcPr>
          <w:p w14:paraId="1D09AFF9">
            <w:pPr>
              <w:widowControl/>
              <w:ind w:firstLine="0" w:firstLineChars="0"/>
              <w:jc w:val="center"/>
              <w:rPr>
                <w:rFonts w:ascii="宋体" w:hAnsi="宋体" w:eastAsia="宋体" w:cs="宋体"/>
                <w:color w:val="000000"/>
                <w:kern w:val="0"/>
                <w:sz w:val="22"/>
              </w:rPr>
            </w:pPr>
          </w:p>
        </w:tc>
        <w:tc>
          <w:tcPr>
            <w:tcW w:w="1199" w:type="dxa"/>
            <w:vMerge w:val="continue"/>
            <w:tcBorders>
              <w:tl2br w:val="nil"/>
              <w:tr2bl w:val="nil"/>
            </w:tcBorders>
            <w:shd w:val="clear" w:color="auto" w:fill="FFFFFF"/>
            <w:vAlign w:val="center"/>
          </w:tcPr>
          <w:p w14:paraId="61F30F67">
            <w:pPr>
              <w:widowControl/>
              <w:ind w:firstLine="0" w:firstLineChars="0"/>
              <w:jc w:val="center"/>
              <w:rPr>
                <w:rFonts w:ascii="宋体" w:hAnsi="宋体" w:eastAsia="宋体" w:cs="宋体"/>
                <w:color w:val="000000"/>
                <w:kern w:val="0"/>
                <w:sz w:val="22"/>
              </w:rPr>
            </w:pPr>
          </w:p>
        </w:tc>
        <w:tc>
          <w:tcPr>
            <w:tcW w:w="1411" w:type="dxa"/>
            <w:tcBorders>
              <w:tl2br w:val="nil"/>
              <w:tr2bl w:val="nil"/>
            </w:tcBorders>
            <w:shd w:val="clear" w:color="auto" w:fill="FFFFFF"/>
            <w:vAlign w:val="center"/>
          </w:tcPr>
          <w:p w14:paraId="0F4AC3DA">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资金分配</w:t>
            </w:r>
          </w:p>
          <w:p w14:paraId="04D1F652">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合理性</w:t>
            </w:r>
          </w:p>
        </w:tc>
        <w:tc>
          <w:tcPr>
            <w:tcW w:w="2789" w:type="dxa"/>
            <w:tcBorders>
              <w:tl2br w:val="nil"/>
              <w:tr2bl w:val="nil"/>
            </w:tcBorders>
            <w:shd w:val="clear" w:color="auto" w:fill="FFFFFF"/>
            <w:vAlign w:val="center"/>
          </w:tcPr>
          <w:p w14:paraId="3A16B2BF">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项目预算资金分配是否有测算依据，与补助单位或地方实际是否相适应，用以反映和考核项目预算资金分配的科学性、合理性情况。</w:t>
            </w:r>
          </w:p>
        </w:tc>
        <w:tc>
          <w:tcPr>
            <w:tcW w:w="7341" w:type="dxa"/>
            <w:tcBorders>
              <w:tl2br w:val="nil"/>
              <w:tr2bl w:val="nil"/>
            </w:tcBorders>
            <w:shd w:val="clear" w:color="auto" w:fill="FFFFFF"/>
            <w:vAlign w:val="center"/>
          </w:tcPr>
          <w:p w14:paraId="53DA40DF">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①预算资金分配依据是否充分；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②资金分配额度是否合理，与项目单位或地方实际是否相适应。</w:t>
            </w:r>
          </w:p>
        </w:tc>
      </w:tr>
      <w:tr w14:paraId="37902E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5" w:hRule="atLeast"/>
          <w:jc w:val="center"/>
        </w:trPr>
        <w:tc>
          <w:tcPr>
            <w:tcW w:w="1155" w:type="dxa"/>
            <w:vMerge w:val="restart"/>
            <w:tcBorders>
              <w:tl2br w:val="nil"/>
              <w:tr2bl w:val="nil"/>
            </w:tcBorders>
            <w:shd w:val="clear" w:color="auto" w:fill="FFFFFF"/>
            <w:vAlign w:val="center"/>
          </w:tcPr>
          <w:p w14:paraId="264B5E8F">
            <w:pPr>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过程</w:t>
            </w:r>
          </w:p>
        </w:tc>
        <w:tc>
          <w:tcPr>
            <w:tcW w:w="1199" w:type="dxa"/>
            <w:vMerge w:val="restart"/>
            <w:tcBorders>
              <w:tl2br w:val="nil"/>
              <w:tr2bl w:val="nil"/>
            </w:tcBorders>
            <w:shd w:val="clear" w:color="auto" w:fill="FFFFFF"/>
            <w:vAlign w:val="center"/>
          </w:tcPr>
          <w:p w14:paraId="5F3C94BC">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资金管理</w:t>
            </w:r>
          </w:p>
        </w:tc>
        <w:tc>
          <w:tcPr>
            <w:tcW w:w="1411" w:type="dxa"/>
            <w:tcBorders>
              <w:tl2br w:val="nil"/>
              <w:tr2bl w:val="nil"/>
            </w:tcBorders>
            <w:shd w:val="clear" w:color="auto" w:fill="FFFFFF"/>
            <w:vAlign w:val="center"/>
          </w:tcPr>
          <w:p w14:paraId="7DF8B9D4">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资金到位率</w:t>
            </w:r>
          </w:p>
        </w:tc>
        <w:tc>
          <w:tcPr>
            <w:tcW w:w="2789" w:type="dxa"/>
            <w:tcBorders>
              <w:tl2br w:val="nil"/>
              <w:tr2bl w:val="nil"/>
            </w:tcBorders>
            <w:shd w:val="clear" w:color="000000" w:fill="FFFFFF"/>
            <w:vAlign w:val="center"/>
          </w:tcPr>
          <w:p w14:paraId="06B48576">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实际到位资金与预算资金的比率，用以反映和考核资金落实情况对项目实施的总体保障程度。</w:t>
            </w:r>
          </w:p>
        </w:tc>
        <w:tc>
          <w:tcPr>
            <w:tcW w:w="7341" w:type="dxa"/>
            <w:tcBorders>
              <w:tl2br w:val="nil"/>
              <w:tr2bl w:val="nil"/>
            </w:tcBorders>
            <w:shd w:val="clear" w:color="000000" w:fill="FFFFFF"/>
            <w:vAlign w:val="center"/>
          </w:tcPr>
          <w:p w14:paraId="11B04649">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资金到位率=（实际到位资金/预算资金）×100%。</w:t>
            </w:r>
          </w:p>
          <w:p w14:paraId="4A2E331D">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实际到位资金：一定时期（本年度或项目期）内落实到具体项目的资金。</w:t>
            </w:r>
          </w:p>
          <w:p w14:paraId="6296A517">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预算资金：一定时期（本年度或项目期）内预算安排到具体项目的资金。</w:t>
            </w:r>
          </w:p>
        </w:tc>
      </w:tr>
      <w:tr w14:paraId="249208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0" w:hRule="atLeast"/>
          <w:jc w:val="center"/>
        </w:trPr>
        <w:tc>
          <w:tcPr>
            <w:tcW w:w="1155" w:type="dxa"/>
            <w:vMerge w:val="continue"/>
            <w:tcBorders>
              <w:tl2br w:val="nil"/>
              <w:tr2bl w:val="nil"/>
            </w:tcBorders>
            <w:shd w:val="clear" w:color="auto" w:fill="FFFFFF"/>
            <w:vAlign w:val="center"/>
          </w:tcPr>
          <w:p w14:paraId="5B341ED9">
            <w:pPr>
              <w:ind w:firstLine="0" w:firstLineChars="0"/>
              <w:jc w:val="center"/>
              <w:rPr>
                <w:rFonts w:ascii="宋体" w:hAnsi="宋体" w:eastAsia="宋体" w:cs="宋体"/>
                <w:color w:val="000000"/>
                <w:kern w:val="0"/>
                <w:sz w:val="22"/>
              </w:rPr>
            </w:pPr>
          </w:p>
        </w:tc>
        <w:tc>
          <w:tcPr>
            <w:tcW w:w="1199" w:type="dxa"/>
            <w:vMerge w:val="continue"/>
            <w:tcBorders>
              <w:tl2br w:val="nil"/>
              <w:tr2bl w:val="nil"/>
            </w:tcBorders>
            <w:shd w:val="clear" w:color="auto" w:fill="FFFFFF"/>
            <w:vAlign w:val="center"/>
          </w:tcPr>
          <w:p w14:paraId="2AA9D2B2">
            <w:pPr>
              <w:ind w:firstLine="0" w:firstLineChars="0"/>
              <w:jc w:val="center"/>
              <w:rPr>
                <w:rFonts w:ascii="宋体" w:hAnsi="宋体" w:eastAsia="宋体" w:cs="宋体"/>
                <w:color w:val="000000"/>
                <w:kern w:val="0"/>
                <w:sz w:val="22"/>
              </w:rPr>
            </w:pPr>
          </w:p>
        </w:tc>
        <w:tc>
          <w:tcPr>
            <w:tcW w:w="1411" w:type="dxa"/>
            <w:tcBorders>
              <w:tl2br w:val="nil"/>
              <w:tr2bl w:val="nil"/>
            </w:tcBorders>
            <w:shd w:val="clear" w:color="auto" w:fill="FFFFFF"/>
            <w:vAlign w:val="center"/>
          </w:tcPr>
          <w:p w14:paraId="65FF1192">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预算执行率</w:t>
            </w:r>
          </w:p>
        </w:tc>
        <w:tc>
          <w:tcPr>
            <w:tcW w:w="2789" w:type="dxa"/>
            <w:tcBorders>
              <w:tl2br w:val="nil"/>
              <w:tr2bl w:val="nil"/>
            </w:tcBorders>
            <w:shd w:val="clear" w:color="auto" w:fill="FFFFFF"/>
            <w:vAlign w:val="center"/>
          </w:tcPr>
          <w:p w14:paraId="4D7DD7B9">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项目预算资金是否按照计划执行，用以反映或考核项目预算执行情况。</w:t>
            </w:r>
          </w:p>
        </w:tc>
        <w:tc>
          <w:tcPr>
            <w:tcW w:w="7341" w:type="dxa"/>
            <w:tcBorders>
              <w:tl2br w:val="nil"/>
              <w:tr2bl w:val="nil"/>
            </w:tcBorders>
            <w:shd w:val="clear" w:color="auto" w:fill="FFFFFF"/>
            <w:vAlign w:val="center"/>
          </w:tcPr>
          <w:p w14:paraId="39DB9862">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预算执行率=（实际支出资金/实际到位资金）×100%。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实际支出资金：一定时期（本年度或项目期）内项目实际拨付的资金。</w:t>
            </w:r>
          </w:p>
        </w:tc>
      </w:tr>
      <w:tr w14:paraId="32889E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6" w:hRule="atLeast"/>
          <w:jc w:val="center"/>
        </w:trPr>
        <w:tc>
          <w:tcPr>
            <w:tcW w:w="1155" w:type="dxa"/>
            <w:vMerge w:val="restart"/>
            <w:tcBorders>
              <w:tl2br w:val="nil"/>
              <w:tr2bl w:val="nil"/>
            </w:tcBorders>
            <w:shd w:val="clear" w:color="auto" w:fill="FFFFFF"/>
            <w:vAlign w:val="center"/>
          </w:tcPr>
          <w:p w14:paraId="29AFF0B8">
            <w:pPr>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过程</w:t>
            </w:r>
          </w:p>
        </w:tc>
        <w:tc>
          <w:tcPr>
            <w:tcW w:w="1199" w:type="dxa"/>
            <w:tcBorders>
              <w:tl2br w:val="nil"/>
              <w:tr2bl w:val="nil"/>
            </w:tcBorders>
            <w:shd w:val="clear" w:color="auto" w:fill="FFFFFF"/>
            <w:vAlign w:val="center"/>
          </w:tcPr>
          <w:p w14:paraId="27FF9D65">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资金管理</w:t>
            </w:r>
          </w:p>
        </w:tc>
        <w:tc>
          <w:tcPr>
            <w:tcW w:w="1411" w:type="dxa"/>
            <w:tcBorders>
              <w:tl2br w:val="nil"/>
              <w:tr2bl w:val="nil"/>
            </w:tcBorders>
            <w:shd w:val="clear" w:color="auto" w:fill="FFFFFF"/>
            <w:vAlign w:val="center"/>
          </w:tcPr>
          <w:p w14:paraId="763C9C15">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资金使用</w:t>
            </w:r>
          </w:p>
          <w:p w14:paraId="767E4578">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合规性</w:t>
            </w:r>
          </w:p>
        </w:tc>
        <w:tc>
          <w:tcPr>
            <w:tcW w:w="2789" w:type="dxa"/>
            <w:tcBorders>
              <w:tl2br w:val="nil"/>
              <w:tr2bl w:val="nil"/>
            </w:tcBorders>
            <w:shd w:val="clear" w:color="000000" w:fill="FFFFFF"/>
            <w:vAlign w:val="center"/>
          </w:tcPr>
          <w:p w14:paraId="655CEBAC">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项目资金使用是否符合相关的财务管理制度规定，用以反映和考核项目资金的规范运行情况。</w:t>
            </w:r>
          </w:p>
        </w:tc>
        <w:tc>
          <w:tcPr>
            <w:tcW w:w="7341" w:type="dxa"/>
            <w:tcBorders>
              <w:tl2br w:val="nil"/>
              <w:tr2bl w:val="nil"/>
            </w:tcBorders>
            <w:shd w:val="clear" w:color="000000" w:fill="FFFFFF"/>
            <w:vAlign w:val="center"/>
          </w:tcPr>
          <w:p w14:paraId="7E2C830A">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①是否符合国家财经法规和财务管理制度以及有关专项资金管理办法的规定；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②资金的拨付是否有完整的审批程序和手续；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③是否符合项目预算批复或合同规定的用途；</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④是否存在截留、挤占、挪用、虚列支出等情况。</w:t>
            </w:r>
          </w:p>
        </w:tc>
      </w:tr>
      <w:tr w14:paraId="592039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97" w:hRule="atLeast"/>
          <w:jc w:val="center"/>
        </w:trPr>
        <w:tc>
          <w:tcPr>
            <w:tcW w:w="1155" w:type="dxa"/>
            <w:vMerge w:val="continue"/>
            <w:tcBorders>
              <w:tl2br w:val="nil"/>
              <w:tr2bl w:val="nil"/>
            </w:tcBorders>
            <w:shd w:val="clear" w:color="auto" w:fill="FFFFFF"/>
            <w:vAlign w:val="center"/>
          </w:tcPr>
          <w:p w14:paraId="067ACCE1">
            <w:pPr>
              <w:ind w:firstLine="0" w:firstLineChars="0"/>
              <w:jc w:val="center"/>
              <w:rPr>
                <w:rFonts w:ascii="宋体" w:hAnsi="宋体" w:eastAsia="宋体" w:cs="宋体"/>
                <w:color w:val="000000"/>
                <w:kern w:val="0"/>
                <w:sz w:val="22"/>
              </w:rPr>
            </w:pPr>
          </w:p>
        </w:tc>
        <w:tc>
          <w:tcPr>
            <w:tcW w:w="1199" w:type="dxa"/>
            <w:vMerge w:val="restart"/>
            <w:tcBorders>
              <w:tl2br w:val="nil"/>
              <w:tr2bl w:val="nil"/>
            </w:tcBorders>
            <w:shd w:val="clear" w:color="auto" w:fill="FFFFFF"/>
            <w:vAlign w:val="center"/>
          </w:tcPr>
          <w:p w14:paraId="752961A2">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组织实施</w:t>
            </w:r>
          </w:p>
        </w:tc>
        <w:tc>
          <w:tcPr>
            <w:tcW w:w="1411" w:type="dxa"/>
            <w:tcBorders>
              <w:tl2br w:val="nil"/>
              <w:tr2bl w:val="nil"/>
            </w:tcBorders>
            <w:shd w:val="clear" w:color="auto" w:fill="FFFFFF"/>
            <w:vAlign w:val="center"/>
          </w:tcPr>
          <w:p w14:paraId="2CFF497D">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管理制度</w:t>
            </w:r>
          </w:p>
          <w:p w14:paraId="26FE7696">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健全性</w:t>
            </w:r>
          </w:p>
        </w:tc>
        <w:tc>
          <w:tcPr>
            <w:tcW w:w="2789" w:type="dxa"/>
            <w:tcBorders>
              <w:tl2br w:val="nil"/>
              <w:tr2bl w:val="nil"/>
            </w:tcBorders>
            <w:shd w:val="clear" w:color="000000" w:fill="FFFFFF"/>
            <w:vAlign w:val="center"/>
          </w:tcPr>
          <w:p w14:paraId="5C5EF4CC">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项目实施单位的财务和业务管理制度是否健全，用以反映和考核财务和业务管理制度对项目顺利实施的保障情况。</w:t>
            </w:r>
          </w:p>
        </w:tc>
        <w:tc>
          <w:tcPr>
            <w:tcW w:w="7341" w:type="dxa"/>
            <w:tcBorders>
              <w:tl2br w:val="nil"/>
              <w:tr2bl w:val="nil"/>
            </w:tcBorders>
            <w:shd w:val="clear" w:color="000000" w:fill="FFFFFF"/>
            <w:vAlign w:val="center"/>
          </w:tcPr>
          <w:p w14:paraId="39D9129B">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①是否已制定或具有相应的财务和业务管理制度；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②财务和业务管理制度是否合法、合规、完整。</w:t>
            </w:r>
          </w:p>
        </w:tc>
      </w:tr>
      <w:tr w14:paraId="796219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9" w:hRule="atLeast"/>
          <w:jc w:val="center"/>
        </w:trPr>
        <w:tc>
          <w:tcPr>
            <w:tcW w:w="1155" w:type="dxa"/>
            <w:vMerge w:val="continue"/>
            <w:tcBorders>
              <w:tl2br w:val="nil"/>
              <w:tr2bl w:val="nil"/>
            </w:tcBorders>
            <w:shd w:val="clear" w:color="auto" w:fill="FFFFFF"/>
            <w:vAlign w:val="center"/>
          </w:tcPr>
          <w:p w14:paraId="6257A9B2">
            <w:pPr>
              <w:widowControl/>
              <w:ind w:firstLine="0" w:firstLineChars="0"/>
              <w:jc w:val="center"/>
              <w:rPr>
                <w:rFonts w:ascii="宋体" w:hAnsi="宋体" w:eastAsia="宋体" w:cs="宋体"/>
                <w:color w:val="000000"/>
                <w:kern w:val="0"/>
                <w:sz w:val="22"/>
              </w:rPr>
            </w:pPr>
          </w:p>
        </w:tc>
        <w:tc>
          <w:tcPr>
            <w:tcW w:w="1199" w:type="dxa"/>
            <w:vMerge w:val="continue"/>
            <w:tcBorders>
              <w:tl2br w:val="nil"/>
              <w:tr2bl w:val="nil"/>
            </w:tcBorders>
            <w:shd w:val="clear" w:color="auto" w:fill="FFFFFF"/>
            <w:vAlign w:val="center"/>
          </w:tcPr>
          <w:p w14:paraId="0FCD159A">
            <w:pPr>
              <w:widowControl/>
              <w:ind w:firstLine="0" w:firstLineChars="0"/>
              <w:jc w:val="center"/>
              <w:rPr>
                <w:rFonts w:ascii="宋体" w:hAnsi="宋体" w:eastAsia="宋体" w:cs="宋体"/>
                <w:color w:val="000000"/>
                <w:kern w:val="0"/>
                <w:sz w:val="22"/>
              </w:rPr>
            </w:pPr>
          </w:p>
        </w:tc>
        <w:tc>
          <w:tcPr>
            <w:tcW w:w="1411" w:type="dxa"/>
            <w:tcBorders>
              <w:tl2br w:val="nil"/>
              <w:tr2bl w:val="nil"/>
            </w:tcBorders>
            <w:shd w:val="clear" w:color="auto" w:fill="FFFFFF"/>
            <w:vAlign w:val="center"/>
          </w:tcPr>
          <w:p w14:paraId="20921E4C">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制度执行</w:t>
            </w:r>
          </w:p>
          <w:p w14:paraId="467CBBF8">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有效性</w:t>
            </w:r>
          </w:p>
        </w:tc>
        <w:tc>
          <w:tcPr>
            <w:tcW w:w="2789" w:type="dxa"/>
            <w:tcBorders>
              <w:tl2br w:val="nil"/>
              <w:tr2bl w:val="nil"/>
            </w:tcBorders>
            <w:shd w:val="clear" w:color="000000" w:fill="FFFFFF"/>
            <w:vAlign w:val="center"/>
          </w:tcPr>
          <w:p w14:paraId="6509A954">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项目实施是否符合相关管理规定，用以反映和考核相关管理制度的有效执行情况。</w:t>
            </w:r>
          </w:p>
        </w:tc>
        <w:tc>
          <w:tcPr>
            <w:tcW w:w="7341" w:type="dxa"/>
            <w:tcBorders>
              <w:tl2br w:val="nil"/>
              <w:tr2bl w:val="nil"/>
            </w:tcBorders>
            <w:shd w:val="clear" w:color="000000" w:fill="FFFFFF"/>
            <w:vAlign w:val="center"/>
          </w:tcPr>
          <w:p w14:paraId="5E054C57">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评价要点：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①是否遵守相关法律法规和相关管理规定；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②项目调整及支出调整手续是否完备；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③项目合同书、验收报告、技术鉴定等资料是否齐全并及时归档；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④项目实施的人员条件、场地设备、信息支撑等是否落实到位。</w:t>
            </w:r>
          </w:p>
        </w:tc>
      </w:tr>
      <w:tr w14:paraId="044CB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155" w:type="dxa"/>
            <w:vMerge w:val="restart"/>
            <w:tcBorders>
              <w:tl2br w:val="nil"/>
              <w:tr2bl w:val="nil"/>
            </w:tcBorders>
            <w:shd w:val="clear" w:color="auto" w:fill="FFFFFF"/>
            <w:vAlign w:val="center"/>
          </w:tcPr>
          <w:p w14:paraId="33073006">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产出</w:t>
            </w:r>
          </w:p>
        </w:tc>
        <w:tc>
          <w:tcPr>
            <w:tcW w:w="1199" w:type="dxa"/>
            <w:vMerge w:val="restart"/>
            <w:tcBorders>
              <w:tl2br w:val="nil"/>
              <w:tr2bl w:val="nil"/>
            </w:tcBorders>
            <w:shd w:val="clear" w:color="auto" w:fill="FFFFFF"/>
            <w:vAlign w:val="center"/>
          </w:tcPr>
          <w:p w14:paraId="4D26A2F4">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产出数量</w:t>
            </w:r>
          </w:p>
        </w:tc>
        <w:tc>
          <w:tcPr>
            <w:tcW w:w="1411" w:type="dxa"/>
            <w:tcBorders>
              <w:tl2br w:val="nil"/>
              <w:tr2bl w:val="nil"/>
            </w:tcBorders>
            <w:shd w:val="clear" w:color="auto" w:fill="FFFFFF"/>
          </w:tcPr>
          <w:p w14:paraId="77A6804E">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演出总场次</w:t>
            </w:r>
          </w:p>
        </w:tc>
        <w:tc>
          <w:tcPr>
            <w:tcW w:w="2789" w:type="dxa"/>
            <w:vMerge w:val="restart"/>
            <w:tcBorders>
              <w:tl2br w:val="nil"/>
              <w:tr2bl w:val="nil"/>
            </w:tcBorders>
            <w:shd w:val="clear" w:color="000000" w:fill="FFFFFF"/>
            <w:vAlign w:val="center"/>
          </w:tcPr>
          <w:p w14:paraId="44F124E9">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项目实施的实际产出数与计划产出数的比率，用以反映和考核项目产出数量目标的实现程度。</w:t>
            </w:r>
          </w:p>
        </w:tc>
        <w:tc>
          <w:tcPr>
            <w:tcW w:w="7341" w:type="dxa"/>
            <w:vMerge w:val="restart"/>
            <w:tcBorders>
              <w:tl2br w:val="nil"/>
              <w:tr2bl w:val="nil"/>
            </w:tcBorders>
            <w:shd w:val="clear" w:color="000000" w:fill="FFFFFF"/>
            <w:vAlign w:val="center"/>
          </w:tcPr>
          <w:p w14:paraId="30731E2D">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实际完成率=（实际产出数/计划产出数）×100%。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实际产出数：一定时期（本年度或项目期）内项目实际产出的产品或提供的服务数量。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计划产出数：项目绩效目标确定的在一定时期（本年度或项目期）内计划产出的产品或提供的服务数量。</w:t>
            </w:r>
          </w:p>
        </w:tc>
      </w:tr>
      <w:tr w14:paraId="6CBC21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 w:hRule="atLeast"/>
          <w:jc w:val="center"/>
        </w:trPr>
        <w:tc>
          <w:tcPr>
            <w:tcW w:w="1155" w:type="dxa"/>
            <w:vMerge w:val="continue"/>
            <w:tcBorders>
              <w:tl2br w:val="nil"/>
              <w:tr2bl w:val="nil"/>
            </w:tcBorders>
            <w:shd w:val="clear" w:color="auto" w:fill="FFFFFF"/>
            <w:vAlign w:val="center"/>
          </w:tcPr>
          <w:p w14:paraId="0B389E0E">
            <w:pPr>
              <w:widowControl/>
              <w:ind w:firstLine="0" w:firstLineChars="0"/>
              <w:jc w:val="center"/>
              <w:rPr>
                <w:rFonts w:ascii="宋体" w:hAnsi="宋体" w:eastAsia="宋体" w:cs="宋体"/>
                <w:color w:val="000000"/>
                <w:kern w:val="0"/>
                <w:sz w:val="22"/>
              </w:rPr>
            </w:pPr>
          </w:p>
        </w:tc>
        <w:tc>
          <w:tcPr>
            <w:tcW w:w="1199" w:type="dxa"/>
            <w:vMerge w:val="continue"/>
            <w:tcBorders>
              <w:tl2br w:val="nil"/>
              <w:tr2bl w:val="nil"/>
            </w:tcBorders>
            <w:shd w:val="clear" w:color="auto" w:fill="FFFFFF"/>
            <w:vAlign w:val="center"/>
          </w:tcPr>
          <w:p w14:paraId="07BD667C">
            <w:pPr>
              <w:widowControl/>
              <w:ind w:firstLine="0" w:firstLineChars="0"/>
              <w:jc w:val="center"/>
              <w:rPr>
                <w:rFonts w:ascii="宋体" w:hAnsi="宋体" w:eastAsia="宋体" w:cs="宋体"/>
                <w:color w:val="000000"/>
                <w:kern w:val="0"/>
                <w:sz w:val="22"/>
              </w:rPr>
            </w:pPr>
          </w:p>
        </w:tc>
        <w:tc>
          <w:tcPr>
            <w:tcW w:w="1411" w:type="dxa"/>
            <w:tcBorders>
              <w:tl2br w:val="nil"/>
              <w:tr2bl w:val="nil"/>
            </w:tcBorders>
            <w:shd w:val="clear" w:color="auto" w:fill="FFFFFF"/>
          </w:tcPr>
          <w:p w14:paraId="55A49578">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全年接待人次</w:t>
            </w:r>
          </w:p>
        </w:tc>
        <w:tc>
          <w:tcPr>
            <w:tcW w:w="2789" w:type="dxa"/>
            <w:vMerge w:val="continue"/>
            <w:tcBorders>
              <w:tl2br w:val="nil"/>
              <w:tr2bl w:val="nil"/>
            </w:tcBorders>
            <w:shd w:val="clear" w:color="000000" w:fill="FFFFFF"/>
            <w:vAlign w:val="center"/>
          </w:tcPr>
          <w:p w14:paraId="769DEA43">
            <w:pPr>
              <w:widowControl/>
              <w:ind w:firstLine="0" w:firstLineChars="0"/>
              <w:rPr>
                <w:rFonts w:ascii="宋体" w:hAnsi="宋体" w:eastAsia="宋体" w:cs="宋体"/>
                <w:color w:val="000000"/>
                <w:kern w:val="0"/>
                <w:sz w:val="22"/>
              </w:rPr>
            </w:pPr>
          </w:p>
        </w:tc>
        <w:tc>
          <w:tcPr>
            <w:tcW w:w="7341" w:type="dxa"/>
            <w:vMerge w:val="continue"/>
            <w:tcBorders>
              <w:tl2br w:val="nil"/>
              <w:tr2bl w:val="nil"/>
            </w:tcBorders>
            <w:shd w:val="clear" w:color="000000" w:fill="FFFFFF"/>
            <w:vAlign w:val="center"/>
          </w:tcPr>
          <w:p w14:paraId="58C7731D">
            <w:pPr>
              <w:widowControl/>
              <w:ind w:firstLine="0" w:firstLineChars="0"/>
              <w:rPr>
                <w:rFonts w:ascii="宋体" w:hAnsi="宋体" w:eastAsia="宋体" w:cs="宋体"/>
                <w:color w:val="000000"/>
                <w:kern w:val="0"/>
                <w:sz w:val="22"/>
              </w:rPr>
            </w:pPr>
          </w:p>
        </w:tc>
      </w:tr>
      <w:tr w14:paraId="6A2436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 w:hRule="atLeast"/>
          <w:jc w:val="center"/>
        </w:trPr>
        <w:tc>
          <w:tcPr>
            <w:tcW w:w="1155" w:type="dxa"/>
            <w:vMerge w:val="continue"/>
            <w:tcBorders>
              <w:tl2br w:val="nil"/>
              <w:tr2bl w:val="nil"/>
            </w:tcBorders>
            <w:shd w:val="clear" w:color="auto" w:fill="FFFFFF"/>
            <w:vAlign w:val="center"/>
          </w:tcPr>
          <w:p w14:paraId="30DF9415">
            <w:pPr>
              <w:widowControl/>
              <w:ind w:firstLine="0" w:firstLineChars="0"/>
              <w:jc w:val="center"/>
            </w:pPr>
          </w:p>
        </w:tc>
        <w:tc>
          <w:tcPr>
            <w:tcW w:w="1199" w:type="dxa"/>
            <w:vMerge w:val="continue"/>
            <w:tcBorders>
              <w:tl2br w:val="nil"/>
              <w:tr2bl w:val="nil"/>
            </w:tcBorders>
            <w:shd w:val="clear" w:color="auto" w:fill="FFFFFF"/>
            <w:vAlign w:val="center"/>
          </w:tcPr>
          <w:p w14:paraId="7805A443">
            <w:pPr>
              <w:widowControl/>
              <w:ind w:firstLine="0" w:firstLineChars="0"/>
              <w:jc w:val="center"/>
            </w:pPr>
          </w:p>
        </w:tc>
        <w:tc>
          <w:tcPr>
            <w:tcW w:w="1411" w:type="dxa"/>
            <w:tcBorders>
              <w:tl2br w:val="nil"/>
              <w:tr2bl w:val="nil"/>
            </w:tcBorders>
            <w:shd w:val="clear" w:color="auto" w:fill="FFFFFF"/>
          </w:tcPr>
          <w:p w14:paraId="2A2201DE">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提供毕业生实习就业岗位</w:t>
            </w:r>
          </w:p>
        </w:tc>
        <w:tc>
          <w:tcPr>
            <w:tcW w:w="2789" w:type="dxa"/>
            <w:vMerge w:val="continue"/>
            <w:tcBorders>
              <w:tl2br w:val="nil"/>
              <w:tr2bl w:val="nil"/>
            </w:tcBorders>
            <w:shd w:val="clear" w:color="000000" w:fill="FFFFFF"/>
            <w:vAlign w:val="center"/>
          </w:tcPr>
          <w:p w14:paraId="1A313293">
            <w:pPr>
              <w:widowControl/>
              <w:ind w:firstLine="0" w:firstLineChars="0"/>
              <w:jc w:val="center"/>
              <w:rPr>
                <w:rFonts w:ascii="宋体" w:hAnsi="宋体" w:eastAsia="宋体" w:cs="宋体"/>
                <w:color w:val="000000"/>
                <w:kern w:val="0"/>
                <w:sz w:val="22"/>
                <w:highlight w:val="yellow"/>
              </w:rPr>
            </w:pPr>
          </w:p>
        </w:tc>
        <w:tc>
          <w:tcPr>
            <w:tcW w:w="7341" w:type="dxa"/>
            <w:vMerge w:val="continue"/>
            <w:tcBorders>
              <w:tl2br w:val="nil"/>
              <w:tr2bl w:val="nil"/>
            </w:tcBorders>
            <w:shd w:val="clear" w:color="000000" w:fill="FFFFFF"/>
            <w:vAlign w:val="center"/>
          </w:tcPr>
          <w:p w14:paraId="5D57F048">
            <w:pPr>
              <w:widowControl/>
              <w:ind w:firstLine="0" w:firstLineChars="0"/>
              <w:jc w:val="center"/>
              <w:rPr>
                <w:rFonts w:ascii="宋体" w:hAnsi="宋体" w:eastAsia="宋体" w:cs="宋体"/>
                <w:color w:val="000000"/>
                <w:kern w:val="0"/>
                <w:sz w:val="22"/>
                <w:highlight w:val="yellow"/>
              </w:rPr>
            </w:pPr>
          </w:p>
        </w:tc>
      </w:tr>
      <w:tr w14:paraId="72505A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155" w:type="dxa"/>
            <w:vMerge w:val="continue"/>
            <w:tcBorders>
              <w:tl2br w:val="nil"/>
              <w:tr2bl w:val="nil"/>
            </w:tcBorders>
            <w:shd w:val="clear" w:color="auto" w:fill="FFFFFF"/>
            <w:vAlign w:val="center"/>
          </w:tcPr>
          <w:p w14:paraId="4C32E1A8">
            <w:pPr>
              <w:widowControl/>
              <w:ind w:firstLine="0" w:firstLineChars="0"/>
              <w:jc w:val="center"/>
              <w:rPr>
                <w:rFonts w:ascii="宋体" w:hAnsi="宋体" w:eastAsia="宋体" w:cs="宋体"/>
                <w:color w:val="000000"/>
                <w:kern w:val="0"/>
                <w:sz w:val="22"/>
              </w:rPr>
            </w:pPr>
          </w:p>
        </w:tc>
        <w:tc>
          <w:tcPr>
            <w:tcW w:w="1199" w:type="dxa"/>
            <w:vMerge w:val="continue"/>
            <w:tcBorders>
              <w:tl2br w:val="nil"/>
              <w:tr2bl w:val="nil"/>
            </w:tcBorders>
            <w:shd w:val="clear" w:color="auto" w:fill="FFFFFF"/>
            <w:vAlign w:val="center"/>
          </w:tcPr>
          <w:p w14:paraId="43FAF135">
            <w:pPr>
              <w:widowControl/>
              <w:ind w:firstLine="0" w:firstLineChars="0"/>
              <w:jc w:val="center"/>
              <w:rPr>
                <w:rFonts w:ascii="宋体" w:hAnsi="宋体" w:eastAsia="宋体" w:cs="宋体"/>
                <w:color w:val="000000"/>
                <w:kern w:val="0"/>
                <w:sz w:val="22"/>
              </w:rPr>
            </w:pPr>
          </w:p>
        </w:tc>
        <w:tc>
          <w:tcPr>
            <w:tcW w:w="1411" w:type="dxa"/>
            <w:tcBorders>
              <w:tl2br w:val="nil"/>
              <w:tr2bl w:val="nil"/>
            </w:tcBorders>
            <w:shd w:val="clear" w:color="auto" w:fill="FFFFFF"/>
          </w:tcPr>
          <w:p w14:paraId="1C45BC6E">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全年开展文化活动</w:t>
            </w:r>
          </w:p>
        </w:tc>
        <w:tc>
          <w:tcPr>
            <w:tcW w:w="2789" w:type="dxa"/>
            <w:vMerge w:val="continue"/>
            <w:tcBorders>
              <w:tl2br w:val="nil"/>
              <w:tr2bl w:val="nil"/>
            </w:tcBorders>
            <w:shd w:val="clear" w:color="000000" w:fill="FFFFFF"/>
            <w:vAlign w:val="center"/>
          </w:tcPr>
          <w:p w14:paraId="142912D0">
            <w:pPr>
              <w:widowControl/>
              <w:ind w:firstLine="0" w:firstLineChars="0"/>
              <w:rPr>
                <w:rFonts w:ascii="宋体" w:hAnsi="宋体" w:eastAsia="宋体" w:cs="宋体"/>
                <w:color w:val="000000"/>
                <w:kern w:val="0"/>
                <w:sz w:val="22"/>
              </w:rPr>
            </w:pPr>
          </w:p>
        </w:tc>
        <w:tc>
          <w:tcPr>
            <w:tcW w:w="7341" w:type="dxa"/>
            <w:vMerge w:val="continue"/>
            <w:tcBorders>
              <w:tl2br w:val="nil"/>
              <w:tr2bl w:val="nil"/>
            </w:tcBorders>
            <w:shd w:val="clear" w:color="000000" w:fill="FFFFFF"/>
            <w:vAlign w:val="center"/>
          </w:tcPr>
          <w:p w14:paraId="39F44C12">
            <w:pPr>
              <w:widowControl/>
              <w:ind w:firstLine="0" w:firstLineChars="0"/>
              <w:rPr>
                <w:rFonts w:ascii="宋体" w:hAnsi="宋体" w:eastAsia="宋体" w:cs="宋体"/>
                <w:color w:val="000000"/>
                <w:kern w:val="0"/>
                <w:sz w:val="22"/>
              </w:rPr>
            </w:pPr>
          </w:p>
        </w:tc>
      </w:tr>
      <w:tr w14:paraId="4F5DD6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1155" w:type="dxa"/>
            <w:vMerge w:val="restart"/>
            <w:tcBorders>
              <w:tl2br w:val="nil"/>
              <w:tr2bl w:val="nil"/>
            </w:tcBorders>
            <w:shd w:val="clear" w:color="auto" w:fill="FFFFFF"/>
            <w:vAlign w:val="center"/>
          </w:tcPr>
          <w:p w14:paraId="39D3A2EA">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产出</w:t>
            </w:r>
          </w:p>
        </w:tc>
        <w:tc>
          <w:tcPr>
            <w:tcW w:w="1199" w:type="dxa"/>
            <w:vMerge w:val="restart"/>
            <w:tcBorders>
              <w:tl2br w:val="nil"/>
              <w:tr2bl w:val="nil"/>
            </w:tcBorders>
            <w:shd w:val="clear" w:color="auto" w:fill="FFFFFF"/>
            <w:vAlign w:val="center"/>
          </w:tcPr>
          <w:p w14:paraId="4758080C">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产出质量</w:t>
            </w:r>
          </w:p>
        </w:tc>
        <w:tc>
          <w:tcPr>
            <w:tcW w:w="1411" w:type="dxa"/>
            <w:tcBorders>
              <w:tl2br w:val="nil"/>
              <w:tr2bl w:val="nil"/>
            </w:tcBorders>
            <w:shd w:val="clear" w:color="auto" w:fill="FFFFFF"/>
            <w:vAlign w:val="center"/>
          </w:tcPr>
          <w:p w14:paraId="33736F82">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演员出勤率</w:t>
            </w:r>
          </w:p>
        </w:tc>
        <w:tc>
          <w:tcPr>
            <w:tcW w:w="2789" w:type="dxa"/>
            <w:vMerge w:val="restart"/>
            <w:tcBorders>
              <w:tl2br w:val="nil"/>
              <w:tr2bl w:val="nil"/>
            </w:tcBorders>
            <w:shd w:val="clear" w:color="000000" w:fill="FFFFFF"/>
            <w:vAlign w:val="center"/>
          </w:tcPr>
          <w:p w14:paraId="2EE34E2D">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项目完成的质量达标产出数与实际产出数的比率，用以反映和考核项目产出质量目标的实现程度。</w:t>
            </w:r>
          </w:p>
        </w:tc>
        <w:tc>
          <w:tcPr>
            <w:tcW w:w="7341" w:type="dxa"/>
            <w:vMerge w:val="restart"/>
            <w:tcBorders>
              <w:tl2br w:val="nil"/>
              <w:tr2bl w:val="nil"/>
            </w:tcBorders>
            <w:shd w:val="clear" w:color="000000" w:fill="FFFFFF"/>
            <w:vAlign w:val="center"/>
          </w:tcPr>
          <w:p w14:paraId="6A67EC90">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质量达标率=（质量达标产出数/实际产出数）×100%。</w:t>
            </w:r>
          </w:p>
          <w:p w14:paraId="3141688A">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1C6F1B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1155" w:type="dxa"/>
            <w:vMerge w:val="continue"/>
            <w:tcBorders>
              <w:tl2br w:val="nil"/>
              <w:tr2bl w:val="nil"/>
            </w:tcBorders>
            <w:shd w:val="clear" w:color="auto" w:fill="FFFFFF"/>
            <w:vAlign w:val="center"/>
          </w:tcPr>
          <w:p w14:paraId="5986D89E">
            <w:pPr>
              <w:widowControl/>
              <w:ind w:firstLine="0" w:firstLineChars="0"/>
              <w:jc w:val="center"/>
              <w:rPr>
                <w:rFonts w:hint="eastAsia" w:ascii="宋体" w:hAnsi="宋体" w:eastAsia="宋体" w:cs="宋体"/>
                <w:color w:val="000000"/>
                <w:kern w:val="0"/>
                <w:sz w:val="22"/>
                <w:highlight w:val="yellow"/>
              </w:rPr>
            </w:pPr>
          </w:p>
        </w:tc>
        <w:tc>
          <w:tcPr>
            <w:tcW w:w="1199" w:type="dxa"/>
            <w:vMerge w:val="continue"/>
            <w:tcBorders>
              <w:tl2br w:val="nil"/>
              <w:tr2bl w:val="nil"/>
            </w:tcBorders>
            <w:shd w:val="clear" w:color="auto" w:fill="FFFFFF"/>
            <w:vAlign w:val="center"/>
          </w:tcPr>
          <w:p w14:paraId="5DDC5B5E">
            <w:pPr>
              <w:widowControl/>
              <w:ind w:firstLine="0" w:firstLineChars="0"/>
              <w:jc w:val="center"/>
              <w:rPr>
                <w:rFonts w:hint="eastAsia" w:ascii="宋体" w:hAnsi="宋体" w:eastAsia="宋体" w:cs="宋体"/>
                <w:color w:val="000000"/>
                <w:kern w:val="0"/>
                <w:sz w:val="22"/>
              </w:rPr>
            </w:pPr>
          </w:p>
        </w:tc>
        <w:tc>
          <w:tcPr>
            <w:tcW w:w="1411" w:type="dxa"/>
            <w:tcBorders>
              <w:tl2br w:val="nil"/>
              <w:tr2bl w:val="nil"/>
            </w:tcBorders>
            <w:shd w:val="clear" w:color="auto" w:fill="FFFFFF"/>
            <w:vAlign w:val="center"/>
          </w:tcPr>
          <w:p w14:paraId="2FE1265F">
            <w:pPr>
              <w:widowControl/>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rPr>
              <w:t>资金到位及时率（%）</w:t>
            </w:r>
          </w:p>
        </w:tc>
        <w:tc>
          <w:tcPr>
            <w:tcW w:w="2789" w:type="dxa"/>
            <w:vMerge w:val="continue"/>
            <w:tcBorders>
              <w:tl2br w:val="nil"/>
              <w:tr2bl w:val="nil"/>
            </w:tcBorders>
            <w:shd w:val="clear" w:color="000000" w:fill="FFFFFF"/>
            <w:vAlign w:val="center"/>
          </w:tcPr>
          <w:p w14:paraId="4D666BB4">
            <w:pPr>
              <w:widowControl/>
              <w:ind w:firstLine="0" w:firstLineChars="0"/>
              <w:rPr>
                <w:rFonts w:hint="eastAsia" w:ascii="宋体" w:hAnsi="宋体" w:eastAsia="宋体" w:cs="宋体"/>
                <w:color w:val="000000"/>
                <w:kern w:val="0"/>
                <w:sz w:val="22"/>
              </w:rPr>
            </w:pPr>
          </w:p>
        </w:tc>
        <w:tc>
          <w:tcPr>
            <w:tcW w:w="7341" w:type="dxa"/>
            <w:vMerge w:val="continue"/>
            <w:tcBorders>
              <w:tl2br w:val="nil"/>
              <w:tr2bl w:val="nil"/>
            </w:tcBorders>
            <w:shd w:val="clear" w:color="000000" w:fill="FFFFFF"/>
            <w:vAlign w:val="center"/>
          </w:tcPr>
          <w:p w14:paraId="3AD84A4D">
            <w:pPr>
              <w:widowControl/>
              <w:ind w:firstLine="0" w:firstLineChars="0"/>
              <w:rPr>
                <w:rFonts w:hint="eastAsia" w:ascii="宋体" w:hAnsi="宋体" w:eastAsia="宋体" w:cs="宋体"/>
                <w:color w:val="000000"/>
                <w:kern w:val="0"/>
                <w:sz w:val="22"/>
              </w:rPr>
            </w:pPr>
          </w:p>
        </w:tc>
      </w:tr>
      <w:tr w14:paraId="17BAC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1155" w:type="dxa"/>
            <w:tcBorders>
              <w:tl2br w:val="nil"/>
              <w:tr2bl w:val="nil"/>
            </w:tcBorders>
            <w:shd w:val="clear" w:color="auto" w:fill="FFFFFF"/>
            <w:vAlign w:val="center"/>
          </w:tcPr>
          <w:p w14:paraId="3C3101F9">
            <w:pPr>
              <w:widowControl/>
              <w:ind w:firstLine="0" w:firstLineChars="0"/>
              <w:jc w:val="center"/>
            </w:pPr>
          </w:p>
        </w:tc>
        <w:tc>
          <w:tcPr>
            <w:tcW w:w="1199" w:type="dxa"/>
            <w:tcBorders>
              <w:tl2br w:val="nil"/>
              <w:tr2bl w:val="nil"/>
            </w:tcBorders>
            <w:shd w:val="clear" w:color="auto" w:fill="FFFFFF"/>
            <w:vAlign w:val="center"/>
          </w:tcPr>
          <w:p w14:paraId="44622B48">
            <w:pPr>
              <w:widowControl/>
              <w:ind w:firstLine="0" w:firstLineChars="0"/>
              <w:jc w:val="center"/>
            </w:pPr>
            <w:r>
              <w:rPr>
                <w:rFonts w:hint="eastAsia" w:ascii="宋体" w:hAnsi="宋体" w:eastAsia="宋体" w:cs="宋体"/>
                <w:color w:val="000000"/>
                <w:kern w:val="0"/>
                <w:sz w:val="22"/>
              </w:rPr>
              <w:t>产出时效</w:t>
            </w:r>
          </w:p>
        </w:tc>
        <w:tc>
          <w:tcPr>
            <w:tcW w:w="1411" w:type="dxa"/>
            <w:tcBorders>
              <w:tl2br w:val="nil"/>
              <w:tr2bl w:val="nil"/>
            </w:tcBorders>
            <w:shd w:val="clear" w:color="auto" w:fill="FFFFFF"/>
            <w:vAlign w:val="center"/>
          </w:tcPr>
          <w:p w14:paraId="0DFEB487">
            <w:pPr>
              <w:widowControl/>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rPr>
              <w:t>资金补助及时率</w:t>
            </w:r>
          </w:p>
        </w:tc>
        <w:tc>
          <w:tcPr>
            <w:tcW w:w="2789" w:type="dxa"/>
            <w:tcBorders>
              <w:tl2br w:val="nil"/>
              <w:tr2bl w:val="nil"/>
            </w:tcBorders>
            <w:shd w:val="clear" w:color="000000" w:fill="FFFFFF"/>
            <w:vAlign w:val="center"/>
          </w:tcPr>
          <w:p w14:paraId="4A9A1C37">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项目实际完成时间与计划时间的比较</w:t>
            </w:r>
          </w:p>
        </w:tc>
        <w:tc>
          <w:tcPr>
            <w:tcW w:w="7341" w:type="dxa"/>
            <w:tcBorders>
              <w:tl2br w:val="nil"/>
              <w:tr2bl w:val="nil"/>
            </w:tcBorders>
            <w:shd w:val="clear" w:color="000000" w:fill="FFFFFF"/>
            <w:vAlign w:val="center"/>
          </w:tcPr>
          <w:p w14:paraId="07536827">
            <w:pPr>
              <w:widowControl/>
              <w:ind w:firstLine="0" w:firstLineChars="0"/>
              <w:rPr>
                <w:rFonts w:hint="eastAsia" w:ascii="宋体" w:hAnsi="宋体" w:eastAsia="宋体" w:cs="宋体"/>
                <w:color w:val="000000"/>
                <w:kern w:val="0"/>
                <w:sz w:val="22"/>
              </w:rPr>
            </w:pPr>
            <w:r>
              <w:rPr>
                <w:rFonts w:hint="eastAsia" w:ascii="宋体" w:hAnsi="宋体" w:eastAsia="宋体" w:cs="宋体"/>
                <w:color w:val="000000"/>
                <w:kern w:val="0"/>
                <w:sz w:val="22"/>
              </w:rPr>
              <w:t>实际完成时间：项目实施单位完成该项目实际耗用时间</w:t>
            </w:r>
          </w:p>
          <w:p w14:paraId="3D22BC0D">
            <w:pPr>
              <w:widowControl/>
              <w:ind w:firstLine="0" w:firstLineChars="0"/>
            </w:pPr>
            <w:r>
              <w:rPr>
                <w:rFonts w:hint="eastAsia" w:ascii="宋体" w:hAnsi="宋体" w:eastAsia="宋体" w:cs="宋体"/>
                <w:color w:val="000000"/>
                <w:kern w:val="0"/>
                <w:sz w:val="22"/>
              </w:rPr>
              <w:t>计划完成时间：按照项目实施计划或相关规定完成项目所需时间。</w:t>
            </w:r>
          </w:p>
        </w:tc>
      </w:tr>
      <w:tr w14:paraId="1CF862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1155" w:type="dxa"/>
            <w:tcBorders>
              <w:tl2br w:val="nil"/>
              <w:tr2bl w:val="nil"/>
            </w:tcBorders>
            <w:shd w:val="clear" w:color="auto" w:fill="FFFFFF"/>
            <w:vAlign w:val="center"/>
          </w:tcPr>
          <w:p w14:paraId="37D602A8">
            <w:pPr>
              <w:widowControl/>
              <w:ind w:firstLine="0" w:firstLineChars="0"/>
              <w:jc w:val="center"/>
            </w:pPr>
          </w:p>
        </w:tc>
        <w:tc>
          <w:tcPr>
            <w:tcW w:w="1199" w:type="dxa"/>
            <w:tcBorders>
              <w:tl2br w:val="nil"/>
              <w:tr2bl w:val="nil"/>
            </w:tcBorders>
            <w:shd w:val="clear" w:color="auto" w:fill="FFFFFF"/>
            <w:vAlign w:val="center"/>
          </w:tcPr>
          <w:p w14:paraId="27B03B96">
            <w:pPr>
              <w:widowControl/>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rPr>
              <w:t>产出成本</w:t>
            </w:r>
          </w:p>
        </w:tc>
        <w:tc>
          <w:tcPr>
            <w:tcW w:w="1411" w:type="dxa"/>
            <w:tcBorders>
              <w:tl2br w:val="nil"/>
              <w:tr2bl w:val="nil"/>
            </w:tcBorders>
            <w:shd w:val="clear" w:color="auto" w:fill="FFFFFF"/>
            <w:vAlign w:val="center"/>
          </w:tcPr>
          <w:p w14:paraId="3B9A1CAB">
            <w:pPr>
              <w:widowControl/>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rPr>
              <w:t>PPP项目可行性缺口补助</w:t>
            </w:r>
          </w:p>
        </w:tc>
        <w:tc>
          <w:tcPr>
            <w:tcW w:w="2789" w:type="dxa"/>
            <w:tcBorders>
              <w:tl2br w:val="nil"/>
              <w:tr2bl w:val="nil"/>
            </w:tcBorders>
            <w:shd w:val="clear" w:color="000000" w:fill="FFFFFF"/>
            <w:vAlign w:val="center"/>
          </w:tcPr>
          <w:p w14:paraId="47F32863">
            <w:pPr>
              <w:widowControl/>
              <w:ind w:firstLine="0" w:firstLineChars="0"/>
              <w:jc w:val="center"/>
              <w:rPr>
                <w:rFonts w:hint="eastAsia" w:ascii="宋体" w:hAnsi="宋体" w:eastAsia="宋体" w:cs="宋体"/>
                <w:color w:val="000000"/>
                <w:kern w:val="0"/>
                <w:sz w:val="22"/>
              </w:rPr>
            </w:pPr>
            <w:r>
              <w:rPr>
                <w:rFonts w:hint="eastAsia" w:ascii="宋体" w:hAnsi="宋体" w:eastAsia="宋体" w:cs="宋体"/>
                <w:color w:val="000000"/>
                <w:kern w:val="0"/>
                <w:sz w:val="22"/>
              </w:rPr>
              <w:t>根据绩效考核结果，确定该项目可行性缺口补助金额</w:t>
            </w:r>
          </w:p>
        </w:tc>
        <w:tc>
          <w:tcPr>
            <w:tcW w:w="7341" w:type="dxa"/>
            <w:tcBorders>
              <w:tl2br w:val="nil"/>
              <w:tr2bl w:val="nil"/>
            </w:tcBorders>
            <w:shd w:val="clear" w:color="000000" w:fill="FFFFFF"/>
            <w:vAlign w:val="center"/>
          </w:tcPr>
          <w:p w14:paraId="48D84BAC">
            <w:pPr>
              <w:widowControl/>
              <w:ind w:firstLine="0" w:firstLineChars="0"/>
              <w:rPr>
                <w:rFonts w:hint="eastAsia" w:ascii="宋体" w:hAnsi="宋体" w:eastAsia="宋体" w:cs="宋体"/>
                <w:color w:val="000000"/>
                <w:kern w:val="0"/>
                <w:sz w:val="22"/>
              </w:rPr>
            </w:pPr>
            <w:r>
              <w:rPr>
                <w:rFonts w:hint="eastAsia" w:ascii="宋体" w:hAnsi="宋体" w:eastAsia="宋体" w:cs="宋体"/>
                <w:color w:val="000000"/>
                <w:kern w:val="0"/>
                <w:sz w:val="22"/>
              </w:rPr>
              <w:t>根据绩效考核结果，确定该项目可行性缺口补助金额</w:t>
            </w:r>
          </w:p>
        </w:tc>
      </w:tr>
      <w:tr w14:paraId="074F63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9" w:hRule="atLeast"/>
          <w:jc w:val="center"/>
        </w:trPr>
        <w:tc>
          <w:tcPr>
            <w:tcW w:w="1155" w:type="dxa"/>
            <w:tcBorders>
              <w:tl2br w:val="nil"/>
              <w:tr2bl w:val="nil"/>
            </w:tcBorders>
            <w:shd w:val="clear" w:color="auto" w:fill="FFFFFF"/>
            <w:vAlign w:val="center"/>
          </w:tcPr>
          <w:p w14:paraId="485BCB2D">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效益</w:t>
            </w:r>
          </w:p>
        </w:tc>
        <w:tc>
          <w:tcPr>
            <w:tcW w:w="1199" w:type="dxa"/>
            <w:tcBorders>
              <w:tl2br w:val="nil"/>
              <w:tr2bl w:val="nil"/>
            </w:tcBorders>
            <w:shd w:val="clear" w:color="auto" w:fill="FFFFFF"/>
            <w:vAlign w:val="center"/>
          </w:tcPr>
          <w:p w14:paraId="650EFDB4">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社会效益指标</w:t>
            </w:r>
          </w:p>
        </w:tc>
        <w:tc>
          <w:tcPr>
            <w:tcW w:w="1411" w:type="dxa"/>
            <w:tcBorders>
              <w:tl2br w:val="nil"/>
              <w:tr2bl w:val="nil"/>
            </w:tcBorders>
            <w:shd w:val="clear" w:color="auto" w:fill="FFFFFF"/>
            <w:vAlign w:val="center"/>
          </w:tcPr>
          <w:p w14:paraId="10CC9059">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发展文化旅游产业</w:t>
            </w:r>
          </w:p>
        </w:tc>
        <w:tc>
          <w:tcPr>
            <w:tcW w:w="2789" w:type="dxa"/>
            <w:tcBorders>
              <w:tl2br w:val="nil"/>
              <w:tr2bl w:val="nil"/>
            </w:tcBorders>
            <w:shd w:val="clear" w:color="auto" w:fill="FFFFFF"/>
            <w:vAlign w:val="center"/>
          </w:tcPr>
          <w:p w14:paraId="449B05E2">
            <w:pPr>
              <w:widowControl/>
              <w:ind w:firstLine="0" w:firstLineChars="0"/>
              <w:jc w:val="left"/>
              <w:rPr>
                <w:rFonts w:ascii="宋体" w:hAnsi="宋体" w:eastAsia="宋体" w:cs="宋体"/>
                <w:color w:val="000000"/>
                <w:kern w:val="0"/>
                <w:sz w:val="22"/>
              </w:rPr>
            </w:pPr>
            <w:r>
              <w:rPr>
                <w:rFonts w:hint="eastAsia" w:ascii="宋体" w:hAnsi="宋体" w:eastAsia="宋体" w:cs="宋体"/>
                <w:color w:val="000000"/>
                <w:kern w:val="0"/>
                <w:sz w:val="22"/>
              </w:rPr>
              <w:t>项目实施所产生的效益。</w:t>
            </w:r>
          </w:p>
        </w:tc>
        <w:tc>
          <w:tcPr>
            <w:tcW w:w="7341" w:type="dxa"/>
            <w:tcBorders>
              <w:tl2br w:val="nil"/>
              <w:tr2bl w:val="nil"/>
            </w:tcBorders>
            <w:shd w:val="clear" w:color="auto" w:fill="FFFFFF"/>
            <w:vAlign w:val="center"/>
          </w:tcPr>
          <w:p w14:paraId="1408996C">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项目实施所产生的社会效益、经济效益、生态效益、可持续影响等。可根据项目实际情况有选择地设置和细化。</w:t>
            </w:r>
          </w:p>
        </w:tc>
      </w:tr>
      <w:tr w14:paraId="242EE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7" w:hRule="atLeast"/>
          <w:jc w:val="center"/>
        </w:trPr>
        <w:tc>
          <w:tcPr>
            <w:tcW w:w="1155" w:type="dxa"/>
            <w:tcBorders>
              <w:tl2br w:val="nil"/>
              <w:tr2bl w:val="nil"/>
            </w:tcBorders>
            <w:shd w:val="clear" w:color="auto" w:fill="FFFFFF"/>
            <w:vAlign w:val="center"/>
          </w:tcPr>
          <w:p w14:paraId="0342287D">
            <w:pPr>
              <w:widowControl/>
              <w:ind w:firstLine="0" w:firstLineChars="0"/>
              <w:jc w:val="center"/>
              <w:rPr>
                <w:rFonts w:ascii="宋体" w:hAnsi="宋体" w:eastAsia="宋体" w:cs="宋体"/>
                <w:color w:val="000000"/>
                <w:kern w:val="0"/>
                <w:sz w:val="22"/>
              </w:rPr>
            </w:pPr>
            <w:r>
              <w:rPr>
                <w:rFonts w:ascii="宋体" w:hAnsi="宋体" w:eastAsia="宋体" w:cs="宋体"/>
                <w:color w:val="000000"/>
                <w:kern w:val="0"/>
                <w:sz w:val="22"/>
              </w:rPr>
              <w:t>满意度指标完成情况分析</w:t>
            </w:r>
          </w:p>
        </w:tc>
        <w:tc>
          <w:tcPr>
            <w:tcW w:w="1199" w:type="dxa"/>
            <w:tcBorders>
              <w:tl2br w:val="nil"/>
              <w:tr2bl w:val="nil"/>
            </w:tcBorders>
            <w:shd w:val="clear" w:color="auto" w:fill="FFFFFF"/>
            <w:vAlign w:val="center"/>
          </w:tcPr>
          <w:p w14:paraId="16C33770">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满意度指标</w:t>
            </w:r>
          </w:p>
        </w:tc>
        <w:tc>
          <w:tcPr>
            <w:tcW w:w="1411" w:type="dxa"/>
            <w:tcBorders>
              <w:tl2br w:val="nil"/>
              <w:tr2bl w:val="nil"/>
            </w:tcBorders>
            <w:shd w:val="clear" w:color="auto" w:fill="FFFFFF"/>
            <w:vAlign w:val="center"/>
          </w:tcPr>
          <w:p w14:paraId="6DDD6157">
            <w:pPr>
              <w:widowControl/>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社会公众满意度</w:t>
            </w:r>
          </w:p>
        </w:tc>
        <w:tc>
          <w:tcPr>
            <w:tcW w:w="2789" w:type="dxa"/>
            <w:tcBorders>
              <w:tl2br w:val="nil"/>
              <w:tr2bl w:val="nil"/>
            </w:tcBorders>
            <w:shd w:val="clear" w:color="000000" w:fill="FFFFFF"/>
            <w:vAlign w:val="center"/>
          </w:tcPr>
          <w:p w14:paraId="10897C3B">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社会公众或服务对象对项目实施效果的满意程度。</w:t>
            </w:r>
          </w:p>
        </w:tc>
        <w:tc>
          <w:tcPr>
            <w:tcW w:w="7341" w:type="dxa"/>
            <w:tcBorders>
              <w:tl2br w:val="nil"/>
              <w:tr2bl w:val="nil"/>
            </w:tcBorders>
            <w:shd w:val="clear" w:color="000000" w:fill="FFFFFF"/>
            <w:vAlign w:val="center"/>
          </w:tcPr>
          <w:p w14:paraId="2A4AE231">
            <w:pPr>
              <w:widowControl/>
              <w:ind w:firstLine="0" w:firstLineChars="0"/>
              <w:rPr>
                <w:rFonts w:ascii="宋体" w:hAnsi="宋体" w:eastAsia="宋体" w:cs="宋体"/>
                <w:color w:val="000000"/>
                <w:kern w:val="0"/>
                <w:sz w:val="22"/>
              </w:rPr>
            </w:pPr>
            <w:r>
              <w:rPr>
                <w:rFonts w:hint="eastAsia" w:ascii="宋体" w:hAnsi="宋体" w:eastAsia="宋体" w:cs="宋体"/>
                <w:color w:val="000000"/>
                <w:kern w:val="0"/>
                <w:sz w:val="22"/>
              </w:rPr>
              <w:t>社会公众或服务对象是指因该项目实施而受到影响的部门（单位）、群体或个人。一般采取社会调查的方式。</w:t>
            </w:r>
          </w:p>
        </w:tc>
      </w:tr>
    </w:tbl>
    <w:p w14:paraId="26932721">
      <w:pPr>
        <w:ind w:firstLine="0" w:firstLineChars="0"/>
        <w:jc w:val="center"/>
        <w:rPr>
          <w:rFonts w:ascii="仿宋_GB2312"/>
        </w:rPr>
      </w:pPr>
    </w:p>
    <w:p w14:paraId="3542EF40">
      <w:pPr>
        <w:ind w:firstLine="0" w:firstLineChars="0"/>
        <w:jc w:val="center"/>
        <w:rPr>
          <w:rFonts w:ascii="仿宋_GB2312"/>
        </w:rPr>
      </w:pPr>
    </w:p>
    <w:p w14:paraId="2114B7D3">
      <w:pPr>
        <w:ind w:firstLine="0" w:firstLineChars="0"/>
        <w:rPr>
          <w:rFonts w:ascii="仿宋_GB2312"/>
        </w:rPr>
        <w:sectPr>
          <w:pgSz w:w="16838" w:h="11906" w:orient="landscape"/>
          <w:pgMar w:top="1800" w:right="1440" w:bottom="1800" w:left="1440" w:header="1276" w:footer="992" w:gutter="0"/>
          <w:cols w:space="425" w:num="1"/>
          <w:docGrid w:type="lines" w:linePitch="381" w:charSpace="0"/>
        </w:sectPr>
      </w:pPr>
    </w:p>
    <w:p w14:paraId="6FD83760">
      <w:pPr>
        <w:pStyle w:val="5"/>
        <w:ind w:firstLine="643"/>
      </w:pPr>
      <w:bookmarkStart w:id="22" w:name="_Hlk67586038"/>
      <w:bookmarkStart w:id="23" w:name="_Toc165277234"/>
      <w:r>
        <w:t>3.</w:t>
      </w:r>
      <w:r>
        <w:rPr>
          <w:rFonts w:hint="eastAsia"/>
        </w:rPr>
        <w:t>评价方法</w:t>
      </w:r>
      <w:bookmarkEnd w:id="22"/>
      <w:bookmarkEnd w:id="23"/>
    </w:p>
    <w:p w14:paraId="178E3498">
      <w:pPr>
        <w:spacing w:line="360" w:lineRule="auto"/>
        <w:ind w:firstLine="560"/>
        <w:rPr>
          <w:rFonts w:ascii="仿宋_GB2312"/>
        </w:rPr>
      </w:pPr>
      <w:r>
        <w:rPr>
          <w:rFonts w:hint="eastAsia" w:ascii="仿宋_GB2312"/>
        </w:rPr>
        <w:t>《关于印发&lt;项目支出绩效评价管理办法&gt;的通知》（财预〔2020〕10号）文件指出部门评价的方法主要包括成本效益分析法、比较法、因素分析法、最低成本法、公众评判法、标杆管理法等。</w:t>
      </w:r>
    </w:p>
    <w:p w14:paraId="706FE5ED">
      <w:pPr>
        <w:spacing w:line="360" w:lineRule="auto"/>
        <w:ind w:firstLine="560"/>
        <w:rPr>
          <w:rFonts w:ascii="仿宋_GB2312"/>
        </w:rPr>
      </w:pPr>
      <w:r>
        <w:rPr>
          <w:rFonts w:hint="eastAsia" w:ascii="仿宋_GB2312"/>
        </w:rPr>
        <w:t>（1）成本效益分析法。是指将投入与产出、效益进行关联性分析的方法。</w:t>
      </w:r>
    </w:p>
    <w:p w14:paraId="7AF89975">
      <w:pPr>
        <w:spacing w:line="360" w:lineRule="auto"/>
        <w:ind w:firstLine="560"/>
        <w:rPr>
          <w:rFonts w:ascii="仿宋_GB2312"/>
        </w:rPr>
      </w:pPr>
      <w:r>
        <w:rPr>
          <w:rFonts w:hint="eastAsia" w:ascii="仿宋_GB2312"/>
        </w:rPr>
        <w:t>（2）比较法。是指将实施情况与绩效目标、历史情况、不同部门和地区同类支出情况进行比较的方法。</w:t>
      </w:r>
    </w:p>
    <w:p w14:paraId="5289AD1E">
      <w:pPr>
        <w:spacing w:line="360" w:lineRule="auto"/>
        <w:ind w:firstLine="560"/>
        <w:rPr>
          <w:rFonts w:ascii="仿宋_GB2312"/>
        </w:rPr>
      </w:pPr>
      <w:r>
        <w:rPr>
          <w:rFonts w:hint="eastAsia" w:ascii="仿宋_GB2312"/>
        </w:rPr>
        <w:t>（3）因素分析法。是指综合分析影响绩效目标实现、实施效果的内外部因素的方法。</w:t>
      </w:r>
    </w:p>
    <w:p w14:paraId="52E4BCC4">
      <w:pPr>
        <w:spacing w:line="360" w:lineRule="auto"/>
        <w:ind w:firstLine="560"/>
        <w:rPr>
          <w:rFonts w:ascii="仿宋_GB2312"/>
        </w:rPr>
      </w:pPr>
      <w:r>
        <w:rPr>
          <w:rFonts w:hint="eastAsia" w:ascii="仿宋_GB2312"/>
        </w:rPr>
        <w:t>（4）最低成本法。是指在绩效目标确定的前提下，成本最小者为优的方法。</w:t>
      </w:r>
    </w:p>
    <w:p w14:paraId="2D3F4C71">
      <w:pPr>
        <w:spacing w:line="360" w:lineRule="auto"/>
        <w:ind w:firstLine="560"/>
        <w:rPr>
          <w:rFonts w:ascii="仿宋_GB2312"/>
        </w:rPr>
      </w:pPr>
      <w:r>
        <w:rPr>
          <w:rFonts w:hint="eastAsia" w:ascii="仿宋_GB2312"/>
        </w:rPr>
        <w:t>（5）公众评判法。是指通过专家评估、公众问卷及抽样调查等方式进行评判的方法。</w:t>
      </w:r>
    </w:p>
    <w:p w14:paraId="343DADD6">
      <w:pPr>
        <w:spacing w:line="360" w:lineRule="auto"/>
        <w:ind w:firstLine="560"/>
        <w:rPr>
          <w:rFonts w:ascii="仿宋_GB2312"/>
        </w:rPr>
      </w:pPr>
      <w:r>
        <w:rPr>
          <w:rFonts w:hint="eastAsia" w:ascii="仿宋_GB2312"/>
        </w:rPr>
        <w:t>（6）标杆管理法。是指以国内外同行业中较高的绩效水平为标杆进行评判的方法。</w:t>
      </w:r>
    </w:p>
    <w:p w14:paraId="3ED9EA97">
      <w:pPr>
        <w:spacing w:line="360" w:lineRule="auto"/>
        <w:ind w:firstLine="560"/>
        <w:rPr>
          <w:rFonts w:ascii="仿宋_GB2312"/>
        </w:rPr>
      </w:pPr>
      <w:r>
        <w:rPr>
          <w:rFonts w:hint="eastAsia" w:ascii="仿宋_GB2312"/>
        </w:rPr>
        <w:t>（7）其他评价方法。</w:t>
      </w:r>
    </w:p>
    <w:p w14:paraId="692A8A06">
      <w:pPr>
        <w:spacing w:line="360" w:lineRule="auto"/>
        <w:ind w:firstLine="560"/>
        <w:rPr>
          <w:rFonts w:ascii="仿宋_GB2312"/>
        </w:rPr>
      </w:pPr>
      <w:r>
        <w:rPr>
          <w:rFonts w:hint="eastAsia" w:ascii="仿宋_GB2312"/>
        </w:rPr>
        <w:t>根据本项目（乌鲁木齐市文化中心项目）的特点，本次评价主要采用比较法和公众评判法，对项目总预算和明细预算的内容、标准、计划是否经济合理进行深入分析，以考察实际产出和效益是否达到预期。</w:t>
      </w:r>
    </w:p>
    <w:p w14:paraId="2A46190B">
      <w:pPr>
        <w:pStyle w:val="5"/>
        <w:ind w:firstLine="643"/>
      </w:pPr>
      <w:bookmarkStart w:id="24" w:name="_Toc165277235"/>
      <w:r>
        <w:t>4.</w:t>
      </w:r>
      <w:r>
        <w:rPr>
          <w:rFonts w:hint="eastAsia"/>
        </w:rPr>
        <w:t>评价标准</w:t>
      </w:r>
      <w:bookmarkEnd w:id="24"/>
    </w:p>
    <w:p w14:paraId="62888EDF">
      <w:pPr>
        <w:spacing w:line="360" w:lineRule="auto"/>
        <w:ind w:firstLine="560"/>
        <w:rPr>
          <w:rFonts w:ascii="仿宋_GB2312"/>
        </w:rPr>
      </w:pPr>
      <w:r>
        <w:rPr>
          <w:rFonts w:hint="eastAsia" w:ascii="仿宋_GB2312"/>
        </w:rPr>
        <w:t>绩效评价标准主要包括计划标准、行业标准、历史标准等，用于对绩效指标完成情况进行比较。</w:t>
      </w:r>
    </w:p>
    <w:p w14:paraId="6BB72CB4">
      <w:pPr>
        <w:spacing w:line="360" w:lineRule="auto"/>
        <w:ind w:firstLine="560"/>
        <w:rPr>
          <w:rFonts w:ascii="仿宋_GB2312"/>
        </w:rPr>
      </w:pPr>
      <w:r>
        <w:rPr>
          <w:rFonts w:hint="eastAsia" w:ascii="仿宋_GB2312"/>
        </w:rPr>
        <w:t>（1）计划标准。指以预先制定的目标、计划、预算、定额等作为评价标准。</w:t>
      </w:r>
    </w:p>
    <w:p w14:paraId="527B1C28">
      <w:pPr>
        <w:spacing w:line="360" w:lineRule="auto"/>
        <w:ind w:firstLine="560"/>
        <w:rPr>
          <w:rFonts w:ascii="仿宋_GB2312"/>
        </w:rPr>
      </w:pPr>
      <w:r>
        <w:rPr>
          <w:rFonts w:hint="eastAsia" w:ascii="仿宋_GB2312"/>
        </w:rPr>
        <w:t>（2）行业标准。指参照国家公布的行业指标数据制定的评价标准。</w:t>
      </w:r>
    </w:p>
    <w:p w14:paraId="76EE3D61">
      <w:pPr>
        <w:spacing w:line="360" w:lineRule="auto"/>
        <w:ind w:firstLine="560"/>
        <w:rPr>
          <w:rFonts w:ascii="仿宋_GB2312"/>
        </w:rPr>
      </w:pPr>
      <w:r>
        <w:rPr>
          <w:rFonts w:hint="eastAsia" w:ascii="仿宋_GB2312"/>
        </w:rPr>
        <w:t>（3）历史标准。指参照历史数据制定的评价标准，为体现绩效改进的原则，在可实现的条件下应当确定相对较高的评价标准。</w:t>
      </w:r>
    </w:p>
    <w:p w14:paraId="25A9CF44">
      <w:pPr>
        <w:spacing w:line="360" w:lineRule="auto"/>
        <w:ind w:firstLine="560"/>
        <w:rPr>
          <w:rFonts w:ascii="仿宋_GB2312"/>
        </w:rPr>
      </w:pPr>
      <w:r>
        <w:rPr>
          <w:rFonts w:hint="eastAsia" w:ascii="仿宋_GB2312"/>
        </w:rPr>
        <w:t>在上述评价标准的基础上，本次评价依据以下文件为重要指导和准绳：</w:t>
      </w:r>
    </w:p>
    <w:p w14:paraId="2DEED73C">
      <w:pPr>
        <w:spacing w:line="360" w:lineRule="auto"/>
        <w:ind w:firstLine="560"/>
        <w:rPr>
          <w:rFonts w:ascii="仿宋_GB2312"/>
        </w:rPr>
      </w:pPr>
      <w:r>
        <w:rPr>
          <w:rFonts w:hint="eastAsia" w:ascii="黑体" w:hAnsi="黑体" w:eastAsia="黑体" w:cs="Times New Roman"/>
          <w:szCs w:val="28"/>
        </w:rPr>
        <w:t>·</w:t>
      </w:r>
      <w:r>
        <w:rPr>
          <w:rFonts w:hint="eastAsia" w:ascii="仿宋_GB2312"/>
        </w:rPr>
        <w:t>《中共中央国务院关于全面实施预算绩效管理的意见》（中发〔2018〕34号）</w:t>
      </w:r>
    </w:p>
    <w:p w14:paraId="72463159">
      <w:pPr>
        <w:spacing w:line="360" w:lineRule="auto"/>
        <w:ind w:firstLine="560"/>
        <w:rPr>
          <w:rFonts w:ascii="仿宋_GB2312"/>
        </w:rPr>
      </w:pPr>
      <w:r>
        <w:rPr>
          <w:rFonts w:hint="eastAsia" w:ascii="黑体" w:hAnsi="黑体" w:eastAsia="黑体" w:cs="Times New Roman"/>
          <w:szCs w:val="28"/>
        </w:rPr>
        <w:t>·</w:t>
      </w:r>
      <w:r>
        <w:rPr>
          <w:rFonts w:hint="eastAsia" w:ascii="仿宋_GB2312"/>
        </w:rPr>
        <w:t>《关于印发&lt;乌鲁木齐市本级部门预算绩效目标管理暂行办法&gt;的通知》（乌财预〔2018〕56号）</w:t>
      </w:r>
    </w:p>
    <w:p w14:paraId="737609C8">
      <w:pPr>
        <w:spacing w:line="360" w:lineRule="auto"/>
        <w:ind w:firstLine="560" w:firstLineChars="0"/>
        <w:rPr>
          <w:rFonts w:ascii="仿宋_GB2312"/>
        </w:rPr>
      </w:pPr>
      <w:r>
        <w:rPr>
          <w:rFonts w:hint="eastAsia" w:ascii="黑体" w:hAnsi="黑体" w:eastAsia="黑体" w:cs="Times New Roman"/>
          <w:szCs w:val="28"/>
        </w:rPr>
        <w:t>·</w:t>
      </w:r>
      <w:r>
        <w:rPr>
          <w:rFonts w:hint="eastAsia" w:ascii="仿宋_GB2312"/>
        </w:rPr>
        <w:t>《关于做好2019年部门预算项目支出绩效目标管理有关事宜的通知》（乌财预〔2018〕76号）</w:t>
      </w:r>
    </w:p>
    <w:p w14:paraId="775753C4">
      <w:pPr>
        <w:spacing w:line="360" w:lineRule="auto"/>
        <w:ind w:firstLine="560"/>
        <w:rPr>
          <w:rFonts w:ascii="仿宋_GB2312"/>
        </w:rPr>
      </w:pPr>
      <w:r>
        <w:rPr>
          <w:rFonts w:hint="eastAsia" w:ascii="黑体" w:hAnsi="黑体" w:eastAsia="黑体" w:cs="Times New Roman"/>
          <w:szCs w:val="28"/>
        </w:rPr>
        <w:t>·</w:t>
      </w:r>
      <w:r>
        <w:rPr>
          <w:rFonts w:hint="eastAsia" w:ascii="仿宋_GB2312"/>
        </w:rPr>
        <w:t>《项目支出绩效评价管理办法》（财预〔2020〕10号）</w:t>
      </w:r>
    </w:p>
    <w:p w14:paraId="66DC58E2">
      <w:pPr>
        <w:spacing w:line="360" w:lineRule="auto"/>
        <w:ind w:firstLine="560"/>
      </w:pPr>
      <w:r>
        <w:rPr>
          <w:rFonts w:hint="eastAsia" w:ascii="仿宋_GB2312"/>
          <w:color w:val="000000" w:themeColor="text1"/>
          <w14:textFill>
            <w14:solidFill>
              <w14:schemeClr w14:val="tx1"/>
            </w14:solidFill>
          </w14:textFill>
        </w:rPr>
        <w:t>·《关于对乌鲁木齐文化中心建设项目立项的批复》（乌发改函</w:t>
      </w:r>
      <w:r>
        <w:rPr>
          <w:rFonts w:hint="eastAsia" w:ascii="仿宋_GB2312"/>
        </w:rPr>
        <w:t>〔2013〕</w:t>
      </w:r>
      <w:r>
        <w:rPr>
          <w:rFonts w:hint="eastAsia" w:ascii="仿宋_GB2312"/>
          <w:color w:val="000000" w:themeColor="text1"/>
          <w14:textFill>
            <w14:solidFill>
              <w14:schemeClr w14:val="tx1"/>
            </w14:solidFill>
          </w14:textFill>
        </w:rPr>
        <w:t>256号）</w:t>
      </w:r>
    </w:p>
    <w:p w14:paraId="34E7E149">
      <w:pPr>
        <w:spacing w:line="360" w:lineRule="auto"/>
        <w:ind w:firstLine="560"/>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w:t>
      </w:r>
      <w:r>
        <w:rPr>
          <w:rFonts w:ascii="仿宋_GB2312"/>
          <w:color w:val="000000" w:themeColor="text1"/>
          <w14:textFill>
            <w14:solidFill>
              <w14:schemeClr w14:val="tx1"/>
            </w14:solidFill>
          </w14:textFill>
        </w:rPr>
        <w:t>《关于申请核准乌鲁木齐市文化中心</w:t>
      </w:r>
      <w:r>
        <w:rPr>
          <w:rFonts w:hint="eastAsia" w:ascii="仿宋_GB2312"/>
          <w:color w:val="000000" w:themeColor="text1"/>
          <w14:textFill>
            <w14:solidFill>
              <w14:schemeClr w14:val="tx1"/>
            </w14:solidFill>
          </w14:textFill>
        </w:rPr>
        <w:t>PPP项目实施方案的批复</w:t>
      </w:r>
      <w:r>
        <w:rPr>
          <w:rFonts w:ascii="仿宋_GB2312"/>
          <w:color w:val="000000" w:themeColor="text1"/>
          <w14:textFill>
            <w14:solidFill>
              <w14:schemeClr w14:val="tx1"/>
            </w14:solidFill>
          </w14:textFill>
        </w:rPr>
        <w:t>》（乌政函</w:t>
      </w:r>
      <w:r>
        <w:rPr>
          <w:rFonts w:hint="eastAsia" w:ascii="仿宋_GB2312"/>
        </w:rPr>
        <w:t>〔2018〕</w:t>
      </w:r>
      <w:r>
        <w:rPr>
          <w:rFonts w:hint="eastAsia" w:ascii="仿宋_GB2312"/>
          <w:color w:val="000000" w:themeColor="text1"/>
          <w14:textFill>
            <w14:solidFill>
              <w14:schemeClr w14:val="tx1"/>
            </w14:solidFill>
          </w14:textFill>
        </w:rPr>
        <w:t>284号</w:t>
      </w:r>
      <w:r>
        <w:rPr>
          <w:rFonts w:ascii="仿宋_GB2312"/>
          <w:color w:val="000000" w:themeColor="text1"/>
          <w14:textFill>
            <w14:solidFill>
              <w14:schemeClr w14:val="tx1"/>
            </w14:solidFill>
          </w14:textFill>
        </w:rPr>
        <w:t>）</w:t>
      </w:r>
    </w:p>
    <w:p w14:paraId="2CEB9868">
      <w:pPr>
        <w:spacing w:line="360" w:lineRule="auto"/>
        <w:ind w:firstLine="560"/>
        <w:rPr>
          <w:rFonts w:ascii="仿宋_GB2312"/>
        </w:rPr>
      </w:pPr>
      <w:r>
        <w:rPr>
          <w:rFonts w:hint="eastAsia" w:ascii="仿宋_GB2312"/>
        </w:rPr>
        <w:t>·《关于对乌鲁木齐市文化中心建设项目初步设计的批复》（乌发改函[2014]172号）</w:t>
      </w:r>
    </w:p>
    <w:p w14:paraId="420C5A46">
      <w:pPr>
        <w:pStyle w:val="4"/>
        <w:ind w:firstLine="643"/>
        <w:rPr>
          <w:rFonts w:ascii="仿宋" w:hAnsi="仿宋" w:eastAsia="仿宋"/>
          <w:lang w:bidi="en-US"/>
        </w:rPr>
      </w:pPr>
      <w:bookmarkStart w:id="25" w:name="_Toc67911607"/>
      <w:bookmarkStart w:id="26" w:name="_Toc165277236"/>
      <w:r>
        <w:rPr>
          <w:rFonts w:hint="eastAsia" w:ascii="仿宋" w:hAnsi="仿宋" w:eastAsia="仿宋"/>
          <w:lang w:bidi="en-US"/>
        </w:rPr>
        <w:t>（三）绩效评价工作过程</w:t>
      </w:r>
      <w:bookmarkEnd w:id="25"/>
      <w:bookmarkEnd w:id="26"/>
    </w:p>
    <w:p w14:paraId="2FB95BA9">
      <w:pPr>
        <w:spacing w:line="360" w:lineRule="auto"/>
        <w:ind w:firstLine="560"/>
        <w:rPr>
          <w:rFonts w:ascii="仿宋_GB2312"/>
        </w:rPr>
      </w:pPr>
      <w:r>
        <w:rPr>
          <w:rFonts w:hint="eastAsia" w:ascii="仿宋_GB2312"/>
        </w:rPr>
        <w:t>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w:t>
      </w:r>
      <w:r>
        <w:rPr>
          <w:rStyle w:val="20"/>
          <w:rFonts w:ascii="仿宋_GB2312"/>
        </w:rPr>
        <w:footnoteReference w:id="0"/>
      </w:r>
      <w:r>
        <w:rPr>
          <w:rFonts w:hint="eastAsia" w:ascii="仿宋_GB2312"/>
        </w:rPr>
        <w:t>、材料审核分析、现场核查评价、综合分析评价及报告撰写，评价项目实施情况，展现资金使用效益。</w:t>
      </w:r>
    </w:p>
    <w:p w14:paraId="0D95F1D9">
      <w:pPr>
        <w:pStyle w:val="3"/>
        <w:ind w:firstLine="0" w:firstLineChars="0"/>
        <w:jc w:val="left"/>
        <w:rPr>
          <w:rFonts w:ascii="仿宋" w:hAnsi="仿宋" w:eastAsia="仿宋"/>
          <w:sz w:val="36"/>
          <w:szCs w:val="36"/>
          <w:lang w:bidi="en-US"/>
        </w:rPr>
      </w:pPr>
      <w:bookmarkStart w:id="27" w:name="_Toc67911608"/>
      <w:bookmarkStart w:id="28" w:name="_Toc165277237"/>
      <w:r>
        <w:rPr>
          <w:rFonts w:hint="eastAsia" w:ascii="仿宋" w:hAnsi="仿宋" w:eastAsia="仿宋"/>
          <w:sz w:val="36"/>
          <w:szCs w:val="36"/>
          <w:lang w:bidi="en-US"/>
        </w:rPr>
        <w:t>三、综合评价情况及评价结论</w:t>
      </w:r>
      <w:bookmarkEnd w:id="27"/>
      <w:bookmarkEnd w:id="28"/>
    </w:p>
    <w:p w14:paraId="4BAC3FCF">
      <w:pPr>
        <w:pStyle w:val="4"/>
        <w:ind w:firstLine="643"/>
        <w:rPr>
          <w:rFonts w:ascii="仿宋" w:hAnsi="仿宋" w:eastAsia="仿宋"/>
          <w:lang w:bidi="en-US"/>
        </w:rPr>
      </w:pPr>
      <w:bookmarkStart w:id="29" w:name="_Toc67911609"/>
      <w:bookmarkStart w:id="30" w:name="_Toc165277238"/>
      <w:r>
        <w:rPr>
          <w:rFonts w:hint="eastAsia" w:ascii="仿宋" w:hAnsi="仿宋" w:eastAsia="仿宋"/>
          <w:lang w:bidi="en-US"/>
        </w:rPr>
        <w:t>（一）评价结论</w:t>
      </w:r>
      <w:bookmarkEnd w:id="29"/>
      <w:bookmarkEnd w:id="30"/>
    </w:p>
    <w:p w14:paraId="76365576">
      <w:pPr>
        <w:spacing w:line="360" w:lineRule="auto"/>
        <w:ind w:firstLine="560"/>
        <w:rPr>
          <w:rFonts w:ascii="仿宋_GB2312"/>
          <w:szCs w:val="28"/>
        </w:rPr>
      </w:pPr>
      <w:r>
        <w:rPr>
          <w:rFonts w:hint="eastAsia" w:ascii="仿宋_GB2312"/>
          <w:szCs w:val="28"/>
        </w:rPr>
        <w:t>结合项目特点，制定符合项目实际的绩效评价指标体系及评分标准，通过数据采集、问卷调查及访谈等形式，对2024年乌鲁木齐市文化中心项目进行客观评价，最终评分结果为：总分为100分，绩效评级为“优”</w:t>
      </w:r>
      <w:r>
        <w:rPr>
          <w:rStyle w:val="20"/>
          <w:rFonts w:ascii="仿宋_GB2312"/>
          <w:szCs w:val="28"/>
        </w:rPr>
        <w:footnoteReference w:id="1"/>
      </w:r>
      <w:r>
        <w:rPr>
          <w:rFonts w:hint="eastAsia" w:ascii="仿宋_GB2312"/>
          <w:szCs w:val="28"/>
        </w:rPr>
        <w:t>。</w:t>
      </w:r>
    </w:p>
    <w:p w14:paraId="559677F6">
      <w:pPr>
        <w:spacing w:line="360" w:lineRule="auto"/>
        <w:ind w:firstLine="560"/>
        <w:rPr>
          <w:rFonts w:ascii="仿宋_GB2312"/>
          <w:szCs w:val="28"/>
        </w:rPr>
      </w:pPr>
      <w:r>
        <w:rPr>
          <w:rFonts w:hint="eastAsia" w:ascii="仿宋_GB2312"/>
          <w:szCs w:val="28"/>
        </w:rPr>
        <w:t>项目各部分权重和绩效分值如附表所示：</w:t>
      </w:r>
    </w:p>
    <w:p w14:paraId="30EAA61A">
      <w:pPr>
        <w:spacing w:line="360" w:lineRule="auto"/>
        <w:ind w:firstLine="0" w:firstLineChars="0"/>
        <w:jc w:val="center"/>
        <w:rPr>
          <w:rFonts w:hint="eastAsia" w:ascii="仿宋_GB2312"/>
          <w:b/>
          <w:bCs/>
          <w:szCs w:val="28"/>
        </w:rPr>
      </w:pPr>
      <w:r>
        <w:rPr>
          <w:rFonts w:ascii="仿宋_GB2312"/>
          <w:b/>
          <w:bCs/>
          <w:szCs w:val="28"/>
        </w:rPr>
        <w:t xml:space="preserve">  </w:t>
      </w:r>
    </w:p>
    <w:p w14:paraId="2484F415">
      <w:pPr>
        <w:spacing w:line="360" w:lineRule="auto"/>
        <w:ind w:firstLine="0" w:firstLineChars="0"/>
        <w:jc w:val="center"/>
        <w:rPr>
          <w:rFonts w:ascii="仿宋_GB2312"/>
          <w:b/>
          <w:bCs/>
          <w:szCs w:val="28"/>
        </w:rPr>
      </w:pPr>
      <w:r>
        <w:rPr>
          <w:rFonts w:hint="eastAsia" w:ascii="仿宋_GB2312"/>
          <w:b/>
          <w:bCs/>
          <w:szCs w:val="28"/>
        </w:rPr>
        <w:t>项目各部分权重和绩效分值</w:t>
      </w:r>
    </w:p>
    <w:tbl>
      <w:tblPr>
        <w:tblStyle w:val="15"/>
        <w:tblW w:w="906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50"/>
        <w:gridCol w:w="1984"/>
        <w:gridCol w:w="2693"/>
        <w:gridCol w:w="898"/>
        <w:gridCol w:w="898"/>
        <w:gridCol w:w="1039"/>
      </w:tblGrid>
      <w:tr w14:paraId="3B8F0C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tblHeader/>
          <w:jc w:val="center"/>
        </w:trPr>
        <w:tc>
          <w:tcPr>
            <w:tcW w:w="1550" w:type="dxa"/>
            <w:tcBorders>
              <w:tl2br w:val="nil"/>
              <w:tr2bl w:val="nil"/>
            </w:tcBorders>
            <w:shd w:val="clear" w:color="auto" w:fill="D0CECE"/>
            <w:vAlign w:val="center"/>
          </w:tcPr>
          <w:p w14:paraId="6A68F8CF">
            <w:pPr>
              <w:widowControl/>
              <w:ind w:firstLine="0" w:firstLineChars="0"/>
              <w:jc w:val="center"/>
              <w:rPr>
                <w:rFonts w:ascii="仿宋_GB2312" w:hAnsi="宋体" w:cs="宋体"/>
                <w:b/>
                <w:bCs/>
                <w:kern w:val="0"/>
                <w:sz w:val="24"/>
                <w:szCs w:val="24"/>
              </w:rPr>
            </w:pPr>
            <w:r>
              <w:rPr>
                <w:rFonts w:hint="eastAsia" w:ascii="仿宋_GB2312" w:hAnsi="宋体" w:cs="宋体"/>
                <w:b/>
                <w:bCs/>
                <w:kern w:val="0"/>
                <w:sz w:val="24"/>
                <w:szCs w:val="24"/>
              </w:rPr>
              <w:t>一级指标</w:t>
            </w:r>
          </w:p>
        </w:tc>
        <w:tc>
          <w:tcPr>
            <w:tcW w:w="1984" w:type="dxa"/>
            <w:tcBorders>
              <w:tl2br w:val="nil"/>
              <w:tr2bl w:val="nil"/>
            </w:tcBorders>
            <w:shd w:val="clear" w:color="auto" w:fill="D0CECE"/>
            <w:vAlign w:val="center"/>
          </w:tcPr>
          <w:p w14:paraId="2FCC3E92">
            <w:pPr>
              <w:widowControl/>
              <w:ind w:firstLine="0" w:firstLineChars="0"/>
              <w:jc w:val="center"/>
              <w:rPr>
                <w:rFonts w:ascii="仿宋_GB2312" w:hAnsi="宋体" w:cs="宋体"/>
                <w:b/>
                <w:bCs/>
                <w:kern w:val="0"/>
                <w:sz w:val="24"/>
                <w:szCs w:val="24"/>
              </w:rPr>
            </w:pPr>
            <w:r>
              <w:rPr>
                <w:rFonts w:hint="eastAsia" w:ascii="仿宋_GB2312" w:hAnsi="宋体" w:cs="宋体"/>
                <w:b/>
                <w:bCs/>
                <w:kern w:val="0"/>
                <w:sz w:val="24"/>
                <w:szCs w:val="24"/>
              </w:rPr>
              <w:t>二级指标</w:t>
            </w:r>
          </w:p>
        </w:tc>
        <w:tc>
          <w:tcPr>
            <w:tcW w:w="2693" w:type="dxa"/>
            <w:tcBorders>
              <w:tl2br w:val="nil"/>
              <w:tr2bl w:val="nil"/>
            </w:tcBorders>
            <w:shd w:val="clear" w:color="auto" w:fill="D0CECE"/>
            <w:vAlign w:val="center"/>
          </w:tcPr>
          <w:p w14:paraId="68C27BF0">
            <w:pPr>
              <w:widowControl/>
              <w:ind w:firstLine="0" w:firstLineChars="0"/>
              <w:jc w:val="center"/>
              <w:rPr>
                <w:rFonts w:ascii="仿宋_GB2312" w:hAnsi="宋体" w:cs="宋体"/>
                <w:b/>
                <w:bCs/>
                <w:kern w:val="0"/>
                <w:sz w:val="24"/>
                <w:szCs w:val="24"/>
              </w:rPr>
            </w:pPr>
            <w:r>
              <w:rPr>
                <w:rFonts w:hint="eastAsia" w:ascii="仿宋_GB2312" w:hAnsi="宋体" w:cs="宋体"/>
                <w:b/>
                <w:bCs/>
                <w:kern w:val="0"/>
                <w:sz w:val="24"/>
                <w:szCs w:val="24"/>
              </w:rPr>
              <w:t>三级指标</w:t>
            </w:r>
          </w:p>
        </w:tc>
        <w:tc>
          <w:tcPr>
            <w:tcW w:w="898" w:type="dxa"/>
            <w:tcBorders>
              <w:tl2br w:val="nil"/>
              <w:tr2bl w:val="nil"/>
            </w:tcBorders>
            <w:shd w:val="clear" w:color="auto" w:fill="D0CECE"/>
            <w:vAlign w:val="center"/>
          </w:tcPr>
          <w:p w14:paraId="5952326F">
            <w:pPr>
              <w:widowControl/>
              <w:ind w:firstLine="0" w:firstLineChars="0"/>
              <w:jc w:val="center"/>
              <w:rPr>
                <w:rFonts w:ascii="仿宋_GB2312" w:hAnsi="宋体" w:cs="宋体"/>
                <w:b/>
                <w:bCs/>
                <w:kern w:val="0"/>
                <w:sz w:val="24"/>
                <w:szCs w:val="24"/>
              </w:rPr>
            </w:pPr>
            <w:r>
              <w:rPr>
                <w:rFonts w:hint="eastAsia" w:ascii="仿宋_GB2312" w:hAnsi="宋体" w:cs="宋体"/>
                <w:b/>
                <w:bCs/>
                <w:kern w:val="0"/>
                <w:sz w:val="24"/>
                <w:szCs w:val="24"/>
              </w:rPr>
              <w:t>分值</w:t>
            </w:r>
          </w:p>
        </w:tc>
        <w:tc>
          <w:tcPr>
            <w:tcW w:w="898" w:type="dxa"/>
            <w:tcBorders>
              <w:tl2br w:val="nil"/>
              <w:tr2bl w:val="nil"/>
            </w:tcBorders>
            <w:shd w:val="clear" w:color="auto" w:fill="D0CECE"/>
            <w:vAlign w:val="center"/>
          </w:tcPr>
          <w:p w14:paraId="3F6B074C">
            <w:pPr>
              <w:widowControl/>
              <w:ind w:firstLine="0" w:firstLineChars="0"/>
              <w:jc w:val="center"/>
              <w:rPr>
                <w:rFonts w:ascii="仿宋_GB2312" w:hAnsi="宋体" w:cs="宋体"/>
                <w:b/>
                <w:bCs/>
                <w:kern w:val="0"/>
                <w:sz w:val="24"/>
                <w:szCs w:val="24"/>
              </w:rPr>
            </w:pPr>
            <w:r>
              <w:rPr>
                <w:rFonts w:hint="eastAsia" w:ascii="仿宋_GB2312" w:hAnsi="宋体" w:cs="宋体"/>
                <w:b/>
                <w:bCs/>
                <w:kern w:val="0"/>
                <w:sz w:val="24"/>
                <w:szCs w:val="24"/>
              </w:rPr>
              <w:t>得分</w:t>
            </w:r>
          </w:p>
        </w:tc>
        <w:tc>
          <w:tcPr>
            <w:tcW w:w="1039" w:type="dxa"/>
            <w:tcBorders>
              <w:tl2br w:val="nil"/>
              <w:tr2bl w:val="nil"/>
            </w:tcBorders>
            <w:shd w:val="clear" w:color="auto" w:fill="D0CECE"/>
            <w:vAlign w:val="center"/>
          </w:tcPr>
          <w:p w14:paraId="2A607269">
            <w:pPr>
              <w:widowControl/>
              <w:ind w:firstLine="0" w:firstLineChars="0"/>
              <w:jc w:val="center"/>
              <w:rPr>
                <w:rFonts w:ascii="仿宋_GB2312" w:hAnsi="Gungsuh" w:cs="宋体"/>
                <w:b/>
                <w:bCs/>
                <w:kern w:val="0"/>
                <w:sz w:val="24"/>
                <w:szCs w:val="24"/>
              </w:rPr>
            </w:pPr>
            <w:r>
              <w:rPr>
                <w:rFonts w:hint="eastAsia" w:ascii="仿宋_GB2312" w:hAnsi="Gungsuh" w:cs="宋体"/>
                <w:b/>
                <w:bCs/>
                <w:kern w:val="0"/>
                <w:sz w:val="24"/>
                <w:szCs w:val="24"/>
              </w:rPr>
              <w:t>得分率</w:t>
            </w:r>
          </w:p>
        </w:tc>
      </w:tr>
      <w:tr w14:paraId="280BD2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restart"/>
            <w:tcBorders>
              <w:tl2br w:val="nil"/>
              <w:tr2bl w:val="nil"/>
            </w:tcBorders>
            <w:shd w:val="clear" w:color="auto" w:fill="FFFFFF"/>
            <w:vAlign w:val="center"/>
          </w:tcPr>
          <w:p w14:paraId="1993808D">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决策</w:t>
            </w:r>
          </w:p>
        </w:tc>
        <w:tc>
          <w:tcPr>
            <w:tcW w:w="1984" w:type="dxa"/>
            <w:vMerge w:val="restart"/>
            <w:tcBorders>
              <w:tl2br w:val="nil"/>
              <w:tr2bl w:val="nil"/>
            </w:tcBorders>
            <w:shd w:val="clear" w:color="auto" w:fill="FFFFFF"/>
            <w:vAlign w:val="center"/>
          </w:tcPr>
          <w:p w14:paraId="1709DECB">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项目立项</w:t>
            </w:r>
          </w:p>
        </w:tc>
        <w:tc>
          <w:tcPr>
            <w:tcW w:w="2693" w:type="dxa"/>
            <w:tcBorders>
              <w:tl2br w:val="nil"/>
              <w:tr2bl w:val="nil"/>
            </w:tcBorders>
            <w:shd w:val="clear" w:color="auto" w:fill="FFFFFF"/>
            <w:vAlign w:val="center"/>
          </w:tcPr>
          <w:p w14:paraId="05765A01">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立项依据充分性</w:t>
            </w:r>
          </w:p>
        </w:tc>
        <w:tc>
          <w:tcPr>
            <w:tcW w:w="898" w:type="dxa"/>
            <w:tcBorders>
              <w:tl2br w:val="nil"/>
              <w:tr2bl w:val="nil"/>
            </w:tcBorders>
            <w:shd w:val="clear" w:color="auto" w:fill="FFFFFF"/>
            <w:vAlign w:val="center"/>
          </w:tcPr>
          <w:p w14:paraId="19A91FE7">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898" w:type="dxa"/>
            <w:tcBorders>
              <w:tl2br w:val="nil"/>
              <w:tr2bl w:val="nil"/>
            </w:tcBorders>
            <w:shd w:val="clear" w:color="auto" w:fill="FFFFFF"/>
            <w:vAlign w:val="center"/>
          </w:tcPr>
          <w:p w14:paraId="491B9C18">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1039" w:type="dxa"/>
            <w:tcBorders>
              <w:tl2br w:val="nil"/>
              <w:tr2bl w:val="nil"/>
            </w:tcBorders>
            <w:shd w:val="clear" w:color="auto" w:fill="FFFFFF"/>
            <w:vAlign w:val="center"/>
          </w:tcPr>
          <w:p w14:paraId="3BC68C98">
            <w:pPr>
              <w:widowControl/>
              <w:ind w:firstLine="0" w:firstLineChars="0"/>
              <w:jc w:val="center"/>
              <w:rPr>
                <w:rFonts w:hint="eastAsia"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100</w:t>
            </w:r>
            <w:r>
              <w:rPr>
                <w:rFonts w:hint="eastAsia" w:ascii="Times New Roman" w:hAnsi="Times New Roman" w:cs="Times New Roman"/>
                <w:kern w:val="0"/>
                <w:sz w:val="24"/>
                <w:szCs w:val="24"/>
                <w:lang w:val="en-US" w:eastAsia="zh-CN"/>
              </w:rPr>
              <w:t>%</w:t>
            </w:r>
          </w:p>
        </w:tc>
      </w:tr>
      <w:tr w14:paraId="10A0E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3084E7B0">
            <w:pPr>
              <w:ind w:firstLine="480"/>
              <w:jc w:val="center"/>
              <w:rPr>
                <w:rFonts w:hint="eastAsia" w:ascii="方正仿宋_GBK" w:hAnsi="方正仿宋_GBK" w:eastAsia="方正仿宋_GBK" w:cs="方正仿宋_GBK"/>
                <w:kern w:val="0"/>
                <w:sz w:val="24"/>
                <w:szCs w:val="24"/>
              </w:rPr>
            </w:pPr>
          </w:p>
        </w:tc>
        <w:tc>
          <w:tcPr>
            <w:tcW w:w="1984" w:type="dxa"/>
            <w:vMerge w:val="continue"/>
            <w:tcBorders>
              <w:tl2br w:val="nil"/>
              <w:tr2bl w:val="nil"/>
            </w:tcBorders>
            <w:shd w:val="clear" w:color="auto" w:fill="FFFFFF"/>
            <w:vAlign w:val="center"/>
          </w:tcPr>
          <w:p w14:paraId="5FDB7B6F">
            <w:pPr>
              <w:widowControl/>
              <w:ind w:firstLine="0" w:firstLineChars="0"/>
              <w:jc w:val="center"/>
              <w:rPr>
                <w:rFonts w:hint="eastAsia" w:ascii="方正仿宋_GBK" w:hAnsi="方正仿宋_GBK" w:eastAsia="方正仿宋_GBK" w:cs="方正仿宋_GBK"/>
                <w:kern w:val="0"/>
                <w:sz w:val="24"/>
                <w:szCs w:val="24"/>
              </w:rPr>
            </w:pPr>
          </w:p>
        </w:tc>
        <w:tc>
          <w:tcPr>
            <w:tcW w:w="2693" w:type="dxa"/>
            <w:tcBorders>
              <w:tl2br w:val="nil"/>
              <w:tr2bl w:val="nil"/>
            </w:tcBorders>
            <w:shd w:val="clear" w:color="auto" w:fill="FFFFFF"/>
            <w:vAlign w:val="center"/>
          </w:tcPr>
          <w:p w14:paraId="7352E5EA">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立项程序规范性</w:t>
            </w:r>
          </w:p>
        </w:tc>
        <w:tc>
          <w:tcPr>
            <w:tcW w:w="898" w:type="dxa"/>
            <w:tcBorders>
              <w:tl2br w:val="nil"/>
              <w:tr2bl w:val="nil"/>
            </w:tcBorders>
            <w:shd w:val="clear" w:color="auto" w:fill="FFFFFF"/>
            <w:vAlign w:val="center"/>
          </w:tcPr>
          <w:p w14:paraId="45BB7D5C">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898" w:type="dxa"/>
            <w:tcBorders>
              <w:tl2br w:val="nil"/>
              <w:tr2bl w:val="nil"/>
            </w:tcBorders>
            <w:shd w:val="clear" w:color="auto" w:fill="FFFFFF"/>
            <w:vAlign w:val="center"/>
          </w:tcPr>
          <w:p w14:paraId="74DC9144">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1039" w:type="dxa"/>
            <w:tcBorders>
              <w:tl2br w:val="nil"/>
              <w:tr2bl w:val="nil"/>
            </w:tcBorders>
            <w:shd w:val="clear" w:color="auto" w:fill="FFFFFF"/>
            <w:vAlign w:val="center"/>
          </w:tcPr>
          <w:p w14:paraId="09FF29A9">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100%</w:t>
            </w:r>
          </w:p>
        </w:tc>
      </w:tr>
      <w:tr w14:paraId="6C16A3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096DFF97">
            <w:pPr>
              <w:ind w:firstLine="480"/>
              <w:jc w:val="center"/>
              <w:rPr>
                <w:rFonts w:hint="eastAsia" w:ascii="方正仿宋_GBK" w:hAnsi="方正仿宋_GBK" w:eastAsia="方正仿宋_GBK" w:cs="方正仿宋_GBK"/>
                <w:kern w:val="0"/>
                <w:sz w:val="24"/>
                <w:szCs w:val="24"/>
              </w:rPr>
            </w:pPr>
          </w:p>
        </w:tc>
        <w:tc>
          <w:tcPr>
            <w:tcW w:w="1984" w:type="dxa"/>
            <w:vMerge w:val="restart"/>
            <w:tcBorders>
              <w:tl2br w:val="nil"/>
              <w:tr2bl w:val="nil"/>
            </w:tcBorders>
            <w:shd w:val="clear" w:color="auto" w:fill="FFFFFF"/>
            <w:vAlign w:val="center"/>
          </w:tcPr>
          <w:p w14:paraId="685B89E4">
            <w:pPr>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绩效目标</w:t>
            </w:r>
          </w:p>
        </w:tc>
        <w:tc>
          <w:tcPr>
            <w:tcW w:w="2693" w:type="dxa"/>
            <w:tcBorders>
              <w:tl2br w:val="nil"/>
              <w:tr2bl w:val="nil"/>
            </w:tcBorders>
            <w:shd w:val="clear" w:color="auto" w:fill="FFFFFF"/>
            <w:vAlign w:val="center"/>
          </w:tcPr>
          <w:p w14:paraId="2D5C87B3">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绩效目标合理性</w:t>
            </w:r>
          </w:p>
        </w:tc>
        <w:tc>
          <w:tcPr>
            <w:tcW w:w="898" w:type="dxa"/>
            <w:tcBorders>
              <w:tl2br w:val="nil"/>
              <w:tr2bl w:val="nil"/>
            </w:tcBorders>
            <w:shd w:val="clear" w:color="000000" w:fill="FFFFFF"/>
            <w:vAlign w:val="center"/>
          </w:tcPr>
          <w:p w14:paraId="663CCCD0">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898" w:type="dxa"/>
            <w:tcBorders>
              <w:tl2br w:val="nil"/>
              <w:tr2bl w:val="nil"/>
            </w:tcBorders>
            <w:shd w:val="clear" w:color="000000" w:fill="FFFFFF"/>
            <w:vAlign w:val="center"/>
          </w:tcPr>
          <w:p w14:paraId="5A6BC205">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039" w:type="dxa"/>
            <w:tcBorders>
              <w:tl2br w:val="nil"/>
              <w:tr2bl w:val="nil"/>
            </w:tcBorders>
            <w:shd w:val="clear" w:color="000000" w:fill="FFFFFF"/>
            <w:vAlign w:val="center"/>
          </w:tcPr>
          <w:p w14:paraId="3F4742AA">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100%</w:t>
            </w:r>
          </w:p>
        </w:tc>
      </w:tr>
      <w:tr w14:paraId="0F7486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40CE9935">
            <w:pPr>
              <w:widowControl/>
              <w:ind w:firstLine="0" w:firstLineChars="0"/>
              <w:jc w:val="center"/>
              <w:rPr>
                <w:rFonts w:hint="eastAsia" w:ascii="方正仿宋_GBK" w:hAnsi="方正仿宋_GBK" w:eastAsia="方正仿宋_GBK" w:cs="方正仿宋_GBK"/>
                <w:kern w:val="0"/>
                <w:sz w:val="24"/>
                <w:szCs w:val="24"/>
              </w:rPr>
            </w:pPr>
          </w:p>
        </w:tc>
        <w:tc>
          <w:tcPr>
            <w:tcW w:w="1984" w:type="dxa"/>
            <w:vMerge w:val="continue"/>
            <w:tcBorders>
              <w:tl2br w:val="nil"/>
              <w:tr2bl w:val="nil"/>
            </w:tcBorders>
            <w:shd w:val="clear" w:color="auto" w:fill="FFFFFF"/>
            <w:vAlign w:val="center"/>
          </w:tcPr>
          <w:p w14:paraId="12927701">
            <w:pPr>
              <w:widowControl/>
              <w:ind w:firstLine="0" w:firstLineChars="0"/>
              <w:jc w:val="center"/>
              <w:rPr>
                <w:rFonts w:hint="eastAsia" w:ascii="方正仿宋_GBK" w:hAnsi="方正仿宋_GBK" w:eastAsia="方正仿宋_GBK" w:cs="方正仿宋_GBK"/>
                <w:kern w:val="0"/>
                <w:sz w:val="24"/>
                <w:szCs w:val="24"/>
              </w:rPr>
            </w:pPr>
          </w:p>
        </w:tc>
        <w:tc>
          <w:tcPr>
            <w:tcW w:w="2693" w:type="dxa"/>
            <w:tcBorders>
              <w:tl2br w:val="nil"/>
              <w:tr2bl w:val="nil"/>
            </w:tcBorders>
            <w:shd w:val="clear" w:color="auto" w:fill="FFFFFF"/>
            <w:vAlign w:val="center"/>
          </w:tcPr>
          <w:p w14:paraId="504A9F67">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绩效指标明确性</w:t>
            </w:r>
          </w:p>
        </w:tc>
        <w:tc>
          <w:tcPr>
            <w:tcW w:w="898" w:type="dxa"/>
            <w:tcBorders>
              <w:tl2br w:val="nil"/>
              <w:tr2bl w:val="nil"/>
            </w:tcBorders>
            <w:shd w:val="clear" w:color="000000" w:fill="FFFFFF"/>
            <w:vAlign w:val="center"/>
          </w:tcPr>
          <w:p w14:paraId="27443887">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898" w:type="dxa"/>
            <w:tcBorders>
              <w:tl2br w:val="nil"/>
              <w:tr2bl w:val="nil"/>
            </w:tcBorders>
            <w:shd w:val="clear" w:color="000000" w:fill="FFFFFF"/>
            <w:vAlign w:val="center"/>
          </w:tcPr>
          <w:p w14:paraId="5414FD52">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039" w:type="dxa"/>
            <w:tcBorders>
              <w:tl2br w:val="nil"/>
              <w:tr2bl w:val="nil"/>
            </w:tcBorders>
            <w:shd w:val="clear" w:color="000000" w:fill="FFFFFF"/>
            <w:vAlign w:val="center"/>
          </w:tcPr>
          <w:p w14:paraId="0A5BF5C0">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57F42A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05C5671B">
            <w:pPr>
              <w:ind w:firstLine="0" w:firstLineChars="0"/>
              <w:jc w:val="center"/>
              <w:rPr>
                <w:rFonts w:hint="eastAsia" w:ascii="方正仿宋_GBK" w:hAnsi="方正仿宋_GBK" w:eastAsia="方正仿宋_GBK" w:cs="方正仿宋_GBK"/>
                <w:kern w:val="0"/>
                <w:sz w:val="24"/>
                <w:szCs w:val="24"/>
              </w:rPr>
            </w:pPr>
          </w:p>
        </w:tc>
        <w:tc>
          <w:tcPr>
            <w:tcW w:w="1984" w:type="dxa"/>
            <w:vMerge w:val="restart"/>
            <w:tcBorders>
              <w:tl2br w:val="nil"/>
              <w:tr2bl w:val="nil"/>
            </w:tcBorders>
            <w:shd w:val="clear" w:color="auto" w:fill="FFFFFF"/>
            <w:vAlign w:val="center"/>
          </w:tcPr>
          <w:p w14:paraId="62D46CA6">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资金投入</w:t>
            </w:r>
          </w:p>
        </w:tc>
        <w:tc>
          <w:tcPr>
            <w:tcW w:w="2693" w:type="dxa"/>
            <w:tcBorders>
              <w:tl2br w:val="nil"/>
              <w:tr2bl w:val="nil"/>
            </w:tcBorders>
            <w:shd w:val="clear" w:color="auto" w:fill="FFFFFF"/>
            <w:vAlign w:val="center"/>
          </w:tcPr>
          <w:p w14:paraId="70261B54">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预算编制科学性</w:t>
            </w:r>
          </w:p>
        </w:tc>
        <w:tc>
          <w:tcPr>
            <w:tcW w:w="898" w:type="dxa"/>
            <w:tcBorders>
              <w:tl2br w:val="nil"/>
              <w:tr2bl w:val="nil"/>
            </w:tcBorders>
            <w:shd w:val="clear" w:color="auto" w:fill="FFFFFF"/>
            <w:vAlign w:val="center"/>
          </w:tcPr>
          <w:p w14:paraId="1120F3D1">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898" w:type="dxa"/>
            <w:tcBorders>
              <w:tl2br w:val="nil"/>
              <w:tr2bl w:val="nil"/>
            </w:tcBorders>
            <w:shd w:val="clear" w:color="auto" w:fill="FFFFFF"/>
            <w:vAlign w:val="center"/>
          </w:tcPr>
          <w:p w14:paraId="3424C2F7">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039" w:type="dxa"/>
            <w:tcBorders>
              <w:tl2br w:val="nil"/>
              <w:tr2bl w:val="nil"/>
            </w:tcBorders>
            <w:shd w:val="clear" w:color="auto" w:fill="FFFFFF"/>
            <w:vAlign w:val="center"/>
          </w:tcPr>
          <w:p w14:paraId="77E8EA24">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2F97F7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70DE8774">
            <w:pPr>
              <w:widowControl/>
              <w:ind w:firstLine="0" w:firstLineChars="0"/>
              <w:jc w:val="center"/>
              <w:rPr>
                <w:rFonts w:hint="eastAsia" w:ascii="方正仿宋_GBK" w:hAnsi="方正仿宋_GBK" w:eastAsia="方正仿宋_GBK" w:cs="方正仿宋_GBK"/>
                <w:kern w:val="0"/>
                <w:sz w:val="24"/>
                <w:szCs w:val="24"/>
              </w:rPr>
            </w:pPr>
          </w:p>
        </w:tc>
        <w:tc>
          <w:tcPr>
            <w:tcW w:w="1984" w:type="dxa"/>
            <w:vMerge w:val="continue"/>
            <w:tcBorders>
              <w:tl2br w:val="nil"/>
              <w:tr2bl w:val="nil"/>
            </w:tcBorders>
            <w:shd w:val="clear" w:color="auto" w:fill="FFFFFF"/>
            <w:vAlign w:val="center"/>
          </w:tcPr>
          <w:p w14:paraId="6AC78787">
            <w:pPr>
              <w:widowControl/>
              <w:ind w:firstLine="0" w:firstLineChars="0"/>
              <w:jc w:val="center"/>
              <w:rPr>
                <w:rFonts w:hint="eastAsia" w:ascii="方正仿宋_GBK" w:hAnsi="方正仿宋_GBK" w:eastAsia="方正仿宋_GBK" w:cs="方正仿宋_GBK"/>
                <w:kern w:val="0"/>
                <w:sz w:val="24"/>
                <w:szCs w:val="24"/>
              </w:rPr>
            </w:pPr>
          </w:p>
        </w:tc>
        <w:tc>
          <w:tcPr>
            <w:tcW w:w="2693" w:type="dxa"/>
            <w:tcBorders>
              <w:tl2br w:val="nil"/>
              <w:tr2bl w:val="nil"/>
            </w:tcBorders>
            <w:shd w:val="clear" w:color="auto" w:fill="FFFFFF"/>
            <w:vAlign w:val="center"/>
          </w:tcPr>
          <w:p w14:paraId="7C97CD55">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资金分配合理性</w:t>
            </w:r>
          </w:p>
        </w:tc>
        <w:tc>
          <w:tcPr>
            <w:tcW w:w="898" w:type="dxa"/>
            <w:tcBorders>
              <w:tl2br w:val="nil"/>
              <w:tr2bl w:val="nil"/>
            </w:tcBorders>
            <w:shd w:val="clear" w:color="auto" w:fill="FFFFFF"/>
            <w:vAlign w:val="center"/>
          </w:tcPr>
          <w:p w14:paraId="1933338F">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898" w:type="dxa"/>
            <w:tcBorders>
              <w:tl2br w:val="nil"/>
              <w:tr2bl w:val="nil"/>
            </w:tcBorders>
            <w:shd w:val="clear" w:color="auto" w:fill="FFFFFF"/>
            <w:vAlign w:val="center"/>
          </w:tcPr>
          <w:p w14:paraId="29596CB7">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039" w:type="dxa"/>
            <w:tcBorders>
              <w:tl2br w:val="nil"/>
              <w:tr2bl w:val="nil"/>
            </w:tcBorders>
            <w:shd w:val="clear" w:color="auto" w:fill="FFFFFF"/>
            <w:vAlign w:val="center"/>
          </w:tcPr>
          <w:p w14:paraId="4885B7D4">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6A4225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restart"/>
            <w:tcBorders>
              <w:tl2br w:val="nil"/>
              <w:tr2bl w:val="nil"/>
            </w:tcBorders>
            <w:shd w:val="clear" w:color="auto" w:fill="FFFFFF"/>
            <w:vAlign w:val="center"/>
          </w:tcPr>
          <w:p w14:paraId="2FF90FA9">
            <w:pPr>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过程</w:t>
            </w:r>
          </w:p>
        </w:tc>
        <w:tc>
          <w:tcPr>
            <w:tcW w:w="1984" w:type="dxa"/>
            <w:vMerge w:val="restart"/>
            <w:tcBorders>
              <w:tl2br w:val="nil"/>
              <w:tr2bl w:val="nil"/>
            </w:tcBorders>
            <w:shd w:val="clear" w:color="auto" w:fill="FFFFFF"/>
            <w:vAlign w:val="center"/>
          </w:tcPr>
          <w:p w14:paraId="5C73F13F">
            <w:pPr>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资金管理</w:t>
            </w:r>
          </w:p>
        </w:tc>
        <w:tc>
          <w:tcPr>
            <w:tcW w:w="2693" w:type="dxa"/>
            <w:tcBorders>
              <w:tl2br w:val="nil"/>
              <w:tr2bl w:val="nil"/>
            </w:tcBorders>
            <w:shd w:val="clear" w:color="auto" w:fill="FFFFFF"/>
            <w:vAlign w:val="center"/>
          </w:tcPr>
          <w:p w14:paraId="329FF087">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资金到位率</w:t>
            </w:r>
          </w:p>
        </w:tc>
        <w:tc>
          <w:tcPr>
            <w:tcW w:w="898" w:type="dxa"/>
            <w:tcBorders>
              <w:tl2br w:val="nil"/>
              <w:tr2bl w:val="nil"/>
            </w:tcBorders>
            <w:shd w:val="clear" w:color="000000" w:fill="FFFFFF"/>
            <w:vAlign w:val="center"/>
          </w:tcPr>
          <w:p w14:paraId="7D1611DD">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898" w:type="dxa"/>
            <w:tcBorders>
              <w:tl2br w:val="nil"/>
              <w:tr2bl w:val="nil"/>
            </w:tcBorders>
            <w:shd w:val="clear" w:color="000000" w:fill="FFFFFF"/>
            <w:vAlign w:val="center"/>
          </w:tcPr>
          <w:p w14:paraId="2B82B8F2">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1039" w:type="dxa"/>
            <w:tcBorders>
              <w:tl2br w:val="nil"/>
              <w:tr2bl w:val="nil"/>
            </w:tcBorders>
            <w:shd w:val="clear" w:color="000000" w:fill="FFFFFF"/>
            <w:vAlign w:val="center"/>
          </w:tcPr>
          <w:p w14:paraId="24E3B7E9">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7E5087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1EC9C634">
            <w:pPr>
              <w:ind w:firstLine="480"/>
              <w:jc w:val="center"/>
              <w:rPr>
                <w:rFonts w:hint="eastAsia" w:ascii="方正仿宋_GBK" w:hAnsi="方正仿宋_GBK" w:eastAsia="方正仿宋_GBK" w:cs="方正仿宋_GBK"/>
                <w:kern w:val="0"/>
                <w:sz w:val="24"/>
                <w:szCs w:val="24"/>
              </w:rPr>
            </w:pPr>
          </w:p>
        </w:tc>
        <w:tc>
          <w:tcPr>
            <w:tcW w:w="1984" w:type="dxa"/>
            <w:vMerge w:val="continue"/>
            <w:tcBorders>
              <w:tl2br w:val="nil"/>
              <w:tr2bl w:val="nil"/>
            </w:tcBorders>
            <w:shd w:val="clear" w:color="auto" w:fill="FFFFFF"/>
            <w:vAlign w:val="center"/>
          </w:tcPr>
          <w:p w14:paraId="11214460">
            <w:pPr>
              <w:ind w:firstLine="480"/>
              <w:jc w:val="center"/>
              <w:rPr>
                <w:rFonts w:hint="eastAsia" w:ascii="方正仿宋_GBK" w:hAnsi="方正仿宋_GBK" w:eastAsia="方正仿宋_GBK" w:cs="方正仿宋_GBK"/>
                <w:kern w:val="0"/>
                <w:sz w:val="24"/>
                <w:szCs w:val="24"/>
              </w:rPr>
            </w:pPr>
          </w:p>
        </w:tc>
        <w:tc>
          <w:tcPr>
            <w:tcW w:w="2693" w:type="dxa"/>
            <w:tcBorders>
              <w:tl2br w:val="nil"/>
              <w:tr2bl w:val="nil"/>
            </w:tcBorders>
            <w:shd w:val="clear" w:color="auto" w:fill="FFFFFF"/>
            <w:vAlign w:val="center"/>
          </w:tcPr>
          <w:p w14:paraId="16EA348A">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预算执行率</w:t>
            </w:r>
          </w:p>
        </w:tc>
        <w:tc>
          <w:tcPr>
            <w:tcW w:w="898" w:type="dxa"/>
            <w:tcBorders>
              <w:tl2br w:val="nil"/>
              <w:tr2bl w:val="nil"/>
            </w:tcBorders>
            <w:shd w:val="clear" w:color="auto" w:fill="FFFFFF"/>
            <w:vAlign w:val="center"/>
          </w:tcPr>
          <w:p w14:paraId="3005B1F7">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898" w:type="dxa"/>
            <w:tcBorders>
              <w:tl2br w:val="nil"/>
              <w:tr2bl w:val="nil"/>
            </w:tcBorders>
            <w:shd w:val="clear" w:color="auto" w:fill="FFFFFF"/>
            <w:vAlign w:val="center"/>
          </w:tcPr>
          <w:p w14:paraId="75A7ED9C">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1039" w:type="dxa"/>
            <w:tcBorders>
              <w:tl2br w:val="nil"/>
              <w:tr2bl w:val="nil"/>
            </w:tcBorders>
            <w:shd w:val="clear" w:color="auto" w:fill="FFFFFF"/>
            <w:vAlign w:val="center"/>
          </w:tcPr>
          <w:p w14:paraId="1BCA4DCC">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48B47A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4547F04E">
            <w:pPr>
              <w:ind w:firstLine="0" w:firstLineChars="0"/>
              <w:jc w:val="center"/>
              <w:rPr>
                <w:rFonts w:hint="eastAsia" w:ascii="方正仿宋_GBK" w:hAnsi="方正仿宋_GBK" w:eastAsia="方正仿宋_GBK" w:cs="方正仿宋_GBK"/>
                <w:kern w:val="0"/>
                <w:sz w:val="24"/>
                <w:szCs w:val="24"/>
              </w:rPr>
            </w:pPr>
          </w:p>
        </w:tc>
        <w:tc>
          <w:tcPr>
            <w:tcW w:w="1984" w:type="dxa"/>
            <w:vMerge w:val="continue"/>
            <w:tcBorders>
              <w:tl2br w:val="nil"/>
              <w:tr2bl w:val="nil"/>
            </w:tcBorders>
            <w:shd w:val="clear" w:color="auto" w:fill="FFFFFF"/>
            <w:vAlign w:val="center"/>
          </w:tcPr>
          <w:p w14:paraId="0BE1D001">
            <w:pPr>
              <w:widowControl/>
              <w:ind w:firstLine="0" w:firstLineChars="0"/>
              <w:jc w:val="center"/>
              <w:rPr>
                <w:rFonts w:hint="eastAsia" w:ascii="方正仿宋_GBK" w:hAnsi="方正仿宋_GBK" w:eastAsia="方正仿宋_GBK" w:cs="方正仿宋_GBK"/>
                <w:kern w:val="0"/>
                <w:sz w:val="24"/>
                <w:szCs w:val="24"/>
              </w:rPr>
            </w:pPr>
          </w:p>
        </w:tc>
        <w:tc>
          <w:tcPr>
            <w:tcW w:w="2693" w:type="dxa"/>
            <w:tcBorders>
              <w:tl2br w:val="nil"/>
              <w:tr2bl w:val="nil"/>
            </w:tcBorders>
            <w:shd w:val="clear" w:color="auto" w:fill="FFFFFF"/>
            <w:vAlign w:val="center"/>
          </w:tcPr>
          <w:p w14:paraId="14A12615">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资金使用合规性</w:t>
            </w:r>
          </w:p>
        </w:tc>
        <w:tc>
          <w:tcPr>
            <w:tcW w:w="898" w:type="dxa"/>
            <w:tcBorders>
              <w:tl2br w:val="nil"/>
              <w:tr2bl w:val="nil"/>
            </w:tcBorders>
            <w:shd w:val="clear" w:color="000000" w:fill="FFFFFF"/>
            <w:vAlign w:val="center"/>
          </w:tcPr>
          <w:p w14:paraId="35942FFB">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898" w:type="dxa"/>
            <w:tcBorders>
              <w:tl2br w:val="nil"/>
              <w:tr2bl w:val="nil"/>
            </w:tcBorders>
            <w:shd w:val="clear" w:color="000000" w:fill="FFFFFF"/>
            <w:vAlign w:val="center"/>
          </w:tcPr>
          <w:p w14:paraId="57B0F0A3">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039" w:type="dxa"/>
            <w:tcBorders>
              <w:tl2br w:val="nil"/>
              <w:tr2bl w:val="nil"/>
            </w:tcBorders>
            <w:shd w:val="clear" w:color="000000" w:fill="FFFFFF"/>
            <w:vAlign w:val="center"/>
          </w:tcPr>
          <w:p w14:paraId="30192368">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5E3621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3FCED8F6">
            <w:pPr>
              <w:ind w:firstLine="0" w:firstLineChars="0"/>
              <w:jc w:val="center"/>
              <w:rPr>
                <w:rFonts w:hint="eastAsia" w:ascii="方正仿宋_GBK" w:hAnsi="方正仿宋_GBK" w:eastAsia="方正仿宋_GBK" w:cs="方正仿宋_GBK"/>
                <w:kern w:val="0"/>
                <w:sz w:val="24"/>
                <w:szCs w:val="24"/>
              </w:rPr>
            </w:pPr>
          </w:p>
        </w:tc>
        <w:tc>
          <w:tcPr>
            <w:tcW w:w="1984" w:type="dxa"/>
            <w:vMerge w:val="restart"/>
            <w:tcBorders>
              <w:tl2br w:val="nil"/>
              <w:tr2bl w:val="nil"/>
            </w:tcBorders>
            <w:shd w:val="clear" w:color="auto" w:fill="FFFFFF"/>
            <w:vAlign w:val="center"/>
          </w:tcPr>
          <w:p w14:paraId="3836A7A5">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组织实施</w:t>
            </w:r>
          </w:p>
        </w:tc>
        <w:tc>
          <w:tcPr>
            <w:tcW w:w="2693" w:type="dxa"/>
            <w:tcBorders>
              <w:tl2br w:val="nil"/>
              <w:tr2bl w:val="nil"/>
            </w:tcBorders>
            <w:shd w:val="clear" w:color="auto" w:fill="FFFFFF"/>
            <w:vAlign w:val="center"/>
          </w:tcPr>
          <w:p w14:paraId="32DEB3E9">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管理制度健全性</w:t>
            </w:r>
          </w:p>
        </w:tc>
        <w:tc>
          <w:tcPr>
            <w:tcW w:w="898" w:type="dxa"/>
            <w:tcBorders>
              <w:tl2br w:val="nil"/>
              <w:tr2bl w:val="nil"/>
            </w:tcBorders>
            <w:shd w:val="clear" w:color="000000" w:fill="FFFFFF"/>
            <w:vAlign w:val="center"/>
          </w:tcPr>
          <w:p w14:paraId="759B7C99">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898" w:type="dxa"/>
            <w:tcBorders>
              <w:tl2br w:val="nil"/>
              <w:tr2bl w:val="nil"/>
            </w:tcBorders>
            <w:shd w:val="clear" w:color="000000" w:fill="FFFFFF"/>
            <w:vAlign w:val="center"/>
          </w:tcPr>
          <w:p w14:paraId="2F01A508">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039" w:type="dxa"/>
            <w:tcBorders>
              <w:tl2br w:val="nil"/>
              <w:tr2bl w:val="nil"/>
            </w:tcBorders>
            <w:shd w:val="clear" w:color="000000" w:fill="FFFFFF"/>
            <w:vAlign w:val="center"/>
          </w:tcPr>
          <w:p w14:paraId="4AF210C5">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68924B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1BAAB69A">
            <w:pPr>
              <w:widowControl/>
              <w:ind w:firstLine="0" w:firstLineChars="0"/>
              <w:jc w:val="center"/>
              <w:rPr>
                <w:rFonts w:hint="eastAsia" w:ascii="方正仿宋_GBK" w:hAnsi="方正仿宋_GBK" w:eastAsia="方正仿宋_GBK" w:cs="方正仿宋_GBK"/>
                <w:kern w:val="0"/>
                <w:sz w:val="24"/>
                <w:szCs w:val="24"/>
              </w:rPr>
            </w:pPr>
          </w:p>
        </w:tc>
        <w:tc>
          <w:tcPr>
            <w:tcW w:w="1984" w:type="dxa"/>
            <w:vMerge w:val="continue"/>
            <w:tcBorders>
              <w:tl2br w:val="nil"/>
              <w:tr2bl w:val="nil"/>
            </w:tcBorders>
            <w:shd w:val="clear" w:color="auto" w:fill="FFFFFF"/>
            <w:vAlign w:val="center"/>
          </w:tcPr>
          <w:p w14:paraId="55F695BB">
            <w:pPr>
              <w:widowControl/>
              <w:ind w:firstLine="0" w:firstLineChars="0"/>
              <w:jc w:val="center"/>
              <w:rPr>
                <w:rFonts w:hint="eastAsia" w:ascii="方正仿宋_GBK" w:hAnsi="方正仿宋_GBK" w:eastAsia="方正仿宋_GBK" w:cs="方正仿宋_GBK"/>
                <w:kern w:val="0"/>
                <w:sz w:val="24"/>
                <w:szCs w:val="24"/>
              </w:rPr>
            </w:pPr>
          </w:p>
        </w:tc>
        <w:tc>
          <w:tcPr>
            <w:tcW w:w="2693" w:type="dxa"/>
            <w:tcBorders>
              <w:tl2br w:val="nil"/>
              <w:tr2bl w:val="nil"/>
            </w:tcBorders>
            <w:shd w:val="clear" w:color="auto" w:fill="FFFFFF"/>
            <w:vAlign w:val="center"/>
          </w:tcPr>
          <w:p w14:paraId="7AE934FD">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制度执行有效性</w:t>
            </w:r>
          </w:p>
        </w:tc>
        <w:tc>
          <w:tcPr>
            <w:tcW w:w="898" w:type="dxa"/>
            <w:tcBorders>
              <w:tl2br w:val="nil"/>
              <w:tr2bl w:val="nil"/>
            </w:tcBorders>
            <w:shd w:val="clear" w:color="000000" w:fill="FFFFFF"/>
            <w:vAlign w:val="center"/>
          </w:tcPr>
          <w:p w14:paraId="0F36EAE4">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898" w:type="dxa"/>
            <w:tcBorders>
              <w:tl2br w:val="nil"/>
              <w:tr2bl w:val="nil"/>
            </w:tcBorders>
            <w:shd w:val="clear" w:color="000000" w:fill="FFFFFF"/>
            <w:vAlign w:val="center"/>
          </w:tcPr>
          <w:p w14:paraId="538B8B1E">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1039" w:type="dxa"/>
            <w:tcBorders>
              <w:tl2br w:val="nil"/>
              <w:tr2bl w:val="nil"/>
            </w:tcBorders>
            <w:shd w:val="clear" w:color="000000" w:fill="FFFFFF"/>
            <w:vAlign w:val="center"/>
          </w:tcPr>
          <w:p w14:paraId="03E43C97">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7002D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8" w:hRule="atLeast"/>
          <w:jc w:val="center"/>
        </w:trPr>
        <w:tc>
          <w:tcPr>
            <w:tcW w:w="1550" w:type="dxa"/>
            <w:vMerge w:val="restart"/>
            <w:tcBorders>
              <w:tl2br w:val="nil"/>
              <w:tr2bl w:val="nil"/>
            </w:tcBorders>
            <w:shd w:val="clear" w:color="auto" w:fill="FFFFFF"/>
            <w:vAlign w:val="center"/>
          </w:tcPr>
          <w:p w14:paraId="1F398E76">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产出</w:t>
            </w:r>
          </w:p>
        </w:tc>
        <w:tc>
          <w:tcPr>
            <w:tcW w:w="1984" w:type="dxa"/>
            <w:vMerge w:val="restart"/>
            <w:tcBorders>
              <w:tl2br w:val="nil"/>
              <w:tr2bl w:val="nil"/>
            </w:tcBorders>
            <w:shd w:val="clear" w:color="auto" w:fill="FFFFFF"/>
            <w:vAlign w:val="center"/>
          </w:tcPr>
          <w:p w14:paraId="4614A7AC">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产出数量</w:t>
            </w:r>
          </w:p>
        </w:tc>
        <w:tc>
          <w:tcPr>
            <w:tcW w:w="2693" w:type="dxa"/>
            <w:tcBorders>
              <w:tl2br w:val="nil"/>
              <w:tr2bl w:val="nil"/>
            </w:tcBorders>
            <w:shd w:val="clear" w:color="auto" w:fill="FFFFFF"/>
          </w:tcPr>
          <w:p w14:paraId="4916E096">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2"/>
              </w:rPr>
              <w:t>演出总场次</w:t>
            </w:r>
          </w:p>
        </w:tc>
        <w:tc>
          <w:tcPr>
            <w:tcW w:w="898" w:type="dxa"/>
            <w:tcBorders>
              <w:tl2br w:val="nil"/>
              <w:tr2bl w:val="nil"/>
            </w:tcBorders>
            <w:shd w:val="clear" w:color="000000" w:fill="FFFFFF"/>
            <w:vAlign w:val="center"/>
          </w:tcPr>
          <w:p w14:paraId="17A23061">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10</w:t>
            </w:r>
          </w:p>
        </w:tc>
        <w:tc>
          <w:tcPr>
            <w:tcW w:w="898" w:type="dxa"/>
            <w:tcBorders>
              <w:tl2br w:val="nil"/>
              <w:tr2bl w:val="nil"/>
            </w:tcBorders>
            <w:shd w:val="clear" w:color="000000" w:fill="FFFFFF"/>
            <w:vAlign w:val="center"/>
          </w:tcPr>
          <w:p w14:paraId="333023AD">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10</w:t>
            </w:r>
          </w:p>
        </w:tc>
        <w:tc>
          <w:tcPr>
            <w:tcW w:w="1039" w:type="dxa"/>
            <w:tcBorders>
              <w:tl2br w:val="nil"/>
              <w:tr2bl w:val="nil"/>
            </w:tcBorders>
            <w:shd w:val="clear" w:color="000000" w:fill="FFFFFF"/>
            <w:vAlign w:val="center"/>
          </w:tcPr>
          <w:p w14:paraId="2AC56C10">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24D6F7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 w:hRule="atLeast"/>
          <w:jc w:val="center"/>
        </w:trPr>
        <w:tc>
          <w:tcPr>
            <w:tcW w:w="1550" w:type="dxa"/>
            <w:vMerge w:val="continue"/>
            <w:tcBorders>
              <w:tl2br w:val="nil"/>
              <w:tr2bl w:val="nil"/>
            </w:tcBorders>
            <w:shd w:val="clear" w:color="auto" w:fill="FFFFFF"/>
            <w:vAlign w:val="center"/>
          </w:tcPr>
          <w:p w14:paraId="112E42D6">
            <w:pPr>
              <w:widowControl/>
              <w:ind w:firstLine="0" w:firstLineChars="0"/>
              <w:jc w:val="center"/>
              <w:rPr>
                <w:rFonts w:hint="eastAsia" w:ascii="方正仿宋_GBK" w:hAnsi="方正仿宋_GBK" w:eastAsia="方正仿宋_GBK" w:cs="方正仿宋_GBK"/>
                <w:kern w:val="0"/>
                <w:sz w:val="24"/>
                <w:szCs w:val="24"/>
              </w:rPr>
            </w:pPr>
          </w:p>
        </w:tc>
        <w:tc>
          <w:tcPr>
            <w:tcW w:w="1984" w:type="dxa"/>
            <w:vMerge w:val="continue"/>
            <w:tcBorders>
              <w:tl2br w:val="nil"/>
              <w:tr2bl w:val="nil"/>
            </w:tcBorders>
            <w:shd w:val="clear" w:color="auto" w:fill="FFFFFF"/>
            <w:vAlign w:val="center"/>
          </w:tcPr>
          <w:p w14:paraId="2D7594EB">
            <w:pPr>
              <w:widowControl/>
              <w:ind w:firstLine="0" w:firstLineChars="0"/>
              <w:jc w:val="center"/>
              <w:rPr>
                <w:rFonts w:hint="eastAsia" w:ascii="方正仿宋_GBK" w:hAnsi="方正仿宋_GBK" w:eastAsia="方正仿宋_GBK" w:cs="方正仿宋_GBK"/>
                <w:kern w:val="0"/>
                <w:sz w:val="24"/>
                <w:szCs w:val="24"/>
              </w:rPr>
            </w:pPr>
          </w:p>
        </w:tc>
        <w:tc>
          <w:tcPr>
            <w:tcW w:w="2693" w:type="dxa"/>
            <w:tcBorders>
              <w:tl2br w:val="nil"/>
              <w:tr2bl w:val="nil"/>
            </w:tcBorders>
            <w:shd w:val="clear" w:color="auto" w:fill="FFFFFF"/>
          </w:tcPr>
          <w:p w14:paraId="72CFF09D">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全年接待人次</w:t>
            </w:r>
          </w:p>
        </w:tc>
        <w:tc>
          <w:tcPr>
            <w:tcW w:w="898" w:type="dxa"/>
            <w:tcBorders>
              <w:tl2br w:val="nil"/>
              <w:tr2bl w:val="nil"/>
            </w:tcBorders>
            <w:shd w:val="clear" w:color="000000" w:fill="FFFFFF"/>
            <w:vAlign w:val="center"/>
          </w:tcPr>
          <w:p w14:paraId="3402BB98">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898" w:type="dxa"/>
            <w:tcBorders>
              <w:tl2br w:val="nil"/>
              <w:tr2bl w:val="nil"/>
            </w:tcBorders>
            <w:shd w:val="clear" w:color="000000" w:fill="FFFFFF"/>
            <w:vAlign w:val="center"/>
          </w:tcPr>
          <w:p w14:paraId="21104154">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1039" w:type="dxa"/>
            <w:tcBorders>
              <w:tl2br w:val="nil"/>
              <w:tr2bl w:val="nil"/>
            </w:tcBorders>
            <w:shd w:val="clear" w:color="000000" w:fill="FFFFFF"/>
            <w:vAlign w:val="center"/>
          </w:tcPr>
          <w:p w14:paraId="23BF3108">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245FE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 w:hRule="atLeast"/>
          <w:jc w:val="center"/>
        </w:trPr>
        <w:tc>
          <w:tcPr>
            <w:tcW w:w="1550" w:type="dxa"/>
            <w:vMerge w:val="continue"/>
            <w:tcBorders>
              <w:tl2br w:val="nil"/>
              <w:tr2bl w:val="nil"/>
            </w:tcBorders>
            <w:shd w:val="clear" w:color="auto" w:fill="FFFFFF"/>
            <w:vAlign w:val="center"/>
          </w:tcPr>
          <w:p w14:paraId="121E1167">
            <w:pPr>
              <w:widowControl/>
              <w:ind w:firstLine="0" w:firstLineChars="0"/>
              <w:jc w:val="center"/>
              <w:rPr>
                <w:rFonts w:hint="eastAsia" w:ascii="方正仿宋_GBK" w:hAnsi="方正仿宋_GBK" w:eastAsia="方正仿宋_GBK" w:cs="方正仿宋_GBK"/>
                <w:kern w:val="0"/>
                <w:sz w:val="24"/>
                <w:szCs w:val="24"/>
              </w:rPr>
            </w:pPr>
          </w:p>
        </w:tc>
        <w:tc>
          <w:tcPr>
            <w:tcW w:w="1984" w:type="dxa"/>
            <w:vMerge w:val="continue"/>
            <w:tcBorders>
              <w:tl2br w:val="nil"/>
              <w:tr2bl w:val="nil"/>
            </w:tcBorders>
            <w:shd w:val="clear" w:color="auto" w:fill="FFFFFF"/>
            <w:vAlign w:val="center"/>
          </w:tcPr>
          <w:p w14:paraId="4BF41239">
            <w:pPr>
              <w:widowControl/>
              <w:ind w:firstLine="0" w:firstLineChars="0"/>
              <w:jc w:val="center"/>
              <w:rPr>
                <w:rFonts w:hint="eastAsia" w:ascii="方正仿宋_GBK" w:hAnsi="方正仿宋_GBK" w:eastAsia="方正仿宋_GBK" w:cs="方正仿宋_GBK"/>
                <w:kern w:val="0"/>
                <w:sz w:val="24"/>
                <w:szCs w:val="24"/>
              </w:rPr>
            </w:pPr>
          </w:p>
        </w:tc>
        <w:tc>
          <w:tcPr>
            <w:tcW w:w="2693" w:type="dxa"/>
            <w:tcBorders>
              <w:tl2br w:val="nil"/>
              <w:tr2bl w:val="nil"/>
            </w:tcBorders>
            <w:shd w:val="clear" w:color="auto" w:fill="FFFFFF"/>
          </w:tcPr>
          <w:p w14:paraId="0FF05624">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全年开展社会文化活动</w:t>
            </w:r>
          </w:p>
        </w:tc>
        <w:tc>
          <w:tcPr>
            <w:tcW w:w="898" w:type="dxa"/>
            <w:tcBorders>
              <w:tl2br w:val="nil"/>
              <w:tr2bl w:val="nil"/>
            </w:tcBorders>
            <w:shd w:val="clear" w:color="000000" w:fill="FFFFFF"/>
            <w:vAlign w:val="center"/>
          </w:tcPr>
          <w:p w14:paraId="0D87294C">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898" w:type="dxa"/>
            <w:tcBorders>
              <w:tl2br w:val="nil"/>
              <w:tr2bl w:val="nil"/>
            </w:tcBorders>
            <w:shd w:val="clear" w:color="000000" w:fill="FFFFFF"/>
            <w:vAlign w:val="center"/>
          </w:tcPr>
          <w:p w14:paraId="5ABBA476">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1039" w:type="dxa"/>
            <w:tcBorders>
              <w:tl2br w:val="nil"/>
              <w:tr2bl w:val="nil"/>
            </w:tcBorders>
            <w:shd w:val="clear" w:color="000000" w:fill="FFFFFF"/>
            <w:vAlign w:val="center"/>
          </w:tcPr>
          <w:p w14:paraId="3828DC41">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77BEA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 w:hRule="atLeast"/>
          <w:jc w:val="center"/>
        </w:trPr>
        <w:tc>
          <w:tcPr>
            <w:tcW w:w="1550" w:type="dxa"/>
            <w:vMerge w:val="continue"/>
            <w:tcBorders>
              <w:tl2br w:val="nil"/>
              <w:tr2bl w:val="nil"/>
            </w:tcBorders>
            <w:shd w:val="clear" w:color="auto" w:fill="FFFFFF"/>
            <w:vAlign w:val="center"/>
          </w:tcPr>
          <w:p w14:paraId="0B97ECCB">
            <w:pPr>
              <w:widowControl/>
              <w:ind w:firstLine="0" w:firstLineChars="0"/>
              <w:jc w:val="center"/>
              <w:rPr>
                <w:rFonts w:hint="eastAsia" w:ascii="方正仿宋_GBK" w:hAnsi="方正仿宋_GBK" w:eastAsia="方正仿宋_GBK" w:cs="方正仿宋_GBK"/>
                <w:kern w:val="0"/>
                <w:sz w:val="24"/>
                <w:szCs w:val="24"/>
              </w:rPr>
            </w:pPr>
          </w:p>
        </w:tc>
        <w:tc>
          <w:tcPr>
            <w:tcW w:w="1984" w:type="dxa"/>
            <w:vMerge w:val="continue"/>
            <w:tcBorders>
              <w:tl2br w:val="nil"/>
              <w:tr2bl w:val="nil"/>
            </w:tcBorders>
            <w:shd w:val="clear" w:color="auto" w:fill="FFFFFF"/>
            <w:vAlign w:val="center"/>
          </w:tcPr>
          <w:p w14:paraId="1B58B707">
            <w:pPr>
              <w:widowControl/>
              <w:ind w:firstLine="0" w:firstLineChars="0"/>
              <w:jc w:val="center"/>
              <w:rPr>
                <w:rFonts w:hint="eastAsia" w:ascii="方正仿宋_GBK" w:hAnsi="方正仿宋_GBK" w:eastAsia="方正仿宋_GBK" w:cs="方正仿宋_GBK"/>
                <w:kern w:val="0"/>
                <w:sz w:val="24"/>
                <w:szCs w:val="24"/>
              </w:rPr>
            </w:pPr>
          </w:p>
        </w:tc>
        <w:tc>
          <w:tcPr>
            <w:tcW w:w="2693" w:type="dxa"/>
            <w:tcBorders>
              <w:tl2br w:val="nil"/>
              <w:tr2bl w:val="nil"/>
            </w:tcBorders>
            <w:shd w:val="clear" w:color="auto" w:fill="FFFFFF"/>
          </w:tcPr>
          <w:p w14:paraId="70F598F6">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提供毕业生实习就业岗位</w:t>
            </w:r>
          </w:p>
        </w:tc>
        <w:tc>
          <w:tcPr>
            <w:tcW w:w="898" w:type="dxa"/>
            <w:tcBorders>
              <w:tl2br w:val="nil"/>
              <w:tr2bl w:val="nil"/>
            </w:tcBorders>
            <w:shd w:val="clear" w:color="000000" w:fill="FFFFFF"/>
            <w:vAlign w:val="center"/>
          </w:tcPr>
          <w:p w14:paraId="5AE5A0CE">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898" w:type="dxa"/>
            <w:tcBorders>
              <w:tl2br w:val="nil"/>
              <w:tr2bl w:val="nil"/>
            </w:tcBorders>
            <w:shd w:val="clear" w:color="000000" w:fill="FFFFFF"/>
            <w:vAlign w:val="center"/>
          </w:tcPr>
          <w:p w14:paraId="39DC6C45">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1039" w:type="dxa"/>
            <w:tcBorders>
              <w:tl2br w:val="nil"/>
              <w:tr2bl w:val="nil"/>
            </w:tcBorders>
            <w:shd w:val="clear" w:color="000000" w:fill="FFFFFF"/>
            <w:vAlign w:val="center"/>
          </w:tcPr>
          <w:p w14:paraId="4F466DFF">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43EED1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 w:hRule="atLeast"/>
          <w:jc w:val="center"/>
        </w:trPr>
        <w:tc>
          <w:tcPr>
            <w:tcW w:w="1550" w:type="dxa"/>
            <w:vMerge w:val="continue"/>
            <w:tcBorders>
              <w:tl2br w:val="nil"/>
              <w:tr2bl w:val="nil"/>
            </w:tcBorders>
            <w:shd w:val="clear" w:color="auto" w:fill="FFFFFF"/>
            <w:vAlign w:val="center"/>
          </w:tcPr>
          <w:p w14:paraId="65CC8212">
            <w:pPr>
              <w:widowControl/>
              <w:ind w:firstLine="0" w:firstLineChars="0"/>
              <w:jc w:val="center"/>
              <w:rPr>
                <w:rFonts w:hint="eastAsia" w:ascii="方正仿宋_GBK" w:hAnsi="方正仿宋_GBK" w:eastAsia="方正仿宋_GBK" w:cs="方正仿宋_GBK"/>
                <w:kern w:val="0"/>
                <w:sz w:val="24"/>
                <w:szCs w:val="24"/>
              </w:rPr>
            </w:pPr>
          </w:p>
        </w:tc>
        <w:tc>
          <w:tcPr>
            <w:tcW w:w="1984" w:type="dxa"/>
            <w:vMerge w:val="restart"/>
            <w:tcBorders>
              <w:tl2br w:val="nil"/>
              <w:tr2bl w:val="nil"/>
            </w:tcBorders>
            <w:shd w:val="clear" w:color="auto" w:fill="FFFFFF"/>
            <w:vAlign w:val="center"/>
          </w:tcPr>
          <w:p w14:paraId="562166A2">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产出质量</w:t>
            </w:r>
          </w:p>
        </w:tc>
        <w:tc>
          <w:tcPr>
            <w:tcW w:w="2693" w:type="dxa"/>
            <w:tcBorders>
              <w:tl2br w:val="nil"/>
              <w:tr2bl w:val="nil"/>
            </w:tcBorders>
            <w:shd w:val="clear" w:color="auto" w:fill="FFFFFF"/>
            <w:vAlign w:val="center"/>
          </w:tcPr>
          <w:p w14:paraId="7762EBA6">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2"/>
              </w:rPr>
              <w:t>演员出勤率</w:t>
            </w:r>
          </w:p>
        </w:tc>
        <w:tc>
          <w:tcPr>
            <w:tcW w:w="898" w:type="dxa"/>
            <w:tcBorders>
              <w:tl2br w:val="nil"/>
              <w:tr2bl w:val="nil"/>
            </w:tcBorders>
            <w:shd w:val="clear" w:color="000000" w:fill="FFFFFF"/>
            <w:vAlign w:val="center"/>
          </w:tcPr>
          <w:p w14:paraId="03723530">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898" w:type="dxa"/>
            <w:tcBorders>
              <w:tl2br w:val="nil"/>
              <w:tr2bl w:val="nil"/>
            </w:tcBorders>
            <w:shd w:val="clear" w:color="000000" w:fill="FFFFFF"/>
            <w:vAlign w:val="center"/>
          </w:tcPr>
          <w:p w14:paraId="5F834AAE">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1039" w:type="dxa"/>
            <w:tcBorders>
              <w:tl2br w:val="nil"/>
              <w:tr2bl w:val="nil"/>
            </w:tcBorders>
            <w:shd w:val="clear" w:color="000000" w:fill="FFFFFF"/>
            <w:vAlign w:val="center"/>
          </w:tcPr>
          <w:p w14:paraId="756FF43B">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1F7CC3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 w:hRule="atLeast"/>
          <w:jc w:val="center"/>
        </w:trPr>
        <w:tc>
          <w:tcPr>
            <w:tcW w:w="1550" w:type="dxa"/>
            <w:vMerge w:val="continue"/>
            <w:tcBorders>
              <w:tl2br w:val="nil"/>
              <w:tr2bl w:val="nil"/>
            </w:tcBorders>
            <w:shd w:val="clear" w:color="auto" w:fill="FFFFFF"/>
            <w:vAlign w:val="center"/>
          </w:tcPr>
          <w:p w14:paraId="1BBF2577">
            <w:pPr>
              <w:widowControl/>
              <w:ind w:firstLine="0" w:firstLineChars="0"/>
              <w:jc w:val="center"/>
              <w:rPr>
                <w:rFonts w:hint="eastAsia" w:ascii="方正仿宋_GBK" w:hAnsi="方正仿宋_GBK" w:eastAsia="方正仿宋_GBK" w:cs="方正仿宋_GBK"/>
              </w:rPr>
            </w:pPr>
          </w:p>
        </w:tc>
        <w:tc>
          <w:tcPr>
            <w:tcW w:w="1984" w:type="dxa"/>
            <w:vMerge w:val="continue"/>
            <w:tcBorders>
              <w:tl2br w:val="nil"/>
              <w:tr2bl w:val="nil"/>
            </w:tcBorders>
            <w:shd w:val="clear" w:color="auto" w:fill="FFFFFF"/>
            <w:vAlign w:val="center"/>
          </w:tcPr>
          <w:p w14:paraId="2CC34382">
            <w:pPr>
              <w:widowControl/>
              <w:ind w:firstLine="0" w:firstLineChars="0"/>
              <w:jc w:val="center"/>
              <w:rPr>
                <w:rFonts w:hint="eastAsia" w:ascii="方正仿宋_GBK" w:hAnsi="方正仿宋_GBK" w:eastAsia="方正仿宋_GBK" w:cs="方正仿宋_GBK"/>
              </w:rPr>
            </w:pPr>
          </w:p>
        </w:tc>
        <w:tc>
          <w:tcPr>
            <w:tcW w:w="2693" w:type="dxa"/>
            <w:tcBorders>
              <w:tl2br w:val="nil"/>
              <w:tr2bl w:val="nil"/>
            </w:tcBorders>
            <w:shd w:val="clear" w:color="auto" w:fill="FFFFFF"/>
            <w:vAlign w:val="center"/>
          </w:tcPr>
          <w:p w14:paraId="14CB5438">
            <w:pPr>
              <w:widowControl/>
              <w:ind w:firstLine="0" w:firstLineChars="0"/>
              <w:jc w:val="center"/>
              <w:rPr>
                <w:rFonts w:hint="eastAsia" w:ascii="方正仿宋_GBK" w:hAnsi="方正仿宋_GBK" w:eastAsia="方正仿宋_GBK" w:cs="方正仿宋_GBK"/>
                <w:color w:val="000000"/>
                <w:kern w:val="0"/>
                <w:sz w:val="22"/>
              </w:rPr>
            </w:pPr>
            <w:r>
              <w:rPr>
                <w:rFonts w:hint="eastAsia" w:ascii="方正仿宋_GBK" w:hAnsi="方正仿宋_GBK" w:eastAsia="方正仿宋_GBK" w:cs="方正仿宋_GBK"/>
                <w:color w:val="000000"/>
                <w:kern w:val="0"/>
                <w:sz w:val="22"/>
              </w:rPr>
              <w:t>资金到位及时率</w:t>
            </w:r>
          </w:p>
        </w:tc>
        <w:tc>
          <w:tcPr>
            <w:tcW w:w="898" w:type="dxa"/>
            <w:tcBorders>
              <w:tl2br w:val="nil"/>
              <w:tr2bl w:val="nil"/>
            </w:tcBorders>
            <w:shd w:val="clear" w:color="000000" w:fill="FFFFFF"/>
            <w:vAlign w:val="center"/>
          </w:tcPr>
          <w:p w14:paraId="1AA3823F">
            <w:pPr>
              <w:widowControl/>
              <w:ind w:firstLine="0" w:firstLineChars="0"/>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5</w:t>
            </w:r>
          </w:p>
        </w:tc>
        <w:tc>
          <w:tcPr>
            <w:tcW w:w="898" w:type="dxa"/>
            <w:tcBorders>
              <w:tl2br w:val="nil"/>
              <w:tr2bl w:val="nil"/>
            </w:tcBorders>
            <w:shd w:val="clear" w:color="000000" w:fill="FFFFFF"/>
            <w:vAlign w:val="center"/>
          </w:tcPr>
          <w:p w14:paraId="477E2075">
            <w:pPr>
              <w:widowControl/>
              <w:ind w:firstLine="0" w:firstLineChars="0"/>
              <w:jc w:val="center"/>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5</w:t>
            </w:r>
          </w:p>
        </w:tc>
        <w:tc>
          <w:tcPr>
            <w:tcW w:w="1039" w:type="dxa"/>
            <w:tcBorders>
              <w:tl2br w:val="nil"/>
              <w:tr2bl w:val="nil"/>
            </w:tcBorders>
            <w:shd w:val="clear" w:color="000000" w:fill="FFFFFF"/>
            <w:vAlign w:val="center"/>
          </w:tcPr>
          <w:p w14:paraId="56957E59">
            <w:pPr>
              <w:widowControl/>
              <w:ind w:firstLine="0" w:firstLineChars="0"/>
              <w:jc w:val="center"/>
              <w:rPr>
                <w:rFonts w:hint="default" w:ascii="Times New Roman" w:hAnsi="Times New Roman" w:eastAsia="宋体" w:cs="Times New Roman"/>
                <w:color w:val="000000"/>
                <w:kern w:val="0"/>
                <w:sz w:val="22"/>
                <w:highlight w:val="yellow"/>
              </w:rPr>
            </w:pPr>
            <w:r>
              <w:rPr>
                <w:rFonts w:hint="default" w:ascii="Times New Roman" w:hAnsi="Times New Roman" w:cs="Times New Roman"/>
                <w:kern w:val="0"/>
                <w:sz w:val="24"/>
                <w:szCs w:val="24"/>
              </w:rPr>
              <w:t>100%</w:t>
            </w:r>
          </w:p>
        </w:tc>
      </w:tr>
      <w:tr w14:paraId="3CA127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5A35E377">
            <w:pPr>
              <w:widowControl/>
              <w:ind w:firstLine="0" w:firstLineChars="0"/>
              <w:jc w:val="center"/>
              <w:rPr>
                <w:rFonts w:hint="eastAsia" w:ascii="方正仿宋_GBK" w:hAnsi="方正仿宋_GBK" w:eastAsia="方正仿宋_GBK" w:cs="方正仿宋_GBK"/>
                <w:kern w:val="0"/>
                <w:sz w:val="24"/>
                <w:szCs w:val="24"/>
              </w:rPr>
            </w:pPr>
          </w:p>
        </w:tc>
        <w:tc>
          <w:tcPr>
            <w:tcW w:w="1984" w:type="dxa"/>
            <w:tcBorders>
              <w:tl2br w:val="nil"/>
              <w:tr2bl w:val="nil"/>
            </w:tcBorders>
            <w:shd w:val="clear" w:color="auto" w:fill="FFFFFF"/>
            <w:vAlign w:val="center"/>
          </w:tcPr>
          <w:p w14:paraId="48974514">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产出时效</w:t>
            </w:r>
          </w:p>
        </w:tc>
        <w:tc>
          <w:tcPr>
            <w:tcW w:w="2693" w:type="dxa"/>
            <w:tcBorders>
              <w:tl2br w:val="nil"/>
              <w:tr2bl w:val="nil"/>
            </w:tcBorders>
            <w:shd w:val="clear" w:color="auto" w:fill="FFFFFF"/>
            <w:vAlign w:val="center"/>
          </w:tcPr>
          <w:p w14:paraId="14A23A9A">
            <w:pPr>
              <w:widowControl/>
              <w:ind w:firstLine="0" w:firstLineChars="0"/>
              <w:jc w:val="center"/>
              <w:rPr>
                <w:rFonts w:hint="eastAsia" w:ascii="方正仿宋_GBK" w:hAnsi="方正仿宋_GBK" w:eastAsia="方正仿宋_GBK" w:cs="方正仿宋_GBK"/>
                <w:color w:val="000000"/>
                <w:kern w:val="0"/>
                <w:sz w:val="22"/>
              </w:rPr>
            </w:pPr>
            <w:r>
              <w:rPr>
                <w:rFonts w:hint="eastAsia" w:ascii="方正仿宋_GBK" w:hAnsi="方正仿宋_GBK" w:eastAsia="方正仿宋_GBK" w:cs="方正仿宋_GBK"/>
                <w:color w:val="000000"/>
                <w:kern w:val="0"/>
                <w:sz w:val="22"/>
              </w:rPr>
              <w:t>资金补助及时率</w:t>
            </w:r>
          </w:p>
        </w:tc>
        <w:tc>
          <w:tcPr>
            <w:tcW w:w="898" w:type="dxa"/>
            <w:tcBorders>
              <w:tl2br w:val="nil"/>
              <w:tr2bl w:val="nil"/>
            </w:tcBorders>
            <w:shd w:val="clear" w:color="auto" w:fill="FFFFFF"/>
            <w:vAlign w:val="center"/>
          </w:tcPr>
          <w:p w14:paraId="533951A9">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898" w:type="dxa"/>
            <w:tcBorders>
              <w:tl2br w:val="nil"/>
              <w:tr2bl w:val="nil"/>
            </w:tcBorders>
            <w:shd w:val="clear" w:color="auto" w:fill="FFFFFF"/>
            <w:vAlign w:val="center"/>
          </w:tcPr>
          <w:p w14:paraId="0FED4265">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1039" w:type="dxa"/>
            <w:tcBorders>
              <w:tl2br w:val="nil"/>
              <w:tr2bl w:val="nil"/>
            </w:tcBorders>
            <w:shd w:val="clear" w:color="auto" w:fill="FFFFFF"/>
            <w:vAlign w:val="center"/>
          </w:tcPr>
          <w:p w14:paraId="07EA5A47">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3BE9B6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58D1C44C">
            <w:pPr>
              <w:widowControl/>
              <w:ind w:firstLine="0" w:firstLineChars="0"/>
              <w:jc w:val="center"/>
              <w:rPr>
                <w:rFonts w:hint="eastAsia" w:ascii="方正仿宋_GBK" w:hAnsi="方正仿宋_GBK" w:eastAsia="方正仿宋_GBK" w:cs="方正仿宋_GBK"/>
                <w:kern w:val="0"/>
                <w:sz w:val="24"/>
                <w:szCs w:val="24"/>
              </w:rPr>
            </w:pPr>
          </w:p>
        </w:tc>
        <w:tc>
          <w:tcPr>
            <w:tcW w:w="1984" w:type="dxa"/>
            <w:tcBorders>
              <w:tl2br w:val="nil"/>
              <w:tr2bl w:val="nil"/>
            </w:tcBorders>
            <w:shd w:val="clear" w:color="auto" w:fill="FFFFFF"/>
            <w:vAlign w:val="center"/>
          </w:tcPr>
          <w:p w14:paraId="32835C76">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产出成本</w:t>
            </w:r>
          </w:p>
        </w:tc>
        <w:tc>
          <w:tcPr>
            <w:tcW w:w="2693" w:type="dxa"/>
            <w:tcBorders>
              <w:tl2br w:val="nil"/>
              <w:tr2bl w:val="nil"/>
            </w:tcBorders>
            <w:shd w:val="clear" w:color="auto" w:fill="FFFFFF"/>
            <w:vAlign w:val="center"/>
          </w:tcPr>
          <w:p w14:paraId="16B1CB6A">
            <w:pPr>
              <w:widowControl/>
              <w:ind w:firstLine="0" w:firstLineChars="0"/>
              <w:jc w:val="center"/>
              <w:rPr>
                <w:rFonts w:hint="eastAsia" w:ascii="方正仿宋_GBK" w:hAnsi="方正仿宋_GBK" w:eastAsia="方正仿宋_GBK" w:cs="方正仿宋_GBK"/>
                <w:color w:val="000000"/>
                <w:kern w:val="0"/>
                <w:sz w:val="22"/>
              </w:rPr>
            </w:pPr>
            <w:r>
              <w:rPr>
                <w:rFonts w:hint="eastAsia" w:ascii="方正仿宋_GBK" w:hAnsi="方正仿宋_GBK" w:eastAsia="方正仿宋_GBK" w:cs="方正仿宋_GBK"/>
                <w:color w:val="000000"/>
                <w:kern w:val="0"/>
                <w:sz w:val="22"/>
              </w:rPr>
              <w:t>PPP项目可行性缺口补助</w:t>
            </w:r>
          </w:p>
        </w:tc>
        <w:tc>
          <w:tcPr>
            <w:tcW w:w="898" w:type="dxa"/>
            <w:tcBorders>
              <w:tl2br w:val="nil"/>
              <w:tr2bl w:val="nil"/>
            </w:tcBorders>
            <w:shd w:val="clear" w:color="auto" w:fill="FFFFFF"/>
            <w:vAlign w:val="center"/>
          </w:tcPr>
          <w:p w14:paraId="4BA8F0D3">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898" w:type="dxa"/>
            <w:tcBorders>
              <w:tl2br w:val="nil"/>
              <w:tr2bl w:val="nil"/>
            </w:tcBorders>
            <w:shd w:val="clear" w:color="auto" w:fill="FFFFFF"/>
            <w:vAlign w:val="center"/>
          </w:tcPr>
          <w:p w14:paraId="6DD6A10F">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1039" w:type="dxa"/>
            <w:tcBorders>
              <w:tl2br w:val="nil"/>
              <w:tr2bl w:val="nil"/>
            </w:tcBorders>
            <w:shd w:val="clear" w:color="auto" w:fill="FFFFFF"/>
            <w:vAlign w:val="center"/>
          </w:tcPr>
          <w:p w14:paraId="57578355">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34B862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tcBorders>
              <w:tl2br w:val="nil"/>
              <w:tr2bl w:val="nil"/>
            </w:tcBorders>
            <w:shd w:val="clear" w:color="auto" w:fill="FFFFFF"/>
            <w:vAlign w:val="center"/>
          </w:tcPr>
          <w:p w14:paraId="094B38B6">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效益</w:t>
            </w:r>
          </w:p>
        </w:tc>
        <w:tc>
          <w:tcPr>
            <w:tcW w:w="1984" w:type="dxa"/>
            <w:tcBorders>
              <w:tl2br w:val="nil"/>
              <w:tr2bl w:val="nil"/>
            </w:tcBorders>
            <w:shd w:val="clear" w:color="auto" w:fill="FFFFFF"/>
            <w:vAlign w:val="center"/>
          </w:tcPr>
          <w:p w14:paraId="40685A29">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社会效益</w:t>
            </w:r>
          </w:p>
        </w:tc>
        <w:tc>
          <w:tcPr>
            <w:tcW w:w="2693" w:type="dxa"/>
            <w:tcBorders>
              <w:tl2br w:val="nil"/>
              <w:tr2bl w:val="nil"/>
            </w:tcBorders>
            <w:shd w:val="clear" w:color="auto" w:fill="FFFFFF"/>
            <w:vAlign w:val="center"/>
          </w:tcPr>
          <w:p w14:paraId="0BA9C9B0">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2"/>
              </w:rPr>
              <w:t>发展文化旅游产业</w:t>
            </w:r>
          </w:p>
        </w:tc>
        <w:tc>
          <w:tcPr>
            <w:tcW w:w="898" w:type="dxa"/>
            <w:tcBorders>
              <w:tl2br w:val="nil"/>
              <w:tr2bl w:val="nil"/>
            </w:tcBorders>
            <w:shd w:val="clear" w:color="auto" w:fill="FFFFFF"/>
            <w:vAlign w:val="center"/>
          </w:tcPr>
          <w:p w14:paraId="4B4AA2A9">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10</w:t>
            </w:r>
          </w:p>
        </w:tc>
        <w:tc>
          <w:tcPr>
            <w:tcW w:w="898" w:type="dxa"/>
            <w:tcBorders>
              <w:tl2br w:val="nil"/>
              <w:tr2bl w:val="nil"/>
            </w:tcBorders>
            <w:shd w:val="clear" w:color="auto" w:fill="FFFFFF"/>
            <w:vAlign w:val="center"/>
          </w:tcPr>
          <w:p w14:paraId="6E9137E7">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10</w:t>
            </w:r>
          </w:p>
        </w:tc>
        <w:tc>
          <w:tcPr>
            <w:tcW w:w="1039" w:type="dxa"/>
            <w:tcBorders>
              <w:tl2br w:val="nil"/>
              <w:tr2bl w:val="nil"/>
            </w:tcBorders>
            <w:shd w:val="clear" w:color="auto" w:fill="FFFFFF"/>
            <w:vAlign w:val="center"/>
          </w:tcPr>
          <w:p w14:paraId="4AE620E1">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r w14:paraId="379601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tcBorders>
              <w:tl2br w:val="nil"/>
              <w:tr2bl w:val="nil"/>
            </w:tcBorders>
            <w:shd w:val="clear" w:color="auto" w:fill="FFFFFF"/>
            <w:vAlign w:val="center"/>
          </w:tcPr>
          <w:p w14:paraId="5E46F52C">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2"/>
              </w:rPr>
              <w:t>满意度指标完成情况分析</w:t>
            </w:r>
          </w:p>
        </w:tc>
        <w:tc>
          <w:tcPr>
            <w:tcW w:w="1984" w:type="dxa"/>
            <w:tcBorders>
              <w:tl2br w:val="nil"/>
              <w:tr2bl w:val="nil"/>
            </w:tcBorders>
            <w:shd w:val="clear" w:color="auto" w:fill="FFFFFF"/>
            <w:vAlign w:val="center"/>
          </w:tcPr>
          <w:p w14:paraId="0CBA66CF">
            <w:pPr>
              <w:widowControl/>
              <w:ind w:firstLine="0" w:firstLineChars="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2"/>
              </w:rPr>
              <w:t>满意度指标</w:t>
            </w:r>
          </w:p>
        </w:tc>
        <w:tc>
          <w:tcPr>
            <w:tcW w:w="2693" w:type="dxa"/>
            <w:tcBorders>
              <w:tl2br w:val="nil"/>
              <w:tr2bl w:val="nil"/>
            </w:tcBorders>
            <w:shd w:val="clear" w:color="auto" w:fill="FFFFFF"/>
            <w:vAlign w:val="center"/>
          </w:tcPr>
          <w:p w14:paraId="762DBCA2">
            <w:pPr>
              <w:widowControl/>
              <w:ind w:firstLine="0" w:firstLineChars="0"/>
              <w:jc w:val="center"/>
              <w:rPr>
                <w:rFonts w:hint="eastAsia" w:ascii="方正仿宋_GBK" w:hAnsi="方正仿宋_GBK" w:eastAsia="方正仿宋_GBK" w:cs="方正仿宋_GBK"/>
                <w:color w:val="000000"/>
                <w:kern w:val="0"/>
                <w:sz w:val="22"/>
              </w:rPr>
            </w:pPr>
            <w:r>
              <w:rPr>
                <w:rFonts w:hint="eastAsia" w:ascii="方正仿宋_GBK" w:hAnsi="方正仿宋_GBK" w:eastAsia="方正仿宋_GBK" w:cs="方正仿宋_GBK"/>
                <w:color w:val="000000"/>
                <w:kern w:val="0"/>
                <w:sz w:val="22"/>
              </w:rPr>
              <w:t>社会公众满意度</w:t>
            </w:r>
          </w:p>
        </w:tc>
        <w:tc>
          <w:tcPr>
            <w:tcW w:w="898" w:type="dxa"/>
            <w:tcBorders>
              <w:tl2br w:val="nil"/>
              <w:tr2bl w:val="nil"/>
            </w:tcBorders>
            <w:shd w:val="clear" w:color="000000" w:fill="FFFFFF"/>
            <w:vAlign w:val="center"/>
          </w:tcPr>
          <w:p w14:paraId="4980F787">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898" w:type="dxa"/>
            <w:tcBorders>
              <w:tl2br w:val="nil"/>
              <w:tr2bl w:val="nil"/>
            </w:tcBorders>
            <w:shd w:val="clear" w:color="000000" w:fill="FFFFFF"/>
            <w:vAlign w:val="center"/>
          </w:tcPr>
          <w:p w14:paraId="3F355F9C">
            <w:pPr>
              <w:widowControl/>
              <w:ind w:firstLine="0" w:firstLineChars="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1039" w:type="dxa"/>
            <w:tcBorders>
              <w:tl2br w:val="nil"/>
              <w:tr2bl w:val="nil"/>
            </w:tcBorders>
            <w:shd w:val="clear" w:color="000000" w:fill="FFFFFF"/>
            <w:vAlign w:val="center"/>
          </w:tcPr>
          <w:p w14:paraId="7818A960">
            <w:pPr>
              <w:widowControl/>
              <w:ind w:firstLine="0" w:firstLineChars="0"/>
              <w:jc w:val="center"/>
              <w:rPr>
                <w:rFonts w:hint="default" w:ascii="Times New Roman" w:hAnsi="Times New Roman" w:cs="Times New Roman"/>
                <w:kern w:val="0"/>
                <w:sz w:val="24"/>
                <w:szCs w:val="24"/>
                <w:highlight w:val="yellow"/>
              </w:rPr>
            </w:pPr>
            <w:r>
              <w:rPr>
                <w:rFonts w:hint="default" w:ascii="Times New Roman" w:hAnsi="Times New Roman" w:cs="Times New Roman"/>
                <w:kern w:val="0"/>
                <w:sz w:val="24"/>
                <w:szCs w:val="24"/>
              </w:rPr>
              <w:t>100%</w:t>
            </w:r>
          </w:p>
        </w:tc>
      </w:tr>
    </w:tbl>
    <w:p w14:paraId="24B25A3D">
      <w:pPr>
        <w:pStyle w:val="4"/>
        <w:ind w:firstLine="643"/>
        <w:rPr>
          <w:rFonts w:ascii="仿宋" w:hAnsi="仿宋" w:eastAsia="仿宋"/>
          <w:lang w:bidi="en-US"/>
        </w:rPr>
      </w:pPr>
      <w:bookmarkStart w:id="31" w:name="_Toc165277239"/>
      <w:bookmarkStart w:id="32" w:name="_Toc67911610"/>
      <w:r>
        <w:rPr>
          <w:rFonts w:hint="eastAsia" w:ascii="仿宋" w:hAnsi="仿宋" w:eastAsia="仿宋"/>
          <w:lang w:bidi="en-US"/>
        </w:rPr>
        <w:t>（二）主要绩效</w:t>
      </w:r>
      <w:bookmarkEnd w:id="31"/>
      <w:bookmarkEnd w:id="32"/>
    </w:p>
    <w:p w14:paraId="0C69CF96">
      <w:pPr>
        <w:spacing w:line="360" w:lineRule="auto"/>
        <w:ind w:firstLine="548" w:firstLineChars="196"/>
        <w:rPr>
          <w:rFonts w:ascii="仿宋_GB2312"/>
          <w:bCs/>
          <w:szCs w:val="28"/>
          <w:highlight w:val="yellow"/>
        </w:rPr>
      </w:pPr>
      <w:r>
        <w:rPr>
          <w:rFonts w:hint="eastAsia" w:ascii="仿宋_GB2312"/>
          <w:bCs/>
          <w:szCs w:val="28"/>
        </w:rPr>
        <w:t>该项目资金市财政及时拨付，</w:t>
      </w:r>
      <w:r>
        <w:rPr>
          <w:rFonts w:hint="eastAsia" w:ascii="仿宋" w:hAnsi="仿宋" w:eastAsia="仿宋" w:cs="仿宋"/>
          <w:color w:val="000000" w:themeColor="text1"/>
          <w:szCs w:val="40"/>
          <w14:textFill>
            <w14:solidFill>
              <w14:schemeClr w14:val="tx1"/>
            </w14:solidFill>
          </w14:textFill>
        </w:rPr>
        <w:t>本项目运营期内项目管理、维修维护情况保持良好，每季度、每年度内保证运营内容以及配套设施和地下室的运营管理、安全管理等达到管理要求，且满意度良好，资金使用及管理合规，管理资料保存完好，为提高乌鲁木齐市公共文化服务做好管理工作。</w:t>
      </w:r>
      <w:r>
        <w:rPr>
          <w:rFonts w:hint="eastAsia" w:ascii="仿宋_GB2312"/>
        </w:rPr>
        <w:t>乌鲁木齐市文化中心项目2024年成功获评国家级AAA级旅游景区，为文化惠民项目提升整体综合质量、推动服务升级迭代打下坚实基础。一是文化中心紧跟市场需求，不断丰富文化内容和形式，举办市民喜闻乐见的文化活动、展览和演出，文化阵地作用充分发挥；二是积极与自治区文旅厅及市文广旅局对接，已引入中演院线合作，为后续引进高质量、高标准演出提供有力保障。具体指标完成情况为：①演出176场</w:t>
      </w:r>
      <w:r>
        <w:rPr>
          <w:rFonts w:hint="eastAsia" w:ascii="仿宋_GB2312"/>
          <w:lang w:eastAsia="zh-CN"/>
        </w:rPr>
        <w:t>，</w:t>
      </w:r>
      <w:r>
        <w:rPr>
          <w:rFonts w:hint="eastAsia" w:ascii="仿宋_GB2312"/>
          <w:lang w:val="en-US" w:eastAsia="zh-CN"/>
        </w:rPr>
        <w:t>完成率117%</w:t>
      </w:r>
      <w:r>
        <w:rPr>
          <w:rFonts w:hint="eastAsia" w:ascii="仿宋_GB2312"/>
        </w:rPr>
        <w:t>;②接待游客299.7万人次</w:t>
      </w:r>
      <w:r>
        <w:rPr>
          <w:rFonts w:hint="eastAsia" w:ascii="仿宋_GB2312"/>
          <w:lang w:eastAsia="zh-CN"/>
        </w:rPr>
        <w:t>，</w:t>
      </w:r>
      <w:r>
        <w:rPr>
          <w:rFonts w:hint="eastAsia" w:ascii="仿宋_GB2312"/>
          <w:lang w:val="en-US" w:eastAsia="zh-CN"/>
        </w:rPr>
        <w:t>完成率249%</w:t>
      </w:r>
      <w:r>
        <w:rPr>
          <w:rFonts w:hint="eastAsia" w:ascii="仿宋_GB2312"/>
        </w:rPr>
        <w:t>；③开展社会文化活动96场</w:t>
      </w:r>
      <w:r>
        <w:rPr>
          <w:rFonts w:hint="eastAsia" w:ascii="仿宋_GB2312"/>
          <w:lang w:eastAsia="zh-CN"/>
        </w:rPr>
        <w:t>，</w:t>
      </w:r>
      <w:r>
        <w:rPr>
          <w:rFonts w:hint="eastAsia" w:ascii="仿宋_GB2312"/>
          <w:lang w:val="en-US" w:eastAsia="zh-CN"/>
        </w:rPr>
        <w:t>完成率120%</w:t>
      </w:r>
      <w:r>
        <w:rPr>
          <w:rFonts w:hint="eastAsia" w:ascii="仿宋_GB2312"/>
        </w:rPr>
        <w:t>；④提供实习就业岗位10个</w:t>
      </w:r>
      <w:r>
        <w:rPr>
          <w:rFonts w:hint="eastAsia" w:ascii="仿宋_GB2312"/>
          <w:lang w:eastAsia="zh-CN"/>
        </w:rPr>
        <w:t>，</w:t>
      </w:r>
      <w:r>
        <w:rPr>
          <w:rFonts w:hint="eastAsia" w:ascii="仿宋_GB2312"/>
          <w:lang w:val="en-US" w:eastAsia="zh-CN"/>
        </w:rPr>
        <w:t>完成率100%</w:t>
      </w:r>
      <w:r>
        <w:rPr>
          <w:rFonts w:hint="eastAsia" w:ascii="仿宋_GB2312"/>
        </w:rPr>
        <w:t>；⑤演员出勤率达98%；⑥资金到位及时率达100%；社会公众满意度达100%。</w:t>
      </w:r>
    </w:p>
    <w:p w14:paraId="0D9AA66C">
      <w:pPr>
        <w:pStyle w:val="3"/>
        <w:ind w:firstLine="0" w:firstLineChars="0"/>
        <w:jc w:val="left"/>
        <w:rPr>
          <w:rFonts w:ascii="仿宋" w:hAnsi="仿宋" w:eastAsia="仿宋"/>
          <w:sz w:val="36"/>
          <w:szCs w:val="36"/>
          <w:lang w:bidi="en-US"/>
        </w:rPr>
      </w:pPr>
      <w:bookmarkStart w:id="33" w:name="_Toc67911611"/>
      <w:bookmarkStart w:id="34" w:name="_Toc165277240"/>
      <w:r>
        <w:rPr>
          <w:rFonts w:hint="eastAsia" w:ascii="仿宋" w:hAnsi="仿宋" w:eastAsia="仿宋"/>
          <w:sz w:val="36"/>
          <w:szCs w:val="36"/>
          <w:lang w:bidi="en-US"/>
        </w:rPr>
        <w:t>四、绩效评价指标分析</w:t>
      </w:r>
      <w:bookmarkEnd w:id="33"/>
      <w:bookmarkEnd w:id="34"/>
    </w:p>
    <w:p w14:paraId="52AC48CA">
      <w:pPr>
        <w:pStyle w:val="4"/>
        <w:ind w:firstLine="643"/>
        <w:rPr>
          <w:rFonts w:ascii="仿宋" w:hAnsi="仿宋" w:eastAsia="仿宋"/>
          <w:lang w:bidi="en-US"/>
        </w:rPr>
      </w:pPr>
      <w:bookmarkStart w:id="35" w:name="_Toc165277241"/>
      <w:bookmarkStart w:id="36" w:name="_Toc67911612"/>
      <w:r>
        <w:rPr>
          <w:rFonts w:hint="eastAsia" w:ascii="仿宋" w:hAnsi="仿宋" w:eastAsia="仿宋"/>
          <w:lang w:bidi="en-US"/>
        </w:rPr>
        <w:t>（一）项目决策情况</w:t>
      </w:r>
      <w:bookmarkEnd w:id="35"/>
      <w:bookmarkEnd w:id="36"/>
    </w:p>
    <w:p w14:paraId="50C478D0">
      <w:pPr>
        <w:spacing w:line="360" w:lineRule="auto"/>
        <w:ind w:firstLine="560"/>
        <w:rPr>
          <w:rFonts w:ascii="仿宋_GB2312"/>
          <w:szCs w:val="28"/>
        </w:rPr>
      </w:pPr>
      <w:bookmarkStart w:id="37" w:name="_Toc165277242"/>
      <w:r>
        <w:rPr>
          <w:rFonts w:hint="eastAsia" w:ascii="仿宋_GB2312"/>
          <w:szCs w:val="28"/>
        </w:rPr>
        <w:t>项目决算指标由3个二级指标和6个三级指标构成，权重为</w:t>
      </w:r>
      <w:r>
        <w:rPr>
          <w:rFonts w:ascii="仿宋_GB2312"/>
          <w:szCs w:val="28"/>
        </w:rPr>
        <w:t>20</w:t>
      </w:r>
      <w:r>
        <w:rPr>
          <w:rFonts w:hint="eastAsia" w:ascii="仿宋_GB2312"/>
          <w:szCs w:val="28"/>
        </w:rPr>
        <w:t>分，实际得分20分。</w:t>
      </w:r>
    </w:p>
    <w:p w14:paraId="704A2805">
      <w:pPr>
        <w:pStyle w:val="5"/>
        <w:ind w:firstLine="643"/>
      </w:pPr>
      <w:r>
        <w:t>1.</w:t>
      </w:r>
      <w:r>
        <w:rPr>
          <w:rFonts w:hint="eastAsia"/>
        </w:rPr>
        <w:t>项目立项</w:t>
      </w:r>
      <w:bookmarkEnd w:id="37"/>
    </w:p>
    <w:p w14:paraId="01EEECC6">
      <w:pPr>
        <w:spacing w:line="360" w:lineRule="auto"/>
        <w:ind w:firstLine="562"/>
        <w:rPr>
          <w:rFonts w:ascii="仿宋_GB2312"/>
          <w:szCs w:val="28"/>
        </w:rPr>
      </w:pPr>
      <w:r>
        <w:rPr>
          <w:rFonts w:hint="eastAsia" w:ascii="仿宋_GB2312"/>
          <w:b/>
          <w:bCs/>
          <w:szCs w:val="28"/>
        </w:rPr>
        <w:t>立项依据充分性：</w:t>
      </w:r>
      <w:r>
        <w:rPr>
          <w:rFonts w:hint="eastAsia" w:ascii="仿宋_GB2312"/>
          <w:szCs w:val="28"/>
        </w:rPr>
        <w:t>项目立项符合国家法律法规、政策要求。2013年4月27日，《关于对乌鲁木齐文化中心建设项目立项的批复》</w:t>
      </w:r>
      <w:r>
        <w:rPr>
          <w:rFonts w:hint="eastAsia" w:ascii="仿宋_GB2312"/>
          <w:szCs w:val="28"/>
          <w:lang w:eastAsia="zh-CN"/>
        </w:rPr>
        <w:t>（</w:t>
      </w:r>
      <w:r>
        <w:rPr>
          <w:rFonts w:hint="eastAsia" w:ascii="仿宋_GB2312"/>
          <w:szCs w:val="28"/>
        </w:rPr>
        <w:t>乌发改函[2013]256号</w:t>
      </w:r>
      <w:r>
        <w:rPr>
          <w:rFonts w:hint="eastAsia" w:ascii="仿宋_GB2312"/>
          <w:szCs w:val="28"/>
          <w:lang w:eastAsia="zh-CN"/>
        </w:rPr>
        <w:t>）</w:t>
      </w:r>
      <w:r>
        <w:rPr>
          <w:rFonts w:hint="eastAsia" w:ascii="仿宋_GB2312"/>
          <w:szCs w:val="28"/>
        </w:rPr>
        <w:t>明确乌鲁木齐市文化中心项目建设内容由六馆一塔组成，总建筑面积为240853平方米，项目资金来源以政府投资和社会融资结合的方式解决。同时，项目与部门职责范围相符，属于部门履职所需。此外，本项目属于公共财政支持范围，符合中央、地方事权支出责任划分原则。因此，立项依据充分，得4分。</w:t>
      </w:r>
    </w:p>
    <w:p w14:paraId="3849C723">
      <w:pPr>
        <w:spacing w:line="360" w:lineRule="auto"/>
        <w:ind w:firstLine="562"/>
        <w:rPr>
          <w:rFonts w:hint="eastAsia" w:ascii="仿宋_GB2312"/>
          <w:szCs w:val="28"/>
        </w:rPr>
      </w:pPr>
      <w:r>
        <w:rPr>
          <w:rFonts w:hint="eastAsia" w:ascii="仿宋_GB2312"/>
          <w:b/>
          <w:bCs/>
          <w:szCs w:val="28"/>
        </w:rPr>
        <w:t>立项程序规范性</w:t>
      </w:r>
      <w:r>
        <w:rPr>
          <w:rFonts w:ascii="仿宋_GB2312"/>
          <w:b/>
          <w:bCs/>
          <w:szCs w:val="28"/>
        </w:rPr>
        <w:t>:</w:t>
      </w:r>
      <w:r>
        <w:rPr>
          <w:rFonts w:hint="eastAsia"/>
        </w:rPr>
        <w:t xml:space="preserve"> </w:t>
      </w:r>
      <w:r>
        <w:rPr>
          <w:rFonts w:hint="eastAsia" w:ascii="仿宋_GB2312"/>
          <w:szCs w:val="28"/>
          <w:highlight w:val="none"/>
        </w:rPr>
        <w:t>项目按照乌鲁木齐市政府要求，根据乌鲁木齐市发改委规定的程序申请设立，</w:t>
      </w:r>
      <w:r>
        <w:rPr>
          <w:rFonts w:hint="eastAsia" w:ascii="仿宋_GB2312"/>
          <w:szCs w:val="28"/>
        </w:rPr>
        <w:t>审批文件、材料符合相关要求，根据乌鲁木齐市委员会财经领导小组建议成立乌鲁木齐文化传媒投资有限公司负责投融资工作。如何设立：</w:t>
      </w:r>
    </w:p>
    <w:p w14:paraId="64436DD5">
      <w:pPr>
        <w:spacing w:line="360" w:lineRule="auto"/>
        <w:ind w:firstLine="562"/>
        <w:rPr>
          <w:rFonts w:hint="eastAsia" w:ascii="仿宋_GB2312"/>
          <w:szCs w:val="28"/>
        </w:rPr>
      </w:pPr>
      <w:r>
        <w:rPr>
          <w:rFonts w:hint="eastAsia" w:ascii="仿宋_GB2312"/>
          <w:szCs w:val="28"/>
        </w:rPr>
        <w:t>①2013年4月27日，乌发改函[2013]256号文件《关于对乌鲁木齐文化中心建设项目立项的批复》明确文化中心建设内容由六馆一塔组成，总建筑面积为240853平方米，项目资金来源以政府投资和社会融资结合的方式解决。</w:t>
      </w:r>
    </w:p>
    <w:p w14:paraId="6D6AD0A7">
      <w:pPr>
        <w:spacing w:line="360" w:lineRule="auto"/>
        <w:ind w:firstLine="562"/>
        <w:rPr>
          <w:rFonts w:hint="eastAsia" w:ascii="仿宋_GB2312"/>
          <w:szCs w:val="28"/>
        </w:rPr>
      </w:pPr>
      <w:r>
        <w:rPr>
          <w:rFonts w:hint="eastAsia" w:ascii="仿宋_GB2312"/>
          <w:szCs w:val="28"/>
        </w:rPr>
        <w:t>②2014年5月12日，乌鲁木齐市发改委在乌发改函[2014]172号《关于对乌鲁木齐市文化中心建设项目初步设计的批复》明确文化中心项目总建筑面积246248平方米，最大建筑高度为75米，项目总投资380908.86万元。</w:t>
      </w:r>
    </w:p>
    <w:p w14:paraId="0B09ABF5">
      <w:pPr>
        <w:spacing w:line="360" w:lineRule="auto"/>
        <w:ind w:firstLine="562"/>
        <w:rPr>
          <w:rFonts w:hint="eastAsia" w:ascii="仿宋_GB2312"/>
          <w:szCs w:val="28"/>
        </w:rPr>
      </w:pPr>
      <w:r>
        <w:rPr>
          <w:rFonts w:hint="eastAsia" w:ascii="仿宋_GB2312"/>
          <w:szCs w:val="28"/>
        </w:rPr>
        <w:t>③2017年7月，根据国家财政部相关通知精神，该项目调整为 PPP 项目，12月5日乌鲁木齐市发改委在《关于调整市文化中心项目初步设计批复业主单位的批复》中将市文化中心项目业主单位由文化传媒公司变更为市文化局（新闻出版、版权局）。</w:t>
      </w:r>
    </w:p>
    <w:p w14:paraId="75F63BD8">
      <w:pPr>
        <w:spacing w:line="360" w:lineRule="auto"/>
        <w:ind w:firstLine="562"/>
        <w:rPr>
          <w:rFonts w:hint="eastAsia" w:ascii="仿宋_GB2312"/>
          <w:szCs w:val="28"/>
        </w:rPr>
      </w:pPr>
      <w:r>
        <w:rPr>
          <w:rFonts w:hint="eastAsia" w:ascii="仿宋_GB2312"/>
          <w:szCs w:val="28"/>
        </w:rPr>
        <w:t>④2019年3月完成 PPP 项目入库；4月文化传媒公司与市文化和旅游局（市文物局）签订 PPP 项目合同，甲方为市文旅局</w:t>
      </w:r>
      <w:r>
        <w:rPr>
          <w:rFonts w:hint="eastAsia" w:ascii="仿宋_GB2312"/>
          <w:szCs w:val="28"/>
          <w:lang w:eastAsia="zh-CN"/>
        </w:rPr>
        <w:t>（原）</w:t>
      </w:r>
      <w:r>
        <w:rPr>
          <w:rFonts w:hint="eastAsia" w:ascii="仿宋_GB2312"/>
          <w:szCs w:val="28"/>
        </w:rPr>
        <w:t>，</w:t>
      </w:r>
      <w:r>
        <w:rPr>
          <w:rFonts w:hint="eastAsia" w:ascii="仿宋_GB2312"/>
          <w:szCs w:val="28"/>
          <w:lang w:eastAsia="zh-CN"/>
        </w:rPr>
        <w:t>现市文广旅局，</w:t>
      </w:r>
      <w:r>
        <w:rPr>
          <w:rFonts w:hint="eastAsia" w:ascii="仿宋_GB2312"/>
          <w:szCs w:val="28"/>
        </w:rPr>
        <w:t>乙方为文化传媒公司，项目运作方式为 BOO ，甲方负责各项审批、核准、备案手续，乙方负责承担项目的建设、投资、运营和维护职责。6月25日，乌发改函[2019]373号《关于变更市文化中心项目法人和调整项目建筑面积的函》中明确项目法人由原市文化局（市文物局）变更为文化传媒公司；在总投资不变的基础上，将市文化中心项目总面积由247980.14平方米增调至256521.42平方米。</w:t>
      </w:r>
    </w:p>
    <w:p w14:paraId="43958C10">
      <w:pPr>
        <w:spacing w:line="360" w:lineRule="auto"/>
        <w:ind w:firstLine="562"/>
        <w:rPr>
          <w:rFonts w:ascii="仿宋_GB2312"/>
          <w:szCs w:val="28"/>
        </w:rPr>
      </w:pPr>
      <w:r>
        <w:rPr>
          <w:rFonts w:hint="eastAsia" w:ascii="仿宋_GB2312"/>
          <w:szCs w:val="28"/>
        </w:rPr>
        <w:t>故立项程序规范，得4分。</w:t>
      </w:r>
    </w:p>
    <w:p w14:paraId="038281FF">
      <w:pPr>
        <w:autoSpaceDE w:val="0"/>
        <w:spacing w:line="600" w:lineRule="exact"/>
        <w:ind w:firstLine="562"/>
        <w:rPr>
          <w:rFonts w:ascii="仿宋_GB2312" w:hAnsi="仿宋" w:cs="宋体"/>
          <w:b/>
          <w:kern w:val="0"/>
          <w:szCs w:val="28"/>
        </w:rPr>
      </w:pPr>
      <w:r>
        <w:rPr>
          <w:rFonts w:hint="eastAsia" w:ascii="仿宋_GB2312" w:hAnsi="仿宋" w:cs="宋体"/>
          <w:b/>
          <w:kern w:val="0"/>
          <w:szCs w:val="28"/>
        </w:rPr>
        <w:t>综上，该指标满分</w:t>
      </w:r>
      <w:r>
        <w:rPr>
          <w:rFonts w:ascii="仿宋_GB2312" w:hAnsi="仿宋" w:cs="宋体"/>
          <w:b/>
          <w:kern w:val="0"/>
          <w:szCs w:val="28"/>
        </w:rPr>
        <w:t>8</w:t>
      </w:r>
      <w:r>
        <w:rPr>
          <w:rFonts w:hint="eastAsia" w:ascii="仿宋_GB2312" w:hAnsi="仿宋" w:cs="宋体"/>
          <w:b/>
          <w:kern w:val="0"/>
          <w:szCs w:val="28"/>
        </w:rPr>
        <w:t>分，得分8分。</w:t>
      </w:r>
    </w:p>
    <w:p w14:paraId="5D7E5664">
      <w:pPr>
        <w:pStyle w:val="5"/>
        <w:ind w:firstLine="643"/>
      </w:pPr>
      <w:bookmarkStart w:id="38" w:name="_Toc165277243"/>
      <w:r>
        <w:rPr>
          <w:rFonts w:hint="eastAsia"/>
        </w:rPr>
        <w:t>2</w:t>
      </w:r>
      <w:r>
        <w:t>.</w:t>
      </w:r>
      <w:r>
        <w:rPr>
          <w:rFonts w:hint="eastAsia"/>
        </w:rPr>
        <w:t>绩效目标</w:t>
      </w:r>
      <w:bookmarkEnd w:id="38"/>
    </w:p>
    <w:p w14:paraId="5D87B434">
      <w:pPr>
        <w:spacing w:line="360" w:lineRule="auto"/>
        <w:ind w:firstLine="562"/>
        <w:rPr>
          <w:rFonts w:ascii="仿宋_GB2312"/>
          <w:szCs w:val="28"/>
        </w:rPr>
      </w:pPr>
      <w:r>
        <w:rPr>
          <w:rFonts w:hint="eastAsia" w:ascii="仿宋_GB2312"/>
          <w:b/>
          <w:bCs/>
          <w:szCs w:val="28"/>
        </w:rPr>
        <w:t>绩效目标合理性：</w:t>
      </w:r>
      <w:r>
        <w:rPr>
          <w:rFonts w:hint="eastAsia" w:ascii="仿宋_GB2312"/>
          <w:szCs w:val="28"/>
        </w:rPr>
        <w:t>本项目的绩效目标按照产出、效益和满意度构建绩效评价指标，</w:t>
      </w:r>
      <w:r>
        <w:rPr>
          <w:rFonts w:hint="eastAsia" w:ascii="仿宋_GB2312"/>
          <w:szCs w:val="28"/>
          <w:lang w:eastAsia="zh-CN"/>
        </w:rPr>
        <w:t>根据项目实际工作内容，设置数量指标四条、质量指标两条。其中数量质量</w:t>
      </w:r>
      <w:r>
        <w:rPr>
          <w:rFonts w:hint="eastAsia" w:ascii="仿宋_GB2312"/>
          <w:szCs w:val="28"/>
        </w:rPr>
        <w:t>具有明确性、可衡量性、可实现性</w:t>
      </w:r>
      <w:r>
        <w:rPr>
          <w:rFonts w:hint="eastAsia" w:ascii="仿宋_GB2312"/>
          <w:szCs w:val="28"/>
          <w:lang w:eastAsia="zh-CN"/>
        </w:rPr>
        <w:t>，质量指标具有</w:t>
      </w:r>
      <w:r>
        <w:rPr>
          <w:rFonts w:hint="eastAsia" w:ascii="仿宋_GB2312"/>
          <w:szCs w:val="28"/>
        </w:rPr>
        <w:t>相关性和时限性等特点</w:t>
      </w:r>
      <w:r>
        <w:rPr>
          <w:rFonts w:hint="eastAsia" w:ascii="仿宋_GB2312"/>
          <w:szCs w:val="28"/>
          <w:lang w:eastAsia="zh-CN"/>
        </w:rPr>
        <w:t>。效益指标</w:t>
      </w:r>
      <w:r>
        <w:rPr>
          <w:rFonts w:hint="eastAsia" w:ascii="仿宋_GB2312"/>
          <w:szCs w:val="28"/>
          <w:lang w:val="en-US" w:eastAsia="zh-CN"/>
        </w:rPr>
        <w:t>-</w:t>
      </w:r>
      <w:r>
        <w:rPr>
          <w:rFonts w:hint="eastAsia" w:ascii="仿宋_GB2312"/>
          <w:szCs w:val="28"/>
        </w:rPr>
        <w:t>发展文化旅游产业</w:t>
      </w:r>
      <w:r>
        <w:rPr>
          <w:rFonts w:hint="eastAsia" w:ascii="仿宋_GB2312"/>
          <w:szCs w:val="28"/>
          <w:lang w:eastAsia="zh-CN"/>
        </w:rPr>
        <w:t>则</w:t>
      </w:r>
      <w:r>
        <w:rPr>
          <w:rFonts w:hint="eastAsia" w:ascii="仿宋_GB2312"/>
          <w:szCs w:val="28"/>
        </w:rPr>
        <w:t>能反映本项目的</w:t>
      </w:r>
      <w:r>
        <w:rPr>
          <w:rFonts w:hint="eastAsia" w:ascii="仿宋_GB2312"/>
          <w:szCs w:val="28"/>
          <w:lang w:eastAsia="zh-CN"/>
        </w:rPr>
        <w:t>社会</w:t>
      </w:r>
      <w:r>
        <w:rPr>
          <w:rFonts w:hint="eastAsia" w:ascii="仿宋_GB2312"/>
          <w:szCs w:val="28"/>
        </w:rPr>
        <w:t>效益，</w:t>
      </w:r>
      <w:r>
        <w:rPr>
          <w:rFonts w:hint="eastAsia" w:ascii="仿宋_GB2312"/>
          <w:szCs w:val="28"/>
          <w:lang w:eastAsia="zh-CN"/>
        </w:rPr>
        <w:t>满意度指标</w:t>
      </w:r>
      <w:r>
        <w:rPr>
          <w:rFonts w:hint="eastAsia" w:ascii="仿宋_GB2312"/>
          <w:szCs w:val="28"/>
          <w:lang w:val="en-US" w:eastAsia="zh-CN"/>
        </w:rPr>
        <w:t>-</w:t>
      </w:r>
      <w:r>
        <w:rPr>
          <w:rFonts w:hint="eastAsia" w:ascii="仿宋_GB2312"/>
          <w:szCs w:val="28"/>
          <w:lang w:eastAsia="zh-CN"/>
        </w:rPr>
        <w:t>社会公众满意度则可以体现该项目面向大众的特点。以上指标的设置充分体现了项目内容的特征，</w:t>
      </w:r>
      <w:r>
        <w:rPr>
          <w:rFonts w:hint="eastAsia" w:ascii="仿宋_GB2312"/>
          <w:szCs w:val="28"/>
        </w:rPr>
        <w:t>故绩效目标合理性指标得分</w:t>
      </w:r>
      <w:r>
        <w:rPr>
          <w:rFonts w:ascii="仿宋_GB2312"/>
          <w:szCs w:val="28"/>
        </w:rPr>
        <w:t>3</w:t>
      </w:r>
      <w:r>
        <w:rPr>
          <w:rFonts w:hint="eastAsia" w:ascii="仿宋_GB2312"/>
          <w:szCs w:val="28"/>
        </w:rPr>
        <w:t>分。</w:t>
      </w:r>
    </w:p>
    <w:p w14:paraId="20271598">
      <w:pPr>
        <w:autoSpaceDE w:val="0"/>
        <w:spacing w:line="600" w:lineRule="exact"/>
        <w:ind w:firstLine="562"/>
        <w:rPr>
          <w:rFonts w:hint="eastAsia" w:ascii="仿宋_GB2312"/>
          <w:szCs w:val="28"/>
        </w:rPr>
      </w:pPr>
      <w:r>
        <w:rPr>
          <w:rFonts w:hint="eastAsia" w:ascii="仿宋_GB2312" w:hAnsi="仿宋" w:cs="宋体"/>
          <w:b/>
          <w:kern w:val="0"/>
          <w:szCs w:val="28"/>
        </w:rPr>
        <w:t>绩效目标明确性：</w:t>
      </w:r>
      <w:r>
        <w:rPr>
          <w:rFonts w:hint="eastAsia" w:ascii="仿宋_GB2312" w:hAnsi="仿宋" w:cs="宋体"/>
          <w:kern w:val="0"/>
          <w:szCs w:val="28"/>
        </w:rPr>
        <w:t xml:space="preserve"> </w:t>
      </w:r>
      <w:r>
        <w:rPr>
          <w:rFonts w:hint="eastAsia" w:ascii="仿宋" w:hAnsi="仿宋" w:eastAsia="仿宋" w:cs="仿宋"/>
          <w:color w:val="000000" w:themeColor="text1"/>
          <w:szCs w:val="40"/>
          <w14:textFill>
            <w14:solidFill>
              <w14:schemeClr w14:val="tx1"/>
            </w14:solidFill>
          </w14:textFill>
        </w:rPr>
        <w:t>P</w:t>
      </w:r>
      <w:r>
        <w:rPr>
          <w:rFonts w:hint="eastAsia" w:ascii="仿宋_GB2312"/>
          <w:szCs w:val="28"/>
        </w:rPr>
        <w:t>PP项目总体绩效目标是项目在全生命周期内预期达到的产出和效果。本项目的建设是对新疆本土文化的保护、展示、传承与发展，将成为展示和宣传乌鲁木齐城市形象的重要窗口，为实现首府文化艺术跨越式发展提供有力保证，能够有效缓解乌鲁木齐市文化设施严重滞后的现状，在充分满足广大市民日益增长的精神文化需求的同时对于城市综合发展有着重要意义，也将进一步促进社会稳定和谐发展。其中，目标已细化为具体的绩效指标，可通过数量指标、质量指标、时效指标和成本指标予以量化，并具有确切的评价标准，且指标设定均与目标相关。各项指标均能在现实条件下收集到相关数据进行佐证，并与当年项目年度计划相对应，故绩效目标明确性指标得分3分。</w:t>
      </w:r>
    </w:p>
    <w:p w14:paraId="1DE7EE5C">
      <w:pPr>
        <w:autoSpaceDE w:val="0"/>
        <w:spacing w:line="600" w:lineRule="exact"/>
        <w:ind w:firstLine="562"/>
        <w:rPr>
          <w:rFonts w:ascii="仿宋_GB2312" w:hAnsi="仿宋" w:cs="宋体"/>
          <w:b/>
          <w:kern w:val="0"/>
          <w:szCs w:val="28"/>
        </w:rPr>
      </w:pPr>
      <w:r>
        <w:rPr>
          <w:rFonts w:hint="eastAsia" w:ascii="仿宋_GB2312" w:hAnsi="仿宋" w:cs="宋体"/>
          <w:b/>
          <w:kern w:val="0"/>
          <w:szCs w:val="28"/>
        </w:rPr>
        <w:t>综上，该指标满分</w:t>
      </w:r>
      <w:r>
        <w:rPr>
          <w:rFonts w:ascii="仿宋_GB2312" w:hAnsi="仿宋" w:cs="宋体"/>
          <w:b/>
          <w:kern w:val="0"/>
          <w:szCs w:val="28"/>
        </w:rPr>
        <w:t>6</w:t>
      </w:r>
      <w:r>
        <w:rPr>
          <w:rFonts w:hint="eastAsia" w:ascii="仿宋_GB2312" w:hAnsi="仿宋" w:cs="宋体"/>
          <w:b/>
          <w:kern w:val="0"/>
          <w:szCs w:val="28"/>
        </w:rPr>
        <w:t>分，得分6分。</w:t>
      </w:r>
    </w:p>
    <w:p w14:paraId="5A5171E9">
      <w:pPr>
        <w:pStyle w:val="5"/>
        <w:ind w:firstLine="643"/>
      </w:pPr>
      <w:bookmarkStart w:id="39" w:name="_Toc165277244"/>
      <w:r>
        <w:rPr>
          <w:rFonts w:hint="eastAsia"/>
        </w:rPr>
        <w:t>3.资金投入</w:t>
      </w:r>
      <w:bookmarkEnd w:id="39"/>
    </w:p>
    <w:p w14:paraId="54253973">
      <w:pPr>
        <w:autoSpaceDE w:val="0"/>
        <w:spacing w:line="600" w:lineRule="exact"/>
        <w:ind w:firstLine="562"/>
        <w:rPr>
          <w:rFonts w:ascii="仿宋_GB2312" w:hAnsi="仿宋" w:cs="宋体"/>
          <w:bCs/>
          <w:kern w:val="0"/>
          <w:szCs w:val="28"/>
        </w:rPr>
      </w:pPr>
      <w:r>
        <w:rPr>
          <w:rFonts w:hint="eastAsia" w:ascii="仿宋_GB2312" w:hAnsi="仿宋" w:cs="宋体"/>
          <w:b/>
          <w:kern w:val="0"/>
          <w:szCs w:val="28"/>
        </w:rPr>
        <w:t>预算编制科学性：</w:t>
      </w:r>
      <w:r>
        <w:rPr>
          <w:rFonts w:hint="eastAsia" w:ascii="仿宋_GB2312" w:hAnsi="仿宋" w:cs="宋体"/>
          <w:b w:val="0"/>
          <w:bCs/>
          <w:kern w:val="0"/>
          <w:szCs w:val="28"/>
          <w:lang w:eastAsia="zh-CN"/>
        </w:rPr>
        <w:t>该项目依托第三方专业机构每年度进行绩效考核，我单位</w:t>
      </w:r>
      <w:r>
        <w:rPr>
          <w:rFonts w:hint="eastAsia" w:ascii="仿宋_GB2312" w:hAnsi="仿宋" w:cs="宋体"/>
          <w:kern w:val="0"/>
          <w:szCs w:val="28"/>
        </w:rPr>
        <w:t>依据PPP项目绩效考核结果，向财政申请补助资金，</w:t>
      </w:r>
      <w:r>
        <w:rPr>
          <w:rFonts w:hint="eastAsia" w:ascii="仿宋_GB2312" w:hAnsi="仿宋" w:cs="宋体"/>
          <w:kern w:val="0"/>
          <w:szCs w:val="28"/>
          <w:lang w:eastAsia="zh-CN"/>
        </w:rPr>
        <w:t>市</w:t>
      </w:r>
      <w:r>
        <w:rPr>
          <w:rFonts w:hint="eastAsia" w:ascii="仿宋_GB2312" w:hAnsi="仿宋" w:cs="宋体"/>
          <w:kern w:val="0"/>
          <w:szCs w:val="28"/>
        </w:rPr>
        <w:t>财政局依据考核结果的等次</w:t>
      </w:r>
      <w:r>
        <w:rPr>
          <w:rFonts w:hint="eastAsia" w:ascii="仿宋_GB2312" w:hAnsi="仿宋" w:cs="宋体"/>
          <w:kern w:val="0"/>
          <w:szCs w:val="28"/>
          <w:lang w:eastAsia="zh-CN"/>
        </w:rPr>
        <w:t>以及最终审定金额，向单位</w:t>
      </w:r>
      <w:r>
        <w:rPr>
          <w:rFonts w:hint="eastAsia" w:ascii="仿宋_GB2312" w:hAnsi="仿宋" w:cs="宋体"/>
          <w:kern w:val="0"/>
          <w:szCs w:val="28"/>
        </w:rPr>
        <w:t>拨付</w:t>
      </w:r>
      <w:r>
        <w:rPr>
          <w:rFonts w:hint="eastAsia" w:ascii="仿宋_GB2312" w:hAnsi="仿宋" w:cs="宋体"/>
          <w:kern w:val="0"/>
          <w:szCs w:val="28"/>
          <w:lang w:eastAsia="zh-CN"/>
        </w:rPr>
        <w:t>上年度可行性缺口</w:t>
      </w:r>
      <w:r>
        <w:rPr>
          <w:rFonts w:hint="eastAsia" w:ascii="仿宋_GB2312" w:hAnsi="仿宋" w:cs="宋体"/>
          <w:kern w:val="0"/>
          <w:szCs w:val="28"/>
        </w:rPr>
        <w:t>补助资金。</w:t>
      </w:r>
      <w:r>
        <w:rPr>
          <w:rFonts w:hint="eastAsia" w:ascii="仿宋_GB2312" w:hAnsi="仿宋" w:cs="宋体"/>
          <w:kern w:val="0"/>
          <w:szCs w:val="28"/>
          <w:lang w:eastAsia="zh-CN"/>
        </w:rPr>
        <w:t>该资金的预算编制是经过多方认定且可靠的，</w:t>
      </w:r>
      <w:r>
        <w:rPr>
          <w:rFonts w:hint="eastAsia" w:ascii="仿宋_GB2312" w:hAnsi="仿宋" w:cs="宋体"/>
          <w:kern w:val="0"/>
          <w:szCs w:val="28"/>
        </w:rPr>
        <w:t>故预算编制科学性指标得分</w:t>
      </w:r>
      <w:r>
        <w:rPr>
          <w:rFonts w:ascii="仿宋_GB2312" w:hAnsi="仿宋" w:cs="宋体"/>
          <w:kern w:val="0"/>
          <w:szCs w:val="28"/>
        </w:rPr>
        <w:t>3</w:t>
      </w:r>
      <w:r>
        <w:rPr>
          <w:rFonts w:hint="eastAsia" w:ascii="仿宋_GB2312" w:hAnsi="仿宋" w:cs="宋体"/>
          <w:kern w:val="0"/>
          <w:szCs w:val="28"/>
        </w:rPr>
        <w:t>分。</w:t>
      </w:r>
    </w:p>
    <w:p w14:paraId="53B0AD74">
      <w:pPr>
        <w:spacing w:line="360" w:lineRule="auto"/>
        <w:ind w:firstLine="562"/>
        <w:rPr>
          <w:rFonts w:hint="eastAsia" w:ascii="仿宋_GB2312" w:hAnsi="仿宋" w:cs="宋体"/>
          <w:b w:val="0"/>
          <w:bCs/>
          <w:kern w:val="0"/>
          <w:szCs w:val="28"/>
          <w:lang w:eastAsia="zh-CN"/>
        </w:rPr>
      </w:pPr>
      <w:r>
        <w:rPr>
          <w:rFonts w:hint="eastAsia"/>
          <w:b/>
          <w:bCs/>
        </w:rPr>
        <w:t>资金分配合理性</w:t>
      </w:r>
      <w:r>
        <w:rPr>
          <w:rFonts w:hint="eastAsia"/>
        </w:rPr>
        <w:t>：</w:t>
      </w:r>
      <w:r>
        <w:t xml:space="preserve"> </w:t>
      </w:r>
      <w:r>
        <w:rPr>
          <w:rFonts w:hint="eastAsia" w:ascii="仿宋_GB2312" w:hAnsi="仿宋" w:cs="宋体"/>
          <w:kern w:val="0"/>
          <w:szCs w:val="28"/>
        </w:rPr>
        <w:t>预算资金全部用于</w:t>
      </w:r>
      <w:r>
        <w:rPr>
          <w:rFonts w:hint="eastAsia" w:ascii="仿宋_GB2312" w:hAnsi="仿宋" w:cs="宋体"/>
          <w:kern w:val="0"/>
          <w:szCs w:val="28"/>
          <w:lang w:eastAsia="zh-CN"/>
        </w:rPr>
        <w:t>乌鲁木齐市文化中心</w:t>
      </w:r>
      <w:r>
        <w:rPr>
          <w:rFonts w:hint="eastAsia" w:ascii="仿宋_GB2312" w:hAnsi="仿宋" w:cs="宋体"/>
          <w:kern w:val="0"/>
          <w:szCs w:val="28"/>
        </w:rPr>
        <w:t>PPP项目的</w:t>
      </w:r>
      <w:r>
        <w:rPr>
          <w:rFonts w:hint="eastAsia" w:ascii="仿宋_GB2312" w:hAnsi="仿宋" w:cs="宋体"/>
          <w:kern w:val="0"/>
          <w:szCs w:val="28"/>
          <w:lang w:eastAsia="zh-CN"/>
        </w:rPr>
        <w:t>历年可行性缺口</w:t>
      </w:r>
      <w:r>
        <w:rPr>
          <w:rFonts w:hint="eastAsia" w:ascii="仿宋_GB2312" w:hAnsi="仿宋" w:cs="宋体"/>
          <w:kern w:val="0"/>
          <w:szCs w:val="28"/>
        </w:rPr>
        <w:t>补助资金</w:t>
      </w:r>
      <w:r>
        <w:rPr>
          <w:rFonts w:hint="eastAsia" w:ascii="仿宋_GB2312" w:hAnsi="仿宋" w:cs="宋体"/>
          <w:kern w:val="0"/>
          <w:szCs w:val="28"/>
          <w:lang w:eastAsia="zh-CN"/>
        </w:rPr>
        <w:t>，乌鲁木齐市文化中心将补助</w:t>
      </w:r>
      <w:r>
        <w:rPr>
          <w:rFonts w:hint="eastAsia" w:ascii="仿宋_GB2312" w:hAnsi="仿宋" w:cs="宋体"/>
          <w:b w:val="0"/>
          <w:bCs/>
          <w:kern w:val="0"/>
          <w:szCs w:val="28"/>
          <w:lang w:eastAsia="zh-CN"/>
        </w:rPr>
        <w:t>用于运营成本，包括保障性运营成本（水电暖气费、物业费、安保费用）、场馆运营成本（多媒体设备维修费、剧目引进费、书城运营、影城运营）及人工成本。故资金分配合理性指标得分3分。</w:t>
      </w:r>
    </w:p>
    <w:p w14:paraId="2D48D852">
      <w:pPr>
        <w:autoSpaceDE w:val="0"/>
        <w:spacing w:line="600" w:lineRule="exact"/>
        <w:ind w:firstLine="562"/>
        <w:rPr>
          <w:rFonts w:ascii="仿宋_GB2312" w:hAnsi="仿宋" w:cs="宋体"/>
          <w:b/>
          <w:kern w:val="0"/>
          <w:szCs w:val="28"/>
        </w:rPr>
      </w:pPr>
      <w:r>
        <w:rPr>
          <w:rFonts w:hint="eastAsia" w:ascii="仿宋_GB2312" w:hAnsi="仿宋" w:cs="宋体"/>
          <w:b/>
          <w:kern w:val="0"/>
          <w:szCs w:val="28"/>
        </w:rPr>
        <w:t>综上，该指标满分</w:t>
      </w:r>
      <w:r>
        <w:rPr>
          <w:rFonts w:ascii="仿宋_GB2312" w:hAnsi="仿宋" w:cs="宋体"/>
          <w:b/>
          <w:kern w:val="0"/>
          <w:szCs w:val="28"/>
        </w:rPr>
        <w:t>6</w:t>
      </w:r>
      <w:r>
        <w:rPr>
          <w:rFonts w:hint="eastAsia" w:ascii="仿宋_GB2312" w:hAnsi="仿宋" w:cs="宋体"/>
          <w:b/>
          <w:kern w:val="0"/>
          <w:szCs w:val="28"/>
        </w:rPr>
        <w:t>分，得分6分。</w:t>
      </w:r>
    </w:p>
    <w:p w14:paraId="66FB46E2">
      <w:pPr>
        <w:pStyle w:val="4"/>
        <w:ind w:firstLine="643"/>
        <w:rPr>
          <w:rFonts w:ascii="仿宋" w:hAnsi="仿宋" w:eastAsia="仿宋"/>
          <w:lang w:bidi="en-US"/>
        </w:rPr>
      </w:pPr>
      <w:bookmarkStart w:id="40" w:name="_Toc67911613"/>
      <w:bookmarkStart w:id="41" w:name="_Toc165277245"/>
      <w:r>
        <w:rPr>
          <w:rFonts w:hint="eastAsia" w:ascii="仿宋" w:hAnsi="仿宋" w:eastAsia="仿宋"/>
          <w:lang w:bidi="en-US"/>
        </w:rPr>
        <w:t>（二）项目过程情况</w:t>
      </w:r>
      <w:bookmarkEnd w:id="40"/>
      <w:bookmarkEnd w:id="41"/>
    </w:p>
    <w:p w14:paraId="7F2DF676">
      <w:pPr>
        <w:spacing w:line="360" w:lineRule="auto"/>
        <w:ind w:firstLine="560"/>
        <w:rPr>
          <w:rFonts w:ascii="仿宋_GB2312"/>
          <w:szCs w:val="28"/>
        </w:rPr>
      </w:pPr>
      <w:r>
        <w:rPr>
          <w:rFonts w:hint="eastAsia" w:ascii="仿宋_GB2312"/>
          <w:szCs w:val="28"/>
        </w:rPr>
        <w:t>项目过程指标由2个二级指标和</w:t>
      </w:r>
      <w:r>
        <w:rPr>
          <w:rFonts w:ascii="仿宋_GB2312"/>
          <w:szCs w:val="28"/>
        </w:rPr>
        <w:t>5</w:t>
      </w:r>
      <w:r>
        <w:rPr>
          <w:rFonts w:hint="eastAsia" w:ascii="仿宋_GB2312"/>
          <w:szCs w:val="28"/>
        </w:rPr>
        <w:t>个三级指标构成，权重为</w:t>
      </w:r>
      <w:r>
        <w:rPr>
          <w:rFonts w:ascii="仿宋_GB2312"/>
          <w:szCs w:val="28"/>
        </w:rPr>
        <w:t>20</w:t>
      </w:r>
      <w:r>
        <w:rPr>
          <w:rFonts w:hint="eastAsia" w:ascii="仿宋_GB2312"/>
          <w:szCs w:val="28"/>
        </w:rPr>
        <w:t>分，实际得分20分。</w:t>
      </w:r>
    </w:p>
    <w:p w14:paraId="6885F009">
      <w:pPr>
        <w:pStyle w:val="5"/>
        <w:ind w:firstLine="643"/>
      </w:pPr>
      <w:bookmarkStart w:id="42" w:name="_Toc165277246"/>
      <w:r>
        <w:t>1.</w:t>
      </w:r>
      <w:r>
        <w:rPr>
          <w:rFonts w:hint="eastAsia"/>
        </w:rPr>
        <w:t>资金管理</w:t>
      </w:r>
      <w:bookmarkEnd w:id="42"/>
    </w:p>
    <w:p w14:paraId="26F51644">
      <w:pPr>
        <w:spacing w:line="360" w:lineRule="auto"/>
        <w:ind w:firstLine="562"/>
        <w:rPr>
          <w:rFonts w:ascii="仿宋_GB2312"/>
          <w:b w:val="0"/>
          <w:bCs w:val="0"/>
          <w:szCs w:val="28"/>
        </w:rPr>
      </w:pPr>
      <w:r>
        <w:rPr>
          <w:rFonts w:hint="eastAsia" w:ascii="仿宋_GB2312"/>
          <w:b/>
          <w:bCs/>
          <w:szCs w:val="28"/>
        </w:rPr>
        <w:t>资金到位率</w:t>
      </w:r>
      <w:r>
        <w:rPr>
          <w:rFonts w:hint="eastAsia" w:ascii="仿宋_GB2312"/>
          <w:b w:val="0"/>
          <w:bCs w:val="0"/>
          <w:szCs w:val="28"/>
        </w:rPr>
        <w:t>：</w:t>
      </w:r>
      <w:r>
        <w:rPr>
          <w:rFonts w:hint="eastAsia" w:ascii="仿宋_GB2312" w:hAnsi="仿宋" w:cs="宋体"/>
          <w:b w:val="0"/>
          <w:bCs w:val="0"/>
          <w:kern w:val="0"/>
          <w:szCs w:val="28"/>
        </w:rPr>
        <w:t>年初预算资金5600万，分两次支付，2024年6月支付文化中心补助5000万，2024年10月支付文化中心补助600万。故资金到位率指标得分5分。</w:t>
      </w:r>
    </w:p>
    <w:p w14:paraId="7293437D">
      <w:pPr>
        <w:spacing w:line="360" w:lineRule="auto"/>
        <w:ind w:firstLine="560"/>
        <w:rPr>
          <w:rFonts w:ascii="仿宋_GB2312"/>
          <w:b w:val="0"/>
          <w:bCs w:val="0"/>
          <w:szCs w:val="28"/>
        </w:rPr>
      </w:pPr>
    </w:p>
    <w:p w14:paraId="46EEB3A9">
      <w:pPr>
        <w:spacing w:line="360" w:lineRule="auto"/>
        <w:ind w:firstLine="562"/>
        <w:rPr>
          <w:rFonts w:ascii="仿宋_GB2312"/>
          <w:szCs w:val="28"/>
        </w:rPr>
      </w:pPr>
      <w:r>
        <w:rPr>
          <w:rFonts w:hint="eastAsia" w:ascii="仿宋_GB2312"/>
          <w:b/>
          <w:bCs/>
          <w:szCs w:val="28"/>
        </w:rPr>
        <w:t>预算执行率</w:t>
      </w:r>
      <w:r>
        <w:rPr>
          <w:rFonts w:hint="eastAsia" w:ascii="仿宋_GB2312"/>
          <w:b w:val="0"/>
          <w:bCs w:val="0"/>
          <w:szCs w:val="28"/>
        </w:rPr>
        <w:t>：全年预算数5600万元，2024年6月12日拨付乌</w:t>
      </w:r>
      <w:r>
        <w:rPr>
          <w:rFonts w:hint="eastAsia" w:ascii="仿宋_GB2312"/>
          <w:szCs w:val="28"/>
        </w:rPr>
        <w:t>鲁木齐文化传媒投资有限公司第一笔补助资金5000万元，2024年10月29日拨付乌鲁木齐文化传媒投资有限公司第二笔补助资金600万元,。全年完成资金执行5600万元，故预算执行率为100%。故预算执行率得分为5分。</w:t>
      </w:r>
    </w:p>
    <w:p w14:paraId="4330D5DC">
      <w:pPr>
        <w:spacing w:line="360" w:lineRule="auto"/>
        <w:ind w:firstLine="562"/>
        <w:rPr>
          <w:rFonts w:ascii="仿宋_GB2312"/>
          <w:b/>
          <w:bCs/>
          <w:szCs w:val="28"/>
        </w:rPr>
      </w:pPr>
    </w:p>
    <w:p w14:paraId="57DA1E17">
      <w:pPr>
        <w:spacing w:line="360" w:lineRule="auto"/>
        <w:ind w:firstLine="562"/>
        <w:rPr>
          <w:rFonts w:ascii="仿宋_GB2312"/>
          <w:szCs w:val="28"/>
        </w:rPr>
      </w:pPr>
      <w:r>
        <w:rPr>
          <w:rFonts w:hint="eastAsia" w:ascii="仿宋_GB2312"/>
          <w:b/>
          <w:bCs/>
          <w:szCs w:val="28"/>
        </w:rPr>
        <w:t>资金使用合规性：</w:t>
      </w:r>
      <w:r>
        <w:rPr>
          <w:rFonts w:hint="eastAsia" w:ascii="仿宋_GB2312"/>
          <w:szCs w:val="28"/>
        </w:rPr>
        <w:t>本项目资金的使用符合国家财经法规和财务管理制度以及有关专项资金管理办法的规定。同时，资金的拨付有完整的审批程序和手续，符合项目预算批复或合同规定的用途，不存在截留、挤占、挪用、虚列支出等情况。</w:t>
      </w:r>
      <w:r>
        <w:rPr>
          <w:rFonts w:hint="eastAsia" w:ascii="仿宋_GB2312"/>
          <w:szCs w:val="28"/>
          <w:highlight w:val="none"/>
          <w:lang w:eastAsia="zh-CN"/>
        </w:rPr>
        <w:t>根据“三重一大”要求以及单位内控制度规定，每笔资金拨付均召开党组会议研究审议，通过会议后拨付资金</w:t>
      </w:r>
      <w:r>
        <w:rPr>
          <w:rFonts w:hint="eastAsia" w:ascii="仿宋_GB2312"/>
          <w:szCs w:val="28"/>
          <w:lang w:eastAsia="zh-CN"/>
        </w:rPr>
        <w:t>。</w:t>
      </w:r>
      <w:r>
        <w:rPr>
          <w:rFonts w:hint="eastAsia" w:ascii="仿宋_GB2312"/>
          <w:szCs w:val="28"/>
        </w:rPr>
        <w:t>故资金使用合规性得分为3分。</w:t>
      </w:r>
    </w:p>
    <w:p w14:paraId="684401B5">
      <w:pPr>
        <w:autoSpaceDE w:val="0"/>
        <w:spacing w:line="600" w:lineRule="exact"/>
        <w:ind w:firstLine="562"/>
        <w:rPr>
          <w:rFonts w:ascii="仿宋_GB2312" w:hAnsi="仿宋" w:cs="宋体"/>
          <w:b/>
          <w:kern w:val="0"/>
          <w:szCs w:val="28"/>
        </w:rPr>
      </w:pPr>
      <w:r>
        <w:rPr>
          <w:rFonts w:hint="eastAsia" w:ascii="仿宋_GB2312" w:hAnsi="仿宋" w:cs="宋体"/>
          <w:b/>
          <w:kern w:val="0"/>
          <w:szCs w:val="28"/>
        </w:rPr>
        <w:t>综上，该指标满分</w:t>
      </w:r>
      <w:r>
        <w:rPr>
          <w:rFonts w:ascii="仿宋_GB2312" w:hAnsi="仿宋" w:cs="宋体"/>
          <w:b/>
          <w:kern w:val="0"/>
          <w:szCs w:val="28"/>
        </w:rPr>
        <w:t>13</w:t>
      </w:r>
      <w:r>
        <w:rPr>
          <w:rFonts w:hint="eastAsia" w:ascii="仿宋_GB2312" w:hAnsi="仿宋" w:cs="宋体"/>
          <w:b/>
          <w:kern w:val="0"/>
          <w:szCs w:val="28"/>
        </w:rPr>
        <w:t>分，得分13分。</w:t>
      </w:r>
    </w:p>
    <w:p w14:paraId="53B803E6">
      <w:pPr>
        <w:pStyle w:val="5"/>
        <w:ind w:firstLine="643"/>
      </w:pPr>
      <w:bookmarkStart w:id="43" w:name="_Toc165277247"/>
      <w:r>
        <w:t>2.</w:t>
      </w:r>
      <w:r>
        <w:rPr>
          <w:rFonts w:hint="eastAsia"/>
        </w:rPr>
        <w:t>组织实施</w:t>
      </w:r>
      <w:bookmarkEnd w:id="43"/>
    </w:p>
    <w:p w14:paraId="6FA6732B">
      <w:pPr>
        <w:spacing w:line="360" w:lineRule="auto"/>
        <w:ind w:firstLine="562"/>
        <w:rPr>
          <w:rFonts w:ascii="仿宋_GB2312"/>
          <w:szCs w:val="28"/>
        </w:rPr>
      </w:pPr>
      <w:r>
        <w:rPr>
          <w:rFonts w:hint="eastAsia" w:ascii="仿宋_GB2312"/>
          <w:b/>
          <w:bCs/>
          <w:szCs w:val="28"/>
        </w:rPr>
        <w:t>管理制度健全性</w:t>
      </w:r>
      <w:r>
        <w:rPr>
          <w:rFonts w:hint="eastAsia" w:ascii="仿宋_GB2312"/>
          <w:szCs w:val="28"/>
        </w:rPr>
        <w:t>：乌鲁木齐市文化广播电视和旅游局（市文物局）已制定相应的财务和业务管理制度，</w:t>
      </w:r>
      <w:r>
        <w:rPr>
          <w:rFonts w:hint="eastAsia" w:ascii="仿宋_GB2312"/>
          <w:szCs w:val="28"/>
          <w:lang w:eastAsia="zh-CN"/>
        </w:rPr>
        <w:t>财务制度包括《内控制度》、《资金管理制度》、《绩效管理制度》，业务管理制度包括《项目采购流程制度》，</w:t>
      </w:r>
      <w:r>
        <w:rPr>
          <w:rFonts w:hint="eastAsia" w:ascii="仿宋_GB2312"/>
          <w:szCs w:val="28"/>
        </w:rPr>
        <w:t>且制度合法、合规、完整，为项目顺利实施提供重要保障。故管理制度健全性得分为3分。</w:t>
      </w:r>
    </w:p>
    <w:p w14:paraId="157E39CA">
      <w:pPr>
        <w:spacing w:line="360" w:lineRule="auto"/>
        <w:ind w:firstLine="562"/>
        <w:rPr>
          <w:rFonts w:ascii="Times New Roman" w:hAnsi="Times New Roman" w:eastAsia="方正仿宋_GBK" w:cs="Times New Roman"/>
          <w:sz w:val="32"/>
          <w:szCs w:val="32"/>
        </w:rPr>
      </w:pPr>
      <w:r>
        <w:rPr>
          <w:rFonts w:hint="eastAsia" w:ascii="仿宋_GB2312"/>
          <w:b/>
          <w:bCs/>
          <w:szCs w:val="28"/>
        </w:rPr>
        <w:t>制度执行有效性：</w:t>
      </w:r>
      <w:r>
        <w:rPr>
          <w:rFonts w:hint="eastAsia" w:ascii="仿宋_GB2312"/>
          <w:szCs w:val="28"/>
        </w:rPr>
        <w:t>根据现场调研和资料抽查情况，严格遵守相关法律法规和相关管理规定，项目调整及支出调整手续完备，整体管理合理有序，项目完成后，及时将会计凭证相关资料分类归档，制度执行有效。故制度执行有效性指标得分</w:t>
      </w:r>
      <w:r>
        <w:rPr>
          <w:rFonts w:ascii="仿宋_GB2312"/>
          <w:szCs w:val="28"/>
        </w:rPr>
        <w:t>4</w:t>
      </w:r>
      <w:r>
        <w:rPr>
          <w:rFonts w:hint="eastAsia" w:ascii="仿宋_GB2312"/>
          <w:szCs w:val="28"/>
        </w:rPr>
        <w:t>分。</w:t>
      </w:r>
    </w:p>
    <w:p w14:paraId="7D34A8D9">
      <w:pPr>
        <w:spacing w:line="360" w:lineRule="auto"/>
        <w:ind w:firstLine="560"/>
        <w:rPr>
          <w:rFonts w:ascii="仿宋_GB2312"/>
          <w:szCs w:val="28"/>
        </w:rPr>
      </w:pPr>
    </w:p>
    <w:p w14:paraId="3BFE7595">
      <w:pPr>
        <w:autoSpaceDE w:val="0"/>
        <w:spacing w:line="600" w:lineRule="exact"/>
        <w:ind w:firstLine="562"/>
        <w:rPr>
          <w:rFonts w:ascii="仿宋_GB2312" w:hAnsi="仿宋" w:cs="宋体"/>
          <w:b/>
          <w:kern w:val="0"/>
          <w:szCs w:val="28"/>
        </w:rPr>
      </w:pPr>
      <w:bookmarkStart w:id="44" w:name="_Hlk67670213"/>
      <w:r>
        <w:rPr>
          <w:rFonts w:hint="eastAsia" w:ascii="仿宋_GB2312" w:hAnsi="仿宋" w:cs="宋体"/>
          <w:b/>
          <w:kern w:val="0"/>
          <w:szCs w:val="28"/>
        </w:rPr>
        <w:t>综上，该指标满分</w:t>
      </w:r>
      <w:r>
        <w:rPr>
          <w:rFonts w:ascii="仿宋_GB2312" w:hAnsi="仿宋" w:cs="宋体"/>
          <w:b/>
          <w:kern w:val="0"/>
          <w:szCs w:val="28"/>
        </w:rPr>
        <w:t>7</w:t>
      </w:r>
      <w:r>
        <w:rPr>
          <w:rFonts w:hint="eastAsia" w:ascii="仿宋_GB2312" w:hAnsi="仿宋" w:cs="宋体"/>
          <w:b/>
          <w:kern w:val="0"/>
          <w:szCs w:val="28"/>
        </w:rPr>
        <w:t>分，得分</w:t>
      </w:r>
      <w:r>
        <w:rPr>
          <w:rFonts w:ascii="仿宋_GB2312" w:hAnsi="仿宋" w:cs="宋体"/>
          <w:b/>
          <w:kern w:val="0"/>
          <w:szCs w:val="28"/>
        </w:rPr>
        <w:t>7</w:t>
      </w:r>
      <w:r>
        <w:rPr>
          <w:rFonts w:hint="eastAsia" w:ascii="仿宋_GB2312" w:hAnsi="仿宋" w:cs="宋体"/>
          <w:b/>
          <w:kern w:val="0"/>
          <w:szCs w:val="28"/>
        </w:rPr>
        <w:t>分。</w:t>
      </w:r>
      <w:bookmarkEnd w:id="44"/>
    </w:p>
    <w:p w14:paraId="54CC2C70">
      <w:pPr>
        <w:pStyle w:val="4"/>
        <w:ind w:firstLine="643"/>
        <w:rPr>
          <w:rFonts w:ascii="仿宋" w:hAnsi="仿宋" w:eastAsia="仿宋"/>
          <w:lang w:bidi="en-US"/>
        </w:rPr>
      </w:pPr>
      <w:bookmarkStart w:id="45" w:name="_Toc165277248"/>
      <w:bookmarkStart w:id="46" w:name="_Toc67911614"/>
      <w:r>
        <w:rPr>
          <w:rFonts w:hint="eastAsia" w:ascii="仿宋" w:hAnsi="仿宋" w:eastAsia="仿宋"/>
          <w:lang w:bidi="en-US"/>
        </w:rPr>
        <w:t>（三）项目产出情况</w:t>
      </w:r>
      <w:bookmarkEnd w:id="45"/>
      <w:bookmarkEnd w:id="46"/>
    </w:p>
    <w:p w14:paraId="05F94189">
      <w:pPr>
        <w:spacing w:line="360" w:lineRule="auto"/>
        <w:ind w:firstLine="560"/>
        <w:rPr>
          <w:rFonts w:ascii="仿宋_GB2312"/>
          <w:szCs w:val="28"/>
        </w:rPr>
      </w:pPr>
      <w:r>
        <w:rPr>
          <w:rFonts w:hint="eastAsia" w:ascii="仿宋_GB2312"/>
          <w:szCs w:val="28"/>
        </w:rPr>
        <w:t>项目产出指标由4个二级指标和8个三级指标构成，权重为</w:t>
      </w:r>
      <w:r>
        <w:rPr>
          <w:rFonts w:ascii="仿宋_GB2312"/>
          <w:szCs w:val="28"/>
        </w:rPr>
        <w:t>4</w:t>
      </w:r>
      <w:r>
        <w:rPr>
          <w:rFonts w:hint="eastAsia" w:ascii="仿宋_GB2312"/>
          <w:szCs w:val="28"/>
        </w:rPr>
        <w:t>5分，实际得分45分。</w:t>
      </w:r>
    </w:p>
    <w:p w14:paraId="69559327">
      <w:pPr>
        <w:pStyle w:val="5"/>
        <w:ind w:firstLine="643"/>
      </w:pPr>
      <w:bookmarkStart w:id="47" w:name="_Toc165277249"/>
      <w:r>
        <w:rPr>
          <w:rFonts w:hint="eastAsia"/>
        </w:rPr>
        <w:t>1</w:t>
      </w:r>
      <w:r>
        <w:t>.</w:t>
      </w:r>
      <w:r>
        <w:rPr>
          <w:rFonts w:hint="eastAsia"/>
        </w:rPr>
        <w:t>产出数量</w:t>
      </w:r>
      <w:bookmarkEnd w:id="47"/>
    </w:p>
    <w:p w14:paraId="7EED26AC">
      <w:pPr>
        <w:spacing w:line="360" w:lineRule="auto"/>
        <w:ind w:firstLine="560"/>
        <w:rPr>
          <w:rFonts w:ascii="仿宋_GB2312"/>
          <w:szCs w:val="28"/>
        </w:rPr>
      </w:pPr>
      <w:r>
        <w:rPr>
          <w:rFonts w:hint="eastAsia" w:ascii="仿宋_GB2312"/>
          <w:bCs/>
          <w:szCs w:val="28"/>
        </w:rPr>
        <w:t>数量指标 “演出总场次”的目标值是150场，2024</w:t>
      </w:r>
      <w:r>
        <w:rPr>
          <w:rFonts w:ascii="仿宋_GB2312"/>
          <w:bCs/>
          <w:szCs w:val="28"/>
        </w:rPr>
        <w:t>年度我单位实际完成</w:t>
      </w:r>
      <w:r>
        <w:rPr>
          <w:rFonts w:hint="eastAsia" w:ascii="仿宋_GB2312"/>
          <w:bCs/>
          <w:szCs w:val="28"/>
        </w:rPr>
        <w:t>176场，原因是本年自治区文旅厅举办民间艺术季活动，在文化中心举办多场演出，演出场次超预期，</w:t>
      </w:r>
      <w:r>
        <w:rPr>
          <w:rFonts w:hint="eastAsia" w:ascii="仿宋_GB2312"/>
          <w:bCs/>
          <w:szCs w:val="28"/>
          <w:lang w:val="en-US" w:eastAsia="zh-CN"/>
        </w:rPr>
        <w:t>文化中心紧跟市场需求，不断丰富文化内容和形式，举办市民喜闻乐见的文化活动、展览和演出，文化阵地作用充分发挥。</w:t>
      </w:r>
      <w:r>
        <w:rPr>
          <w:rFonts w:hint="eastAsia" w:ascii="仿宋_GB2312"/>
          <w:b/>
          <w:bCs/>
          <w:szCs w:val="28"/>
        </w:rPr>
        <w:t>实际完成率：117%</w:t>
      </w:r>
      <w:r>
        <w:rPr>
          <w:rFonts w:hint="eastAsia" w:ascii="仿宋_GB2312"/>
          <w:szCs w:val="28"/>
        </w:rPr>
        <w:t>，故实际完成率得分为10分。</w:t>
      </w:r>
    </w:p>
    <w:p w14:paraId="6BF88F63">
      <w:pPr>
        <w:spacing w:line="360" w:lineRule="auto"/>
        <w:ind w:firstLine="560"/>
        <w:rPr>
          <w:rFonts w:ascii="仿宋_GB2312"/>
          <w:szCs w:val="28"/>
        </w:rPr>
      </w:pPr>
      <w:r>
        <w:rPr>
          <w:rFonts w:hint="eastAsia" w:ascii="仿宋_GB2312"/>
          <w:bCs/>
          <w:szCs w:val="28"/>
        </w:rPr>
        <w:t>数量指标“全年接待人次”的目标值是120万人次，</w:t>
      </w:r>
      <w:r>
        <w:rPr>
          <w:rFonts w:ascii="仿宋_GB2312"/>
          <w:bCs/>
          <w:szCs w:val="28"/>
        </w:rPr>
        <w:t>2024年度我单位</w:t>
      </w:r>
      <w:r>
        <w:rPr>
          <w:rFonts w:hint="eastAsia" w:ascii="仿宋_GB2312"/>
          <w:bCs/>
          <w:szCs w:val="28"/>
        </w:rPr>
        <w:t>实际完成299.7万人次</w:t>
      </w:r>
      <w:r>
        <w:rPr>
          <w:rFonts w:hint="eastAsia" w:ascii="仿宋_GB2312"/>
          <w:bCs/>
          <w:szCs w:val="28"/>
          <w:lang w:val="en-US" w:eastAsia="zh-CN"/>
        </w:rPr>
        <w:t>（展览馆45万人次、博物馆130万人次、规划馆88万人次、文化馆36万人次）</w:t>
      </w:r>
      <w:r>
        <w:rPr>
          <w:rFonts w:hint="eastAsia" w:ascii="仿宋_GB2312"/>
          <w:bCs/>
          <w:szCs w:val="28"/>
        </w:rPr>
        <w:t>，原因是2024年开展民间艺术季活动观众人次增加，超过预期值。</w:t>
      </w:r>
      <w:r>
        <w:rPr>
          <w:rFonts w:hint="eastAsia" w:ascii="仿宋_GB2312"/>
          <w:bCs/>
          <w:szCs w:val="28"/>
          <w:lang w:val="en-US" w:eastAsia="zh-CN"/>
        </w:rPr>
        <w:t>完成419场付费接待，收取讲解费约31.6万元；全力做好各级领导及单位接待工作，高质量完成</w:t>
      </w:r>
      <w:r>
        <w:rPr>
          <w:rFonts w:hint="eastAsia" w:ascii="仿宋_GB2312"/>
          <w:bCs/>
          <w:szCs w:val="28"/>
        </w:rPr>
        <w:t>重</w:t>
      </w:r>
      <w:r>
        <w:rPr>
          <w:rFonts w:hint="eastAsia" w:ascii="仿宋_GB2312"/>
          <w:bCs/>
          <w:szCs w:val="28"/>
          <w:lang w:val="en-US" w:eastAsia="zh-CN"/>
        </w:rPr>
        <w:t>要活动服务保障120</w:t>
      </w:r>
      <w:r>
        <w:rPr>
          <w:rFonts w:hint="eastAsia" w:ascii="仿宋_GB2312"/>
          <w:bCs/>
          <w:szCs w:val="28"/>
        </w:rPr>
        <w:t>余次</w:t>
      </w:r>
      <w:r>
        <w:rPr>
          <w:rFonts w:hint="eastAsia" w:ascii="仿宋_GB2312"/>
          <w:bCs/>
          <w:szCs w:val="28"/>
          <w:lang w:eastAsia="zh-CN"/>
        </w:rPr>
        <w:t>，</w:t>
      </w:r>
      <w:r>
        <w:rPr>
          <w:rFonts w:hint="eastAsia" w:ascii="仿宋_GB2312"/>
          <w:bCs/>
          <w:szCs w:val="28"/>
          <w:lang w:val="en-US" w:eastAsia="zh-CN"/>
        </w:rPr>
        <w:t>特别是今年以来市委、市政府主要领导多次</w:t>
      </w:r>
      <w:r>
        <w:rPr>
          <w:rFonts w:hint="eastAsia" w:ascii="仿宋_GB2312"/>
          <w:bCs/>
          <w:szCs w:val="28"/>
        </w:rPr>
        <w:t>莅临文化中心</w:t>
      </w:r>
      <w:r>
        <w:rPr>
          <w:rFonts w:hint="eastAsia" w:ascii="仿宋_GB2312"/>
          <w:bCs/>
          <w:szCs w:val="28"/>
          <w:lang w:val="en-US" w:eastAsia="zh-CN"/>
        </w:rPr>
        <w:t>现场调研指导工作，为今后工作明确具体方向。</w:t>
      </w:r>
      <w:r>
        <w:rPr>
          <w:rFonts w:hint="eastAsia" w:ascii="仿宋_GB2312"/>
          <w:b/>
          <w:bCs/>
          <w:szCs w:val="28"/>
        </w:rPr>
        <w:t>实际完成率：</w:t>
      </w:r>
      <w:r>
        <w:rPr>
          <w:rFonts w:hint="eastAsia" w:ascii="仿宋_GB2312"/>
          <w:szCs w:val="28"/>
        </w:rPr>
        <w:t>249%，故实际完成率得分为5分。</w:t>
      </w:r>
    </w:p>
    <w:p w14:paraId="0A0B6D3A">
      <w:pPr>
        <w:spacing w:line="360" w:lineRule="auto"/>
        <w:ind w:firstLine="560"/>
        <w:rPr>
          <w:rFonts w:ascii="仿宋_GB2312"/>
          <w:szCs w:val="28"/>
        </w:rPr>
      </w:pPr>
      <w:r>
        <w:rPr>
          <w:rFonts w:hint="eastAsia" w:ascii="仿宋_GB2312"/>
          <w:bCs/>
          <w:szCs w:val="28"/>
        </w:rPr>
        <w:t>数量指标“全年开展社会文化活动”的目标值是80场，</w:t>
      </w:r>
      <w:r>
        <w:rPr>
          <w:rFonts w:ascii="仿宋_GB2312"/>
          <w:bCs/>
          <w:szCs w:val="28"/>
        </w:rPr>
        <w:t>2024年度我单位</w:t>
      </w:r>
      <w:r>
        <w:rPr>
          <w:rFonts w:hint="eastAsia" w:ascii="仿宋_GB2312"/>
          <w:bCs/>
          <w:szCs w:val="28"/>
        </w:rPr>
        <w:t>实际完成96场，原因是自治区文旅厅举办民间艺术季活动，在文化中心举办多场演出，演出场次超预期。</w:t>
      </w:r>
      <w:r>
        <w:rPr>
          <w:rFonts w:hint="eastAsia" w:ascii="仿宋_GB2312"/>
          <w:bCs/>
          <w:szCs w:val="28"/>
          <w:lang w:val="en-US" w:eastAsia="zh-CN"/>
        </w:rPr>
        <w:t>文化活动包括各类读书会、发布会、主题沙龙、签售会、创作分享会、协会讲座等。</w:t>
      </w:r>
      <w:r>
        <w:rPr>
          <w:rFonts w:hint="eastAsia" w:ascii="仿宋_GB2312"/>
          <w:b/>
          <w:bCs/>
          <w:szCs w:val="28"/>
        </w:rPr>
        <w:t>实际完成率：</w:t>
      </w:r>
      <w:r>
        <w:rPr>
          <w:rFonts w:hint="eastAsia" w:ascii="仿宋_GB2312"/>
          <w:szCs w:val="28"/>
        </w:rPr>
        <w:t>120%，故实际完成率得分为5分。</w:t>
      </w:r>
    </w:p>
    <w:p w14:paraId="619EADC5">
      <w:pPr>
        <w:spacing w:line="360" w:lineRule="auto"/>
        <w:ind w:firstLine="560"/>
        <w:rPr>
          <w:rFonts w:hint="eastAsia" w:ascii="仿宋_GB2312"/>
          <w:b w:val="0"/>
          <w:bCs w:val="0"/>
          <w:szCs w:val="28"/>
          <w:highlight w:val="none"/>
        </w:rPr>
      </w:pPr>
      <w:r>
        <w:rPr>
          <w:rFonts w:hint="eastAsia" w:ascii="仿宋_GB2312"/>
          <w:b w:val="0"/>
          <w:bCs w:val="0"/>
          <w:szCs w:val="28"/>
          <w:highlight w:val="none"/>
        </w:rPr>
        <w:t>数量指标“提供毕业生实习就业岗位”的目标值是10个，2024年度我单位通过校园招聘、招聘网站、招聘会等方式，提供实习就业岗位10个，主要以管理培训生、书影城工作人员等岗位为主，实际完成10个，实际完成率：100%，故实际完成率得分为5分。</w:t>
      </w:r>
    </w:p>
    <w:p w14:paraId="1B9657C4">
      <w:pPr>
        <w:spacing w:line="360" w:lineRule="auto"/>
        <w:ind w:firstLine="560"/>
        <w:rPr>
          <w:rFonts w:ascii="仿宋_GB2312"/>
          <w:bCs/>
          <w:szCs w:val="28"/>
        </w:rPr>
      </w:pPr>
      <w:r>
        <w:rPr>
          <w:rFonts w:ascii="仿宋_GB2312"/>
          <w:szCs w:val="28"/>
        </w:rPr>
        <w:t>综上，数量指标得分为</w:t>
      </w:r>
      <w:r>
        <w:rPr>
          <w:rFonts w:hint="eastAsia" w:ascii="仿宋_GB2312"/>
          <w:szCs w:val="28"/>
        </w:rPr>
        <w:t>25</w:t>
      </w:r>
      <w:r>
        <w:rPr>
          <w:rFonts w:ascii="仿宋_GB2312"/>
          <w:szCs w:val="28"/>
        </w:rPr>
        <w:t>分。</w:t>
      </w:r>
    </w:p>
    <w:p w14:paraId="3A60FD1B">
      <w:pPr>
        <w:pStyle w:val="5"/>
        <w:ind w:firstLine="643"/>
      </w:pPr>
      <w:bookmarkStart w:id="48" w:name="_Toc165277250"/>
      <w:r>
        <w:rPr>
          <w:rFonts w:hint="eastAsia"/>
        </w:rPr>
        <w:t>2</w:t>
      </w:r>
      <w:r>
        <w:t>.</w:t>
      </w:r>
      <w:r>
        <w:rPr>
          <w:rFonts w:hint="eastAsia"/>
        </w:rPr>
        <w:t>产出质量</w:t>
      </w:r>
      <w:bookmarkEnd w:id="48"/>
    </w:p>
    <w:p w14:paraId="052984B2">
      <w:pPr>
        <w:pStyle w:val="2"/>
        <w:keepNext w:val="0"/>
        <w:keepLines w:val="0"/>
        <w:pageBreakBefore w:val="0"/>
        <w:widowControl w:val="0"/>
        <w:kinsoku/>
        <w:wordWrap/>
        <w:overflowPunct/>
        <w:topLinePunct w:val="0"/>
        <w:autoSpaceDE/>
        <w:autoSpaceDN/>
        <w:bidi w:val="0"/>
        <w:adjustRightInd/>
        <w:snapToGrid/>
        <w:spacing w:line="560" w:lineRule="exact"/>
        <w:ind w:firstLine="562"/>
        <w:rPr>
          <w:rFonts w:hint="eastAsia" w:ascii="仿宋_GB2312" w:hAnsi="Calibri" w:eastAsia="仿宋_GB2312" w:cs="黑体"/>
          <w:b w:val="0"/>
          <w:bCs w:val="0"/>
          <w:kern w:val="2"/>
          <w:sz w:val="28"/>
          <w:szCs w:val="28"/>
          <w:highlight w:val="none"/>
          <w:lang w:val="en-US" w:eastAsia="zh-CN" w:bidi="ar-SA"/>
        </w:rPr>
      </w:pPr>
      <w:r>
        <w:rPr>
          <w:rFonts w:hint="eastAsia" w:ascii="仿宋_GB2312" w:hAnsi="Calibri" w:eastAsia="仿宋_GB2312" w:cs="黑体"/>
          <w:b w:val="0"/>
          <w:bCs w:val="0"/>
          <w:kern w:val="2"/>
          <w:sz w:val="28"/>
          <w:szCs w:val="28"/>
          <w:highlight w:val="none"/>
          <w:lang w:val="en-US" w:eastAsia="zh-CN" w:bidi="ar-SA"/>
        </w:rPr>
        <w:t>演员出勤率：目标值是90%，结合2024年大剧院、音乐厅176场演出的出勤率情况汇总，2024年度我单位实际演员出勤率98%，包括话剧、交响音乐会、音乐剧、艺术节、相声、儿童剧、舞剧等多类演出，演员出勤率得分为5分。</w:t>
      </w:r>
    </w:p>
    <w:p w14:paraId="1C471909">
      <w:pPr>
        <w:pStyle w:val="2"/>
        <w:keepNext w:val="0"/>
        <w:keepLines w:val="0"/>
        <w:pageBreakBefore w:val="0"/>
        <w:widowControl w:val="0"/>
        <w:kinsoku/>
        <w:wordWrap/>
        <w:overflowPunct/>
        <w:topLinePunct w:val="0"/>
        <w:autoSpaceDE/>
        <w:autoSpaceDN/>
        <w:bidi w:val="0"/>
        <w:adjustRightInd/>
        <w:snapToGrid/>
        <w:spacing w:line="560" w:lineRule="exact"/>
        <w:ind w:firstLine="562"/>
        <w:rPr>
          <w:rFonts w:hint="eastAsia" w:ascii="仿宋_GB2312"/>
          <w:szCs w:val="28"/>
          <w:highlight w:val="none"/>
        </w:rPr>
      </w:pPr>
      <w:r>
        <w:rPr>
          <w:rFonts w:hint="eastAsia" w:ascii="仿宋_GB2312" w:hAnsi="Calibri" w:eastAsia="仿宋_GB2312" w:cs="黑体"/>
          <w:b w:val="0"/>
          <w:bCs w:val="0"/>
          <w:kern w:val="2"/>
          <w:sz w:val="28"/>
          <w:szCs w:val="28"/>
          <w:highlight w:val="none"/>
          <w:lang w:val="en-US" w:eastAsia="zh-CN" w:bidi="ar-SA"/>
        </w:rPr>
        <w:t>资金到位及时率：目标值是10</w:t>
      </w:r>
      <w:r>
        <w:rPr>
          <w:rFonts w:hint="eastAsia" w:ascii="仿宋_GB2312"/>
          <w:szCs w:val="28"/>
          <w:highlight w:val="none"/>
        </w:rPr>
        <w:t>0%，2024年市财政局全额保障该项目资金5600万元，</w:t>
      </w:r>
      <w:r>
        <w:rPr>
          <w:rFonts w:hint="eastAsia" w:ascii="仿宋_GB2312"/>
          <w:szCs w:val="28"/>
          <w:highlight w:val="none"/>
          <w:lang w:eastAsia="zh-CN"/>
        </w:rPr>
        <w:t>分两次进行项目资金拨付完成，</w:t>
      </w:r>
      <w:r>
        <w:rPr>
          <w:rFonts w:hint="eastAsia" w:ascii="仿宋_GB2312"/>
          <w:szCs w:val="28"/>
          <w:highlight w:val="none"/>
        </w:rPr>
        <w:t>因此资金到位率100%。资金到位及时率得分为5分。</w:t>
      </w:r>
    </w:p>
    <w:p w14:paraId="57D936FB">
      <w:pPr>
        <w:keepNext w:val="0"/>
        <w:keepLines w:val="0"/>
        <w:pageBreakBefore w:val="0"/>
        <w:widowControl w:val="0"/>
        <w:kinsoku/>
        <w:wordWrap/>
        <w:overflowPunct/>
        <w:topLinePunct w:val="0"/>
        <w:autoSpaceDE/>
        <w:autoSpaceDN/>
        <w:bidi w:val="0"/>
        <w:adjustRightInd/>
        <w:snapToGrid/>
        <w:spacing w:line="560" w:lineRule="exact"/>
        <w:ind w:firstLine="560"/>
        <w:rPr>
          <w:rFonts w:ascii="仿宋_GB2312"/>
          <w:bCs/>
          <w:szCs w:val="28"/>
        </w:rPr>
      </w:pPr>
      <w:r>
        <w:rPr>
          <w:rFonts w:ascii="仿宋_GB2312"/>
          <w:szCs w:val="28"/>
        </w:rPr>
        <w:t>综上，</w:t>
      </w:r>
      <w:r>
        <w:rPr>
          <w:rFonts w:hint="eastAsia" w:ascii="仿宋_GB2312"/>
          <w:szCs w:val="28"/>
          <w:lang w:eastAsia="zh-CN"/>
        </w:rPr>
        <w:t>质量</w:t>
      </w:r>
      <w:r>
        <w:rPr>
          <w:rFonts w:ascii="仿宋_GB2312"/>
          <w:szCs w:val="28"/>
        </w:rPr>
        <w:t>指标得分为</w:t>
      </w:r>
      <w:r>
        <w:rPr>
          <w:rFonts w:hint="eastAsia" w:ascii="仿宋_GB2312"/>
          <w:szCs w:val="28"/>
          <w:lang w:val="en-US" w:eastAsia="zh-CN"/>
        </w:rPr>
        <w:t>10</w:t>
      </w:r>
      <w:r>
        <w:rPr>
          <w:rFonts w:ascii="仿宋_GB2312"/>
          <w:szCs w:val="28"/>
        </w:rPr>
        <w:t>分。</w:t>
      </w:r>
    </w:p>
    <w:p w14:paraId="390116F5">
      <w:pPr>
        <w:pStyle w:val="2"/>
        <w:ind w:firstLine="562"/>
        <w:rPr>
          <w:rFonts w:hint="eastAsia" w:ascii="仿宋_GB2312"/>
          <w:szCs w:val="28"/>
          <w:highlight w:val="none"/>
        </w:rPr>
      </w:pPr>
    </w:p>
    <w:p w14:paraId="22535C25">
      <w:pPr>
        <w:pStyle w:val="5"/>
        <w:ind w:firstLine="643"/>
        <w:rPr>
          <w:rFonts w:hint="eastAsia"/>
        </w:rPr>
      </w:pPr>
      <w:r>
        <w:rPr>
          <w:rFonts w:hint="eastAsia"/>
          <w:highlight w:val="none"/>
        </w:rPr>
        <w:t>3.产出</w:t>
      </w:r>
      <w:r>
        <w:rPr>
          <w:rFonts w:hint="eastAsia"/>
        </w:rPr>
        <w:t>时效</w:t>
      </w:r>
    </w:p>
    <w:p w14:paraId="1BDC2A44">
      <w:pPr>
        <w:ind w:firstLine="562"/>
        <w:rPr>
          <w:rFonts w:hint="eastAsia" w:ascii="仿宋_GB2312"/>
          <w:b/>
          <w:bCs/>
          <w:szCs w:val="28"/>
        </w:rPr>
      </w:pPr>
      <w:r>
        <w:rPr>
          <w:rFonts w:hint="eastAsia" w:ascii="仿宋_GB2312"/>
          <w:b/>
          <w:bCs/>
          <w:szCs w:val="28"/>
        </w:rPr>
        <w:t>资金补助及时率：</w:t>
      </w:r>
      <w:r>
        <w:rPr>
          <w:rFonts w:hint="eastAsia" w:ascii="仿宋_GB2312"/>
          <w:szCs w:val="28"/>
        </w:rPr>
        <w:t>目标值是100%，2024年6月12日拨付乌鲁木齐文化传媒投资有限公司第一笔补助资金5000万元，2024年10月29日拨付乌鲁木齐文化传媒投资有限公司第二笔补助资金600万元,。2024年及时拨付企业补助资金5600万元，故资金补助及时率100%。故资金补助及时率得分为5分。</w:t>
      </w:r>
    </w:p>
    <w:p w14:paraId="06B08FBF">
      <w:pPr>
        <w:pStyle w:val="5"/>
        <w:ind w:firstLine="643"/>
        <w:rPr>
          <w:rFonts w:hint="eastAsia"/>
        </w:rPr>
      </w:pPr>
      <w:r>
        <w:rPr>
          <w:rFonts w:hint="eastAsia"/>
        </w:rPr>
        <w:t>4.产出成本</w:t>
      </w:r>
    </w:p>
    <w:p w14:paraId="77AE9F40">
      <w:pPr>
        <w:ind w:firstLine="560"/>
        <w:rPr>
          <w:rFonts w:ascii="仿宋_GB2312"/>
          <w:szCs w:val="28"/>
        </w:rPr>
      </w:pPr>
      <w:r>
        <w:rPr>
          <w:rFonts w:hint="eastAsia" w:ascii="仿宋_GB2312"/>
          <w:szCs w:val="28"/>
        </w:rPr>
        <w:t>PPP项目可行性缺口补助：根据每年绩效考核结果给予PPP可行性缺口补助，2024年可行性缺口补助5600万元，市财政根据考核要求进行资金下达。得分为5分。</w:t>
      </w:r>
    </w:p>
    <w:p w14:paraId="43E9CA0A">
      <w:pPr>
        <w:pStyle w:val="4"/>
        <w:ind w:firstLine="643"/>
        <w:rPr>
          <w:rFonts w:ascii="仿宋" w:hAnsi="仿宋" w:eastAsia="仿宋"/>
          <w:lang w:bidi="en-US"/>
        </w:rPr>
      </w:pPr>
      <w:r>
        <w:rPr>
          <w:rFonts w:ascii="仿宋" w:hAnsi="仿宋" w:eastAsia="仿宋"/>
          <w:lang w:bidi="en-US"/>
        </w:rPr>
        <w:t>（</w:t>
      </w:r>
      <w:r>
        <w:rPr>
          <w:rFonts w:hint="eastAsia" w:ascii="仿宋" w:hAnsi="仿宋" w:eastAsia="仿宋"/>
          <w:lang w:bidi="en-US"/>
        </w:rPr>
        <w:t>四</w:t>
      </w:r>
      <w:r>
        <w:rPr>
          <w:rFonts w:ascii="仿宋" w:hAnsi="仿宋" w:eastAsia="仿宋"/>
          <w:lang w:bidi="en-US"/>
        </w:rPr>
        <w:t>）项目效益</w:t>
      </w:r>
    </w:p>
    <w:p w14:paraId="32A955EE">
      <w:pPr>
        <w:spacing w:line="360" w:lineRule="auto"/>
        <w:ind w:firstLine="560"/>
        <w:rPr>
          <w:rFonts w:ascii="仿宋_GB2312"/>
          <w:szCs w:val="28"/>
        </w:rPr>
      </w:pPr>
      <w:r>
        <w:rPr>
          <w:rFonts w:hint="eastAsia" w:ascii="仿宋_GB2312"/>
          <w:szCs w:val="28"/>
        </w:rPr>
        <w:t>项目效益指标由</w:t>
      </w:r>
      <w:r>
        <w:rPr>
          <w:rFonts w:ascii="仿宋_GB2312"/>
          <w:szCs w:val="28"/>
        </w:rPr>
        <w:t>1</w:t>
      </w:r>
      <w:r>
        <w:rPr>
          <w:rFonts w:hint="eastAsia" w:ascii="仿宋_GB2312"/>
          <w:szCs w:val="28"/>
        </w:rPr>
        <w:t>个二级指标和1个三级指标构成，权重为10分，实际得分10分。</w:t>
      </w:r>
      <w:r>
        <w:rPr>
          <w:rFonts w:ascii="仿宋_GB2312"/>
          <w:szCs w:val="28"/>
        </w:rPr>
        <w:t xml:space="preserve"> </w:t>
      </w:r>
    </w:p>
    <w:p w14:paraId="5FB3F6EA">
      <w:pPr>
        <w:spacing w:line="360" w:lineRule="auto"/>
        <w:ind w:firstLine="643"/>
        <w:rPr>
          <w:b/>
          <w:bCs/>
          <w:sz w:val="32"/>
          <w:szCs w:val="32"/>
        </w:rPr>
      </w:pPr>
      <w:r>
        <w:rPr>
          <w:rFonts w:hint="eastAsia"/>
          <w:b/>
          <w:bCs/>
          <w:sz w:val="32"/>
          <w:szCs w:val="32"/>
        </w:rPr>
        <w:t>1.实施效益</w:t>
      </w:r>
    </w:p>
    <w:p w14:paraId="0BEAE0F2">
      <w:pPr>
        <w:spacing w:line="360" w:lineRule="auto"/>
        <w:ind w:firstLine="562"/>
        <w:rPr>
          <w:rFonts w:ascii="仿宋_GB2312"/>
          <w:szCs w:val="28"/>
        </w:rPr>
      </w:pPr>
      <w:r>
        <w:rPr>
          <w:rFonts w:hint="eastAsia" w:ascii="仿宋_GB2312"/>
          <w:b/>
          <w:bCs/>
          <w:szCs w:val="28"/>
        </w:rPr>
        <w:t>经济效益指标：</w:t>
      </w:r>
      <w:r>
        <w:rPr>
          <w:rFonts w:hint="eastAsia" w:ascii="仿宋_GB2312"/>
          <w:szCs w:val="28"/>
        </w:rPr>
        <w:t>不适用。</w:t>
      </w:r>
      <w:r>
        <w:rPr>
          <w:rFonts w:ascii="仿宋_GB2312"/>
          <w:szCs w:val="28"/>
        </w:rPr>
        <w:t xml:space="preserve"> </w:t>
      </w:r>
    </w:p>
    <w:p w14:paraId="71CC2A64">
      <w:pPr>
        <w:spacing w:line="360" w:lineRule="auto"/>
        <w:ind w:firstLine="562"/>
        <w:rPr>
          <w:rFonts w:hint="eastAsia" w:ascii="仿宋_GB2312"/>
          <w:szCs w:val="28"/>
        </w:rPr>
      </w:pPr>
      <w:r>
        <w:rPr>
          <w:rFonts w:hint="eastAsia" w:ascii="仿宋_GB2312"/>
          <w:b/>
          <w:bCs/>
          <w:szCs w:val="28"/>
        </w:rPr>
        <w:t>社会效益指标</w:t>
      </w:r>
      <w:r>
        <w:rPr>
          <w:rFonts w:hint="eastAsia" w:ascii="仿宋_GB2312"/>
          <w:szCs w:val="28"/>
        </w:rPr>
        <w:t>：评价指标“发展文化旅游产业”，指标值：效果显著，实际完成值：完全达到预期。</w:t>
      </w:r>
    </w:p>
    <w:p w14:paraId="1237718B">
      <w:pPr>
        <w:pStyle w:val="2"/>
      </w:pPr>
      <w:r>
        <w:t>文旅融合示范效应</w:t>
      </w:r>
      <w:r>
        <w:rPr>
          <w:rFonts w:hint="default"/>
        </w:rPr>
        <w:t>：</w:t>
      </w:r>
      <w:r>
        <w:rPr>
          <w:rFonts w:hint="default"/>
          <w:highlight w:val="none"/>
        </w:rPr>
        <w:t>项目获评“自治区文旅融合示范基地”，</w:t>
      </w:r>
      <w:r>
        <w:rPr>
          <w:rFonts w:hint="default"/>
        </w:rPr>
        <w:t>项目依托乌鲁木齐多民族文化特色，</w:t>
      </w:r>
      <w:r>
        <w:rPr>
          <w:rFonts w:hint="eastAsia"/>
          <w:lang w:val="en-US" w:eastAsia="zh-CN"/>
        </w:rPr>
        <w:t>参与第八届中国亚欧博览会、建党103周年交响乐会、兵团70周年等活动</w:t>
      </w:r>
      <w:r>
        <w:rPr>
          <w:rFonts w:hint="default"/>
        </w:rPr>
        <w:t>，年均吸引游客</w:t>
      </w:r>
      <w:r>
        <w:rPr>
          <w:rFonts w:hint="eastAsia"/>
          <w:lang w:val="en-US" w:eastAsia="zh-CN"/>
        </w:rPr>
        <w:t>299.7</w:t>
      </w:r>
      <w:r>
        <w:rPr>
          <w:rFonts w:hint="default"/>
        </w:rPr>
        <w:t>万人次，带动周边餐饮等消费，成为区域文旅新地标。</w:t>
      </w:r>
    </w:p>
    <w:p w14:paraId="7AE82B65">
      <w:pPr>
        <w:pStyle w:val="2"/>
        <w:rPr>
          <w:highlight w:val="none"/>
        </w:rPr>
      </w:pPr>
      <w:r>
        <w:rPr>
          <w:rFonts w:hint="default"/>
          <w:highlight w:val="none"/>
        </w:rPr>
        <w:t>品牌影响力提升：获批扶持资金：以文化中心为主体，申报2024年自治区文化产业发展专项资金，获批90万元贷款贴息的扶持。显著增强乌鲁木齐作为“一带一路”文化枢纽的城市吸引力。</w:t>
      </w:r>
    </w:p>
    <w:p w14:paraId="7F9FB512">
      <w:pPr>
        <w:pStyle w:val="2"/>
        <w:rPr>
          <w:rFonts w:hint="default"/>
        </w:rPr>
      </w:pPr>
      <w:r>
        <w:rPr>
          <w:rFonts w:hint="default"/>
        </w:rPr>
        <w:t>综上，项目通过文化赋能旅游、旅游反哺文化的良性循环，超额完成“发展文化旅游产业”的社会效益目标。</w:t>
      </w:r>
    </w:p>
    <w:p w14:paraId="389987CF">
      <w:pPr>
        <w:pStyle w:val="2"/>
      </w:pPr>
    </w:p>
    <w:p w14:paraId="013E6332">
      <w:pPr>
        <w:spacing w:line="360" w:lineRule="auto"/>
        <w:ind w:firstLine="562"/>
        <w:rPr>
          <w:rFonts w:ascii="仿宋_GB2312"/>
          <w:szCs w:val="28"/>
        </w:rPr>
      </w:pPr>
      <w:r>
        <w:rPr>
          <w:rFonts w:hint="eastAsia" w:ascii="仿宋_GB2312"/>
          <w:b/>
          <w:bCs/>
          <w:szCs w:val="28"/>
        </w:rPr>
        <w:t>生态效益指标</w:t>
      </w:r>
      <w:r>
        <w:rPr>
          <w:rFonts w:hint="eastAsia" w:ascii="仿宋_GB2312"/>
          <w:szCs w:val="28"/>
        </w:rPr>
        <w:t>：不适用。</w:t>
      </w:r>
    </w:p>
    <w:p w14:paraId="1234590E">
      <w:pPr>
        <w:autoSpaceDE w:val="0"/>
        <w:spacing w:line="600" w:lineRule="exact"/>
        <w:ind w:firstLine="562"/>
        <w:rPr>
          <w:rFonts w:ascii="仿宋_GB2312" w:hAnsi="仿宋" w:cs="宋体"/>
          <w:b/>
          <w:kern w:val="0"/>
          <w:szCs w:val="28"/>
        </w:rPr>
      </w:pPr>
      <w:r>
        <w:rPr>
          <w:rFonts w:hint="eastAsia" w:ascii="仿宋_GB2312" w:hAnsi="仿宋" w:cs="宋体"/>
          <w:b/>
          <w:kern w:val="0"/>
          <w:szCs w:val="28"/>
        </w:rPr>
        <w:t>综上，该指标满分</w:t>
      </w:r>
      <w:r>
        <w:rPr>
          <w:rFonts w:ascii="仿宋_GB2312" w:hAnsi="仿宋" w:cs="宋体"/>
          <w:b/>
          <w:kern w:val="0"/>
          <w:szCs w:val="28"/>
        </w:rPr>
        <w:t>10</w:t>
      </w:r>
      <w:r>
        <w:rPr>
          <w:rFonts w:hint="eastAsia" w:ascii="仿宋_GB2312" w:hAnsi="仿宋" w:cs="宋体"/>
          <w:b/>
          <w:kern w:val="0"/>
          <w:szCs w:val="28"/>
        </w:rPr>
        <w:t>分，得分10分。</w:t>
      </w:r>
    </w:p>
    <w:p w14:paraId="411CF167">
      <w:pPr>
        <w:pStyle w:val="4"/>
        <w:ind w:firstLine="643"/>
        <w:rPr>
          <w:rFonts w:ascii="仿宋" w:hAnsi="仿宋" w:eastAsia="仿宋"/>
          <w:lang w:bidi="en-US"/>
        </w:rPr>
      </w:pPr>
      <w:bookmarkStart w:id="49" w:name="_Toc165277255"/>
      <w:r>
        <w:rPr>
          <w:rFonts w:hint="eastAsia" w:ascii="仿宋" w:hAnsi="仿宋" w:eastAsia="仿宋"/>
          <w:lang w:bidi="en-US"/>
        </w:rPr>
        <w:t>（五）</w:t>
      </w:r>
      <w:r>
        <w:rPr>
          <w:rFonts w:ascii="仿宋" w:hAnsi="仿宋" w:eastAsia="仿宋"/>
          <w:lang w:bidi="en-US"/>
        </w:rPr>
        <w:t>满意度指标完成情况分析</w:t>
      </w:r>
      <w:bookmarkEnd w:id="49"/>
    </w:p>
    <w:p w14:paraId="0F12261D">
      <w:pPr>
        <w:spacing w:line="360" w:lineRule="auto"/>
        <w:ind w:firstLine="643"/>
        <w:rPr>
          <w:b/>
          <w:bCs/>
          <w:sz w:val="32"/>
          <w:szCs w:val="32"/>
        </w:rPr>
      </w:pPr>
      <w:r>
        <w:rPr>
          <w:rFonts w:hint="eastAsia"/>
          <w:b/>
          <w:bCs/>
          <w:sz w:val="32"/>
          <w:szCs w:val="32"/>
        </w:rPr>
        <w:t>1.满意度指标</w:t>
      </w:r>
    </w:p>
    <w:p w14:paraId="1F651317">
      <w:pPr>
        <w:spacing w:line="560" w:lineRule="exact"/>
        <w:ind w:firstLine="562"/>
        <w:rPr>
          <w:rFonts w:ascii="仿宋_GB2312"/>
          <w:szCs w:val="28"/>
        </w:rPr>
      </w:pPr>
      <w:r>
        <w:rPr>
          <w:rFonts w:hint="eastAsia" w:ascii="仿宋_GB2312"/>
          <w:b/>
          <w:bCs/>
          <w:szCs w:val="28"/>
        </w:rPr>
        <w:t>群众满意度：</w:t>
      </w:r>
      <w:r>
        <w:rPr>
          <w:rFonts w:hint="eastAsia" w:ascii="仿宋_GB2312"/>
          <w:szCs w:val="28"/>
        </w:rPr>
        <w:t>评价指标“社会公众满意度”，指标值：</w:t>
      </w:r>
      <w:r>
        <w:rPr>
          <w:rFonts w:hint="eastAsia" w:ascii="华文宋体" w:hAnsi="华文宋体" w:eastAsia="华文宋体"/>
          <w:szCs w:val="28"/>
        </w:rPr>
        <w:t>≥</w:t>
      </w:r>
      <w:r>
        <w:rPr>
          <w:rFonts w:hint="eastAsia" w:ascii="仿宋_GB2312" w:eastAsia="华文宋体"/>
          <w:szCs w:val="28"/>
        </w:rPr>
        <w:t>90</w:t>
      </w:r>
      <w:r>
        <w:rPr>
          <w:rFonts w:hint="eastAsia" w:ascii="仿宋_GB2312"/>
          <w:szCs w:val="28"/>
        </w:rPr>
        <w:t>%，实际完成值：</w:t>
      </w:r>
      <w:r>
        <w:rPr>
          <w:rFonts w:hint="eastAsia" w:ascii="华文宋体" w:hAnsi="华文宋体" w:eastAsia="华文宋体"/>
          <w:szCs w:val="28"/>
        </w:rPr>
        <w:t>100</w:t>
      </w:r>
      <w:r>
        <w:rPr>
          <w:rFonts w:hint="eastAsia" w:ascii="仿宋_GB2312"/>
          <w:szCs w:val="28"/>
        </w:rPr>
        <w:t>%。通过设置问卷调查的方式进行考评评价，2024年各公益性场馆共计发放问卷4706份，有效回收问卷3805份，回收率80.85%，满意度为100%。故满意度指标得分5分。</w:t>
      </w:r>
    </w:p>
    <w:p w14:paraId="6F2F05B5">
      <w:pPr>
        <w:autoSpaceDE w:val="0"/>
        <w:spacing w:line="600" w:lineRule="exact"/>
        <w:ind w:firstLine="562"/>
        <w:rPr>
          <w:rFonts w:ascii="仿宋_GB2312" w:hAnsi="仿宋" w:cs="宋体"/>
          <w:b/>
          <w:kern w:val="0"/>
          <w:szCs w:val="28"/>
        </w:rPr>
      </w:pPr>
      <w:r>
        <w:rPr>
          <w:rFonts w:hint="eastAsia" w:ascii="仿宋_GB2312" w:hAnsi="仿宋" w:cs="宋体"/>
          <w:b/>
          <w:kern w:val="0"/>
          <w:szCs w:val="28"/>
        </w:rPr>
        <w:t>综上，该指标满分5分，得分5分。</w:t>
      </w:r>
    </w:p>
    <w:p w14:paraId="04CCDF05">
      <w:pPr>
        <w:pStyle w:val="3"/>
        <w:ind w:firstLine="0" w:firstLineChars="0"/>
        <w:jc w:val="left"/>
        <w:rPr>
          <w:rFonts w:ascii="仿宋" w:hAnsi="仿宋" w:eastAsia="仿宋"/>
          <w:sz w:val="36"/>
          <w:szCs w:val="36"/>
          <w:lang w:bidi="en-US"/>
        </w:rPr>
      </w:pPr>
      <w:bookmarkStart w:id="50" w:name="_Toc165277256"/>
      <w:bookmarkStart w:id="51" w:name="_Toc67911617"/>
      <w:r>
        <w:rPr>
          <w:rFonts w:hint="eastAsia" w:ascii="仿宋" w:hAnsi="仿宋" w:eastAsia="仿宋"/>
          <w:sz w:val="36"/>
          <w:szCs w:val="36"/>
          <w:lang w:bidi="en-US"/>
        </w:rPr>
        <w:t>五、主要经验及做法、存在的问题及原因分析</w:t>
      </w:r>
      <w:bookmarkEnd w:id="50"/>
      <w:bookmarkEnd w:id="51"/>
    </w:p>
    <w:p w14:paraId="6BEC529A">
      <w:pPr>
        <w:pStyle w:val="4"/>
        <w:ind w:firstLine="643"/>
        <w:rPr>
          <w:rFonts w:ascii="仿宋" w:hAnsi="仿宋" w:eastAsia="仿宋"/>
          <w:lang w:bidi="en-US"/>
        </w:rPr>
      </w:pPr>
      <w:bookmarkStart w:id="52" w:name="_Toc165277257"/>
      <w:bookmarkStart w:id="53" w:name="_Toc67911618"/>
      <w:r>
        <w:rPr>
          <w:rFonts w:hint="eastAsia" w:ascii="仿宋" w:hAnsi="仿宋" w:eastAsia="仿宋"/>
          <w:lang w:bidi="en-US"/>
        </w:rPr>
        <w:t>（一）主要经验及做法</w:t>
      </w:r>
      <w:bookmarkEnd w:id="52"/>
      <w:bookmarkEnd w:id="53"/>
    </w:p>
    <w:p w14:paraId="3B0E6D3C">
      <w:pPr>
        <w:autoSpaceDE w:val="0"/>
        <w:spacing w:line="600" w:lineRule="exact"/>
        <w:ind w:firstLine="560"/>
        <w:rPr>
          <w:rFonts w:ascii="仿宋_GB2312" w:hAnsi="仿宋" w:cs="宋体"/>
          <w:kern w:val="0"/>
          <w:szCs w:val="28"/>
        </w:rPr>
      </w:pPr>
      <w:r>
        <w:rPr>
          <w:rFonts w:hint="eastAsia" w:ascii="仿宋" w:hAnsi="仿宋" w:eastAsia="仿宋" w:cs="仿宋"/>
          <w:color w:val="000000" w:themeColor="text1"/>
          <w:szCs w:val="40"/>
          <w14:textFill>
            <w14:solidFill>
              <w14:schemeClr w14:val="tx1"/>
            </w14:solidFill>
          </w14:textFill>
        </w:rPr>
        <w:t>PPP项目总体绩效目标是项目在全生命周期内预期达到的产出和效果。本项目的建设是对新疆本土文化的保护、展示、传承与发展，将成为展示和宣传乌鲁木齐城市形象的重要窗口，为实现首府文化艺术跨越式发展提供有力保证，能够有效缓解乌鲁木齐市文化设施严重滞后的现状，在充分满足广大市民日益增长的精神文化需求的同时对于城市综合发展有着重要意义，也将进一步促进社会稳定和谐发展。</w:t>
      </w:r>
    </w:p>
    <w:p w14:paraId="00778C3C">
      <w:pPr>
        <w:pStyle w:val="4"/>
        <w:ind w:firstLine="643"/>
        <w:rPr>
          <w:rFonts w:ascii="仿宋" w:hAnsi="仿宋" w:eastAsia="仿宋"/>
          <w:lang w:bidi="en-US"/>
        </w:rPr>
      </w:pPr>
      <w:bookmarkStart w:id="54" w:name="_Toc165277258"/>
      <w:r>
        <w:rPr>
          <w:rFonts w:hint="eastAsia" w:ascii="仿宋" w:hAnsi="仿宋" w:eastAsia="仿宋"/>
          <w:lang w:bidi="en-US"/>
        </w:rPr>
        <w:t>（二）存在的问题及原因分析</w:t>
      </w:r>
      <w:bookmarkEnd w:id="54"/>
    </w:p>
    <w:p w14:paraId="35CC1584">
      <w:pPr>
        <w:spacing w:line="360" w:lineRule="auto"/>
        <w:ind w:firstLine="643"/>
        <w:rPr>
          <w:b/>
          <w:bCs/>
          <w:sz w:val="32"/>
          <w:szCs w:val="32"/>
        </w:rPr>
      </w:pPr>
      <w:bookmarkStart w:id="55" w:name="_Toc133141043"/>
      <w:bookmarkStart w:id="56" w:name="_Toc165277259"/>
      <w:bookmarkStart w:id="57" w:name="_Toc67911620"/>
      <w:bookmarkStart w:id="58" w:name="_Toc67911619"/>
      <w:r>
        <w:rPr>
          <w:rFonts w:hint="eastAsia"/>
          <w:b/>
          <w:bCs/>
          <w:sz w:val="32"/>
          <w:szCs w:val="32"/>
        </w:rPr>
        <w:t>1.档案管理仍需进一步强化</w:t>
      </w:r>
      <w:bookmarkEnd w:id="55"/>
    </w:p>
    <w:p w14:paraId="5327A146">
      <w:pPr>
        <w:spacing w:before="190" w:beforeLines="50" w:after="190" w:afterLines="50" w:line="360" w:lineRule="auto"/>
        <w:ind w:firstLine="560"/>
        <w:rPr>
          <w:rFonts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14:textFill>
            <w14:solidFill>
              <w14:schemeClr w14:val="tx1"/>
            </w14:solidFill>
          </w14:textFill>
        </w:rPr>
        <w:t>经评价小组资料查验，本项目工程档案资料管理应进一步完善整改及时性、完备性等方面；检查过程中，部分档案材料内容不齐全，存在缺失现象。文化中心物业服务公司在运营过程中，开展项目档案管理等具体工作中有待进一步加强改进。</w:t>
      </w:r>
    </w:p>
    <w:p w14:paraId="486FE6AD">
      <w:pPr>
        <w:spacing w:line="360" w:lineRule="auto"/>
        <w:ind w:firstLine="643"/>
        <w:rPr>
          <w:b/>
          <w:bCs/>
          <w:sz w:val="32"/>
          <w:szCs w:val="32"/>
        </w:rPr>
      </w:pPr>
      <w:bookmarkStart w:id="59" w:name="_Toc133141044"/>
      <w:r>
        <w:rPr>
          <w:rFonts w:hint="eastAsia"/>
          <w:b/>
          <w:bCs/>
          <w:sz w:val="32"/>
          <w:szCs w:val="32"/>
        </w:rPr>
        <w:t>2.重点区域、部位安保巡查力度不足</w:t>
      </w:r>
      <w:bookmarkEnd w:id="59"/>
    </w:p>
    <w:p w14:paraId="18086EF4">
      <w:pPr>
        <w:spacing w:before="190" w:beforeLines="50" w:after="190" w:afterLines="50" w:line="360" w:lineRule="auto"/>
        <w:ind w:firstLine="560"/>
        <w:rPr>
          <w:rFonts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14:textFill>
            <w14:solidFill>
              <w14:schemeClr w14:val="tx1"/>
            </w14:solidFill>
          </w14:textFill>
        </w:rPr>
        <w:t>经评价小组及行业专家资料查验，本项目针对重点区域、部位的巡查次数为每日3-5次，考核标准中要求对重点区域、部位每两小时至少进行1次巡查工作，巡查次数不足。同时，文化中心内部分监控系统运行情况有待完善，部分监控系统尚未完全运转。</w:t>
      </w:r>
    </w:p>
    <w:p w14:paraId="1106A3E0">
      <w:pPr>
        <w:spacing w:line="360" w:lineRule="auto"/>
        <w:ind w:firstLine="643"/>
        <w:rPr>
          <w:b/>
          <w:bCs/>
          <w:sz w:val="32"/>
          <w:szCs w:val="32"/>
        </w:rPr>
      </w:pPr>
      <w:bookmarkStart w:id="60" w:name="_Toc133141045"/>
      <w:r>
        <w:rPr>
          <w:rFonts w:hint="eastAsia"/>
          <w:b/>
          <w:bCs/>
          <w:sz w:val="32"/>
          <w:szCs w:val="32"/>
        </w:rPr>
        <w:t>3.部分场馆破损处修缮不够及时</w:t>
      </w:r>
      <w:bookmarkEnd w:id="60"/>
    </w:p>
    <w:p w14:paraId="3197BF5D">
      <w:pPr>
        <w:spacing w:before="190" w:beforeLines="50" w:after="190" w:afterLines="50" w:line="360" w:lineRule="auto"/>
        <w:ind w:firstLine="560"/>
        <w:rPr>
          <w:rFonts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14:textFill>
            <w14:solidFill>
              <w14:schemeClr w14:val="tx1"/>
            </w14:solidFill>
          </w14:textFill>
        </w:rPr>
        <w:t>经评价小组现场实地调研，发现部分场馆内部存在地砖、墙面、吊顶破损的现象，部分墙面只进行初步处理，未能及时维修使其恢复原样，另有部分破损点实地调研时依然处于破损待修复状态，文化中心物业服务公司在运营过程中维护检查力度不足，对场馆内墙面、地面中出现的破损维修不够及时。</w:t>
      </w:r>
    </w:p>
    <w:p w14:paraId="217975B4">
      <w:pPr>
        <w:pStyle w:val="3"/>
        <w:numPr>
          <w:ilvl w:val="0"/>
          <w:numId w:val="1"/>
        </w:numPr>
        <w:ind w:firstLine="0" w:firstLineChars="0"/>
        <w:jc w:val="left"/>
        <w:rPr>
          <w:rFonts w:ascii="仿宋" w:hAnsi="仿宋" w:eastAsia="仿宋"/>
          <w:sz w:val="36"/>
          <w:szCs w:val="36"/>
          <w:lang w:bidi="en-US"/>
        </w:rPr>
      </w:pPr>
      <w:r>
        <w:rPr>
          <w:rFonts w:hint="eastAsia" w:ascii="仿宋" w:hAnsi="仿宋" w:eastAsia="仿宋"/>
          <w:sz w:val="36"/>
          <w:szCs w:val="36"/>
          <w:lang w:bidi="en-US"/>
        </w:rPr>
        <w:t>有关建议</w:t>
      </w:r>
      <w:bookmarkEnd w:id="56"/>
      <w:bookmarkEnd w:id="57"/>
    </w:p>
    <w:p w14:paraId="45596319">
      <w:pPr>
        <w:pStyle w:val="4"/>
        <w:ind w:firstLine="562"/>
        <w:rPr>
          <w:rFonts w:ascii="仿宋" w:hAnsi="仿宋" w:eastAsia="仿宋" w:cs="仿宋"/>
          <w:color w:val="000000" w:themeColor="text1"/>
          <w:sz w:val="28"/>
          <w:szCs w:val="40"/>
          <w14:textFill>
            <w14:solidFill>
              <w14:schemeClr w14:val="tx1"/>
            </w14:solidFill>
          </w14:textFill>
        </w:rPr>
      </w:pPr>
      <w:bookmarkStart w:id="61" w:name="_Toc24002"/>
      <w:bookmarkStart w:id="62" w:name="_Toc93500446"/>
      <w:bookmarkStart w:id="63" w:name="_Toc92730320"/>
      <w:bookmarkStart w:id="64" w:name="_Toc133141047"/>
      <w:bookmarkStart w:id="65" w:name="_Toc92730318"/>
      <w:bookmarkStart w:id="66" w:name="_Toc93500444"/>
      <w:bookmarkStart w:id="67" w:name="_Toc18671"/>
      <w:bookmarkStart w:id="68" w:name="_Toc165277260"/>
      <w:r>
        <w:rPr>
          <w:rFonts w:hint="eastAsia" w:ascii="仿宋" w:hAnsi="仿宋" w:eastAsia="仿宋" w:cs="仿宋"/>
          <w:sz w:val="28"/>
          <w:szCs w:val="21"/>
        </w:rPr>
        <w:t>（一）</w:t>
      </w:r>
      <w:bookmarkEnd w:id="61"/>
      <w:bookmarkEnd w:id="62"/>
      <w:bookmarkEnd w:id="63"/>
      <w:r>
        <w:rPr>
          <w:rFonts w:hint="eastAsia" w:ascii="仿宋" w:hAnsi="仿宋" w:eastAsia="仿宋" w:cs="仿宋"/>
          <w:sz w:val="28"/>
          <w:szCs w:val="21"/>
        </w:rPr>
        <w:t>进一步提升档案管理水平</w:t>
      </w:r>
      <w:bookmarkEnd w:id="64"/>
    </w:p>
    <w:p w14:paraId="53E3B86E">
      <w:pPr>
        <w:spacing w:before="190" w:beforeLines="50" w:after="190" w:afterLines="50" w:line="360" w:lineRule="auto"/>
        <w:ind w:firstLine="560"/>
        <w:rPr>
          <w:rFonts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14:textFill>
            <w14:solidFill>
              <w14:schemeClr w14:val="tx1"/>
            </w14:solidFill>
          </w14:textFill>
        </w:rPr>
        <w:t>建议项目公司加大对本项目整体运营期内各项档案的管理，对于各类工程资料档案，及时收集整理，全面系统归档；对于各类巡检巡查档案资料，应全面记录巡检巡查过程中发现的各类问题，及时整改并积极开展回头看，提高自身管理水平。同时，进一步强化检查力度，做好相关工作记录，将相关资料保存完整，保障运营期各场馆正常有序运转。</w:t>
      </w:r>
    </w:p>
    <w:p w14:paraId="4A8ACA63">
      <w:pPr>
        <w:pStyle w:val="4"/>
        <w:ind w:firstLine="562"/>
        <w:rPr>
          <w:rFonts w:ascii="仿宋" w:hAnsi="仿宋" w:eastAsia="仿宋" w:cs="仿宋"/>
          <w:color w:val="000000" w:themeColor="text1"/>
          <w:sz w:val="28"/>
          <w:szCs w:val="40"/>
          <w14:textFill>
            <w14:solidFill>
              <w14:schemeClr w14:val="tx1"/>
            </w14:solidFill>
          </w14:textFill>
        </w:rPr>
      </w:pPr>
      <w:bookmarkStart w:id="69" w:name="_Toc133141048"/>
      <w:r>
        <w:rPr>
          <w:rFonts w:hint="eastAsia" w:ascii="仿宋" w:hAnsi="仿宋" w:eastAsia="仿宋" w:cs="仿宋"/>
          <w:sz w:val="28"/>
          <w:szCs w:val="21"/>
        </w:rPr>
        <w:t>（二）</w:t>
      </w:r>
      <w:bookmarkEnd w:id="65"/>
      <w:bookmarkEnd w:id="66"/>
      <w:bookmarkEnd w:id="67"/>
      <w:r>
        <w:rPr>
          <w:rFonts w:hint="eastAsia" w:ascii="仿宋" w:hAnsi="仿宋" w:eastAsia="仿宋" w:cs="仿宋"/>
          <w:sz w:val="28"/>
          <w:szCs w:val="21"/>
        </w:rPr>
        <w:t>加强安保巡逻及监控防范工作</w:t>
      </w:r>
      <w:bookmarkEnd w:id="69"/>
    </w:p>
    <w:p w14:paraId="7B6D1E3A">
      <w:pPr>
        <w:spacing w:before="190" w:beforeLines="50" w:after="190" w:afterLines="50" w:line="360" w:lineRule="auto"/>
        <w:ind w:firstLine="560"/>
        <w:rPr>
          <w:rFonts w:ascii="仿宋" w:hAnsi="仿宋" w:eastAsia="仿宋" w:cs="仿宋"/>
          <w:color w:val="000000" w:themeColor="text1"/>
          <w:szCs w:val="40"/>
          <w14:textFill>
            <w14:solidFill>
              <w14:schemeClr w14:val="tx1"/>
            </w14:solidFill>
          </w14:textFill>
        </w:rPr>
      </w:pPr>
      <w:r>
        <w:rPr>
          <w:rFonts w:hint="eastAsia" w:ascii="仿宋" w:hAnsi="仿宋" w:eastAsia="仿宋" w:cs="仿宋"/>
          <w:color w:val="000000" w:themeColor="text1"/>
          <w:szCs w:val="40"/>
          <w14:textFill>
            <w14:solidFill>
              <w14:schemeClr w14:val="tx1"/>
            </w14:solidFill>
          </w14:textFill>
        </w:rPr>
        <w:t>建议进一步加强文化中心安保人员力量，完善具体安保巡检巡查制度，对于重点区域、重点部位，落实每两个小时至少巡查一次的要求，并规范全面做好巡检巡查记录。同时，进一步完善文化中心内部监控设施管理，利用好监控设施开展全方位安全保障工作；定期开展安保人员自我检查，查漏补缺，消除不安全隐患，保障文化中心运营过程中的安全有序。</w:t>
      </w:r>
    </w:p>
    <w:p w14:paraId="138519EB">
      <w:pPr>
        <w:pStyle w:val="4"/>
        <w:ind w:firstLine="562"/>
        <w:rPr>
          <w:rFonts w:ascii="仿宋" w:hAnsi="仿宋" w:eastAsia="仿宋" w:cs="仿宋"/>
          <w:color w:val="000000" w:themeColor="text1"/>
          <w:sz w:val="28"/>
          <w:szCs w:val="40"/>
          <w14:textFill>
            <w14:solidFill>
              <w14:schemeClr w14:val="tx1"/>
            </w14:solidFill>
          </w14:textFill>
        </w:rPr>
      </w:pPr>
      <w:bookmarkStart w:id="70" w:name="_Toc92730319"/>
      <w:bookmarkStart w:id="71" w:name="_Toc93500445"/>
      <w:bookmarkStart w:id="72" w:name="_Toc14904"/>
      <w:bookmarkStart w:id="73" w:name="_Toc133141049"/>
      <w:r>
        <w:rPr>
          <w:rFonts w:hint="eastAsia" w:ascii="仿宋" w:hAnsi="仿宋" w:eastAsia="仿宋" w:cs="仿宋"/>
          <w:sz w:val="28"/>
          <w:szCs w:val="21"/>
        </w:rPr>
        <w:t>（三）</w:t>
      </w:r>
      <w:bookmarkEnd w:id="70"/>
      <w:bookmarkEnd w:id="71"/>
      <w:bookmarkEnd w:id="72"/>
      <w:r>
        <w:rPr>
          <w:rFonts w:hint="eastAsia" w:ascii="仿宋" w:hAnsi="仿宋" w:eastAsia="仿宋" w:cs="仿宋"/>
          <w:sz w:val="28"/>
          <w:szCs w:val="21"/>
        </w:rPr>
        <w:t>提升日常维修维护工作及时性</w:t>
      </w:r>
      <w:bookmarkEnd w:id="73"/>
    </w:p>
    <w:p w14:paraId="409F0E48">
      <w:pPr>
        <w:spacing w:before="190" w:beforeLines="50" w:after="190" w:afterLines="50" w:line="360" w:lineRule="auto"/>
        <w:ind w:firstLine="560"/>
        <w:rPr>
          <w:rFonts w:ascii="仿宋" w:hAnsi="仿宋" w:eastAsia="仿宋"/>
          <w:sz w:val="36"/>
          <w:szCs w:val="36"/>
          <w:lang w:bidi="en-US"/>
        </w:rPr>
      </w:pPr>
      <w:r>
        <w:rPr>
          <w:rFonts w:hint="eastAsia" w:ascii="仿宋" w:hAnsi="仿宋" w:eastAsia="仿宋" w:cs="仿宋"/>
          <w:color w:val="000000" w:themeColor="text1"/>
          <w:szCs w:val="40"/>
          <w14:textFill>
            <w14:solidFill>
              <w14:schemeClr w14:val="tx1"/>
            </w14:solidFill>
          </w14:textFill>
        </w:rPr>
        <w:t xml:space="preserve">建议进一步加大场馆内巡查保障力度，针对发现的各类需要维修问题，及时通知维修保障部门进点维修，在维修过程中，明确维修责任人和完成时限，及时有序开展维修工作，夯实维修复原工作质量，避免出现公共区域墙面、地面等区域及消防设备失修等情况。同时，完善物业维修人员培训、管理、监督机制，认真落实维修人员在岗培训。 </w:t>
      </w:r>
    </w:p>
    <w:p w14:paraId="0A942747">
      <w:pPr>
        <w:pStyle w:val="3"/>
        <w:ind w:firstLine="0" w:firstLineChars="0"/>
        <w:jc w:val="left"/>
        <w:rPr>
          <w:rFonts w:ascii="仿宋" w:hAnsi="仿宋" w:eastAsia="仿宋"/>
          <w:sz w:val="36"/>
          <w:szCs w:val="36"/>
          <w:lang w:bidi="en-US"/>
        </w:rPr>
      </w:pPr>
      <w:r>
        <w:rPr>
          <w:rFonts w:hint="eastAsia" w:ascii="仿宋" w:hAnsi="仿宋" w:eastAsia="仿宋"/>
          <w:sz w:val="36"/>
          <w:szCs w:val="36"/>
          <w:lang w:bidi="en-US"/>
        </w:rPr>
        <w:t>七、其他需要说明的问题</w:t>
      </w:r>
      <w:bookmarkEnd w:id="58"/>
      <w:bookmarkEnd w:id="68"/>
    </w:p>
    <w:p w14:paraId="5A48DA13">
      <w:pPr>
        <w:spacing w:line="360" w:lineRule="auto"/>
        <w:ind w:firstLine="560"/>
        <w:rPr>
          <w:rFonts w:ascii="仿宋_GB2312"/>
          <w:szCs w:val="28"/>
        </w:rPr>
      </w:pPr>
      <w:r>
        <w:rPr>
          <w:rFonts w:hint="eastAsia" w:ascii="仿宋_GB2312"/>
          <w:szCs w:val="28"/>
        </w:rPr>
        <w:t>1</w:t>
      </w:r>
      <w:r>
        <w:rPr>
          <w:rFonts w:ascii="仿宋_GB2312"/>
          <w:szCs w:val="28"/>
        </w:rPr>
        <w:t>.</w:t>
      </w:r>
      <w:r>
        <w:rPr>
          <w:rFonts w:hint="eastAsia" w:ascii="仿宋_GB2312"/>
          <w:szCs w:val="28"/>
        </w:rPr>
        <w:t>项目支出政策和路径设计科学，符合实际需要；目前乌鲁木齐市公共文化设施滞后，对于发展新型文化业态，提高文化产业规模化、集约化、专业化水平具有制约作用。文化中心的建设，正是解决这一问题的重要举措。</w:t>
      </w:r>
    </w:p>
    <w:p w14:paraId="5F47EEE6">
      <w:pPr>
        <w:spacing w:line="560" w:lineRule="exact"/>
        <w:ind w:firstLine="560"/>
        <w:rPr>
          <w:rFonts w:ascii="仿宋_GB2312"/>
        </w:rPr>
      </w:pPr>
      <w:r>
        <w:rPr>
          <w:rFonts w:hint="eastAsia" w:ascii="仿宋_GB2312"/>
          <w:szCs w:val="28"/>
        </w:rPr>
        <w:t>2</w:t>
      </w:r>
      <w:r>
        <w:rPr>
          <w:rFonts w:ascii="仿宋_GB2312"/>
          <w:szCs w:val="28"/>
        </w:rPr>
        <w:t>.</w:t>
      </w:r>
      <w:r>
        <w:rPr>
          <w:rFonts w:hint="eastAsia" w:ascii="仿宋_GB2312"/>
          <w:szCs w:val="28"/>
        </w:rPr>
        <w:t>项目的申报、审核机制完善；</w:t>
      </w:r>
      <w:r>
        <w:rPr>
          <w:rFonts w:hint="eastAsia" w:ascii="仿宋_GB2312"/>
        </w:rPr>
        <w:t>2013年4月9日，市委、市政府组织召开专会中提出成立乌鲁木齐文化传媒投资有限公司（以下简称文化传媒公司）负责投融资工作。2013年4月27日，《关于对乌鲁木齐文化中心建设项目立项的批复》</w:t>
      </w:r>
      <w:r>
        <w:rPr>
          <w:rFonts w:hint="eastAsia" w:ascii="仿宋_GB2312"/>
          <w:lang w:eastAsia="zh-CN"/>
        </w:rPr>
        <w:t>（</w:t>
      </w:r>
      <w:r>
        <w:rPr>
          <w:rFonts w:hint="eastAsia" w:ascii="仿宋_GB2312"/>
        </w:rPr>
        <w:t>乌发改函[2013]256号</w:t>
      </w:r>
      <w:r>
        <w:rPr>
          <w:rFonts w:hint="eastAsia" w:ascii="仿宋_GB2312"/>
          <w:lang w:eastAsia="zh-CN"/>
        </w:rPr>
        <w:t>）</w:t>
      </w:r>
      <w:r>
        <w:rPr>
          <w:rFonts w:hint="eastAsia" w:ascii="仿宋_GB2312"/>
        </w:rPr>
        <w:t>明确文化中心建设内容由六馆一塔组成，总建筑面积为240853平方米，项目资金来源以政府投资和社会融资结合的方式解决。2013年5月20日乌鲁木齐市城乡规划管理局发放《建设用地规划许可</w:t>
      </w:r>
      <w:bookmarkStart w:id="74" w:name="_GoBack"/>
      <w:bookmarkEnd w:id="74"/>
      <w:r>
        <w:rPr>
          <w:rFonts w:hint="eastAsia" w:ascii="仿宋_GB2312"/>
        </w:rPr>
        <w:t>证》。2014年5月12日，乌鲁木齐市发改委在《关于对乌鲁木齐市文化中心建设项目初步设计的批复》</w:t>
      </w:r>
      <w:r>
        <w:rPr>
          <w:rFonts w:hint="eastAsia" w:ascii="仿宋_GB2312"/>
          <w:lang w:eastAsia="zh-CN"/>
        </w:rPr>
        <w:t>（</w:t>
      </w:r>
      <w:r>
        <w:rPr>
          <w:rFonts w:hint="eastAsia" w:ascii="仿宋_GB2312"/>
        </w:rPr>
        <w:t>乌发改函[2014]172号</w:t>
      </w:r>
      <w:r>
        <w:rPr>
          <w:rFonts w:hint="eastAsia" w:ascii="仿宋_GB2312"/>
          <w:lang w:eastAsia="zh-CN"/>
        </w:rPr>
        <w:t>）</w:t>
      </w:r>
      <w:r>
        <w:rPr>
          <w:rFonts w:hint="eastAsia" w:ascii="仿宋_GB2312"/>
        </w:rPr>
        <w:t>明确乌鲁木齐市文化中心项目总建筑面积246248平方米，最大建筑高度为75米，项目总投资380908.86万元。2016年12月13日，乌鲁木齐市发改委在《关于调增市文化中心项目建筑面积及变更相关建设内容名称的通知》</w:t>
      </w:r>
      <w:r>
        <w:rPr>
          <w:rFonts w:hint="eastAsia" w:ascii="仿宋_GB2312"/>
          <w:lang w:eastAsia="zh-CN"/>
        </w:rPr>
        <w:t>（</w:t>
      </w:r>
      <w:r>
        <w:rPr>
          <w:rFonts w:hint="eastAsia" w:ascii="仿宋_GB2312"/>
        </w:rPr>
        <w:t>乌发改函[2016]605号</w:t>
      </w:r>
      <w:r>
        <w:rPr>
          <w:rFonts w:hint="eastAsia" w:ascii="仿宋_GB2312"/>
          <w:lang w:eastAsia="zh-CN"/>
        </w:rPr>
        <w:t>）</w:t>
      </w:r>
      <w:r>
        <w:rPr>
          <w:rFonts w:hint="eastAsia" w:ascii="仿宋_GB2312"/>
        </w:rPr>
        <w:t>中同意调增乌鲁木齐市文化中心项目建筑面积，由246248平方米调增为247980.14平方米，总建筑面积合计增加1732.14平方米。2017年7月，根据国家财政部相关通知精神，该项目调整为 PPP 项目，12月5日乌鲁木齐市发改委在《关于调整市文化中心项目初步设计批复业主单位的批复》中将市文化中心项目业主单位由文化传媒公司变更为市文化局（新闻出版、版权局）。2019年3月完成 PPP 项目入库；4月文化传媒公司与市文化和旅游局（市文物局）签订 PPP 项目合同，甲方为市文旅局</w:t>
      </w:r>
      <w:r>
        <w:rPr>
          <w:rFonts w:hint="eastAsia" w:ascii="仿宋_GB2312"/>
          <w:lang w:eastAsia="zh-CN"/>
        </w:rPr>
        <w:t>（原）</w:t>
      </w:r>
      <w:r>
        <w:rPr>
          <w:rFonts w:hint="eastAsia" w:ascii="仿宋_GB2312"/>
        </w:rPr>
        <w:t>，</w:t>
      </w:r>
      <w:r>
        <w:rPr>
          <w:rFonts w:hint="eastAsia" w:ascii="仿宋_GB2312"/>
          <w:lang w:eastAsia="zh-CN"/>
        </w:rPr>
        <w:t>现市文广旅局，</w:t>
      </w:r>
      <w:r>
        <w:rPr>
          <w:rFonts w:hint="eastAsia" w:ascii="仿宋_GB2312"/>
        </w:rPr>
        <w:t>乙方为文化传媒公司，项目运作方式为 BOO ，甲方负责各项审批、核准、备案手续，乙方负责承担项目的建设、投资、运营和维护职责。6月25日，《关于变更市文化中心项目法人和调整项目建筑面积的函》</w:t>
      </w:r>
      <w:r>
        <w:rPr>
          <w:rFonts w:hint="eastAsia" w:ascii="仿宋_GB2312"/>
          <w:lang w:eastAsia="zh-CN"/>
        </w:rPr>
        <w:t>（</w:t>
      </w:r>
      <w:r>
        <w:rPr>
          <w:rFonts w:hint="eastAsia" w:ascii="仿宋_GB2312"/>
        </w:rPr>
        <w:t>乌发改函[2019]373号</w:t>
      </w:r>
      <w:r>
        <w:rPr>
          <w:rFonts w:hint="eastAsia" w:ascii="仿宋_GB2312"/>
          <w:lang w:eastAsia="zh-CN"/>
        </w:rPr>
        <w:t>）</w:t>
      </w:r>
      <w:r>
        <w:rPr>
          <w:rFonts w:hint="eastAsia" w:ascii="仿宋_GB2312"/>
        </w:rPr>
        <w:t>中明确项目法人由原市文化局（市文物局）变更为文化传媒公司。</w:t>
      </w:r>
    </w:p>
    <w:p w14:paraId="25C7F5D5">
      <w:pPr>
        <w:spacing w:line="360" w:lineRule="auto"/>
        <w:ind w:firstLine="560"/>
        <w:rPr>
          <w:rFonts w:ascii="仿宋_GB2312"/>
          <w:szCs w:val="28"/>
        </w:rPr>
      </w:pPr>
      <w:r>
        <w:rPr>
          <w:rFonts w:hint="eastAsia" w:ascii="仿宋_GB2312"/>
          <w:szCs w:val="28"/>
        </w:rPr>
        <w:t>3</w:t>
      </w:r>
      <w:r>
        <w:rPr>
          <w:rFonts w:ascii="仿宋_GB2312"/>
          <w:szCs w:val="28"/>
        </w:rPr>
        <w:t>.</w:t>
      </w:r>
      <w:r>
        <w:rPr>
          <w:rFonts w:hint="eastAsia" w:ascii="仿宋_GB2312"/>
          <w:szCs w:val="28"/>
        </w:rPr>
        <w:t>未发现虚假行为和骗取财政资金的问题。该项目合同约定，在项目延续期间，每年进行PPP考核，由第三方资质公司对该项目实施过程进行考核，并不定期进行审计检查，并未发现虚假行为。</w:t>
      </w:r>
    </w:p>
    <w:sectPr>
      <w:headerReference r:id="rId13" w:type="default"/>
      <w:footerReference r:id="rId14" w:type="default"/>
      <w:footnotePr>
        <w:numFmt w:val="decimalEnclosedCircleChinese"/>
        <w:numRestart w:val="eachPage"/>
      </w:footnotePr>
      <w:type w:val="continuous"/>
      <w:pgSz w:w="11906" w:h="16838"/>
      <w:pgMar w:top="1440" w:right="1800" w:bottom="1440" w:left="1800" w:header="992"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Gungsuh">
    <w:panose1 w:val="02030600000101010101"/>
    <w:charset w:val="81"/>
    <w:family w:val="roman"/>
    <w:pitch w:val="default"/>
    <w:sig w:usb0="B00002AF" w:usb1="69D77CFB" w:usb2="00000030" w:usb3="00000000" w:csb0="4008009F" w:csb1="DFD70000"/>
  </w:font>
  <w:font w:name="华文宋体">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C58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B7FD2">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9479E">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182009"/>
    </w:sdtPr>
    <w:sdtEndPr>
      <w:rPr>
        <w:rFonts w:hint="eastAsia" w:ascii="仿宋_GB2312" w:eastAsia="仿宋_GB2312"/>
        <w:sz w:val="21"/>
        <w:szCs w:val="21"/>
      </w:rPr>
    </w:sdtEndPr>
    <w:sdtContent>
      <w:p w14:paraId="3AF881C6">
        <w:pPr>
          <w:pStyle w:val="9"/>
          <w:ind w:firstLine="560"/>
          <w:jc w:val="center"/>
          <w:rPr>
            <w:rFonts w:ascii="仿宋_GB2312" w:eastAsia="仿宋_GB2312"/>
            <w:sz w:val="21"/>
            <w:szCs w:val="21"/>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14</w:t>
        </w:r>
        <w:r>
          <w:rPr>
            <w:rFonts w:hint="eastAsia" w:ascii="仿宋_GB2312" w:eastAsia="仿宋_GB2312"/>
            <w:sz w:val="21"/>
            <w:szCs w:val="21"/>
          </w:rPr>
          <w:fldChar w:fldCharType="end"/>
        </w:r>
      </w:p>
    </w:sdtContent>
  </w:sdt>
  <w:p w14:paraId="35FB56CD">
    <w:pPr>
      <w:pStyle w:val="9"/>
      <w:rPr>
        <w:rFonts w:ascii="仿宋_GB2312" w:eastAsia="仿宋_GB2312"/>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1836155"/>
    </w:sdtPr>
    <w:sdtEndPr>
      <w:rPr>
        <w:rFonts w:hint="eastAsia" w:ascii="仿宋_GB2312" w:eastAsia="仿宋_GB2312"/>
        <w:sz w:val="21"/>
        <w:szCs w:val="21"/>
      </w:rPr>
    </w:sdtEndPr>
    <w:sdtContent>
      <w:p w14:paraId="5D163EC6">
        <w:pPr>
          <w:pStyle w:val="9"/>
          <w:ind w:firstLine="560"/>
          <w:jc w:val="center"/>
          <w:rPr>
            <w:rFonts w:ascii="仿宋_GB2312" w:eastAsia="仿宋_GB2312"/>
            <w:sz w:val="21"/>
            <w:szCs w:val="21"/>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29</w:t>
        </w:r>
        <w:r>
          <w:rPr>
            <w:rFonts w:hint="eastAsia" w:ascii="仿宋_GB2312" w:eastAsia="仿宋_GB2312"/>
            <w:sz w:val="21"/>
            <w:szCs w:val="21"/>
          </w:rPr>
          <w:fldChar w:fldCharType="end"/>
        </w:r>
      </w:p>
    </w:sdtContent>
  </w:sdt>
  <w:p w14:paraId="139C5B88">
    <w:pPr>
      <w:pStyle w:val="9"/>
      <w:rPr>
        <w:rFonts w:ascii="仿宋_GB2312" w:eastAsia="仿宋_GB231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ind w:firstLine="560"/>
      </w:pPr>
      <w:r>
        <w:separator/>
      </w:r>
    </w:p>
  </w:footnote>
  <w:footnote w:type="continuationSeparator" w:id="5">
    <w:p>
      <w:pPr>
        <w:ind w:firstLine="560"/>
      </w:pPr>
      <w:r>
        <w:continuationSeparator/>
      </w:r>
    </w:p>
  </w:footnote>
  <w:footnote w:id="0">
    <w:p w14:paraId="5D4A59F4">
      <w:pPr>
        <w:pStyle w:val="12"/>
        <w:ind w:firstLine="0" w:firstLineChars="0"/>
        <w:jc w:val="both"/>
        <w:rPr>
          <w:rFonts w:ascii="仿宋_GB2312"/>
        </w:rPr>
      </w:pPr>
      <w:r>
        <w:rPr>
          <w:rStyle w:val="20"/>
          <w:rFonts w:hint="eastAsia" w:ascii="仿宋_GB2312"/>
        </w:rPr>
        <w:footnoteRef/>
      </w:r>
      <w:r>
        <w:rPr>
          <w:rFonts w:hint="eastAsia" w:ascii="仿宋_GB2312"/>
        </w:rPr>
        <w:t xml:space="preserve"> 前期准备主要包括实地调研和认真研读相关文件，根据绩效评价的基本原理、原则和项目特点，结合项目绩效目标，项目绩效评组制定了评价指标体系、评分标准、评价方法和相关的工作程序及步骤，形成评价初步方案。</w:t>
      </w:r>
    </w:p>
  </w:footnote>
  <w:footnote w:id="1">
    <w:p w14:paraId="4F389820">
      <w:pPr>
        <w:pStyle w:val="12"/>
        <w:ind w:firstLine="0" w:firstLineChars="0"/>
        <w:jc w:val="both"/>
        <w:rPr>
          <w:rFonts w:ascii="仿宋_GB2312"/>
        </w:rPr>
      </w:pPr>
      <w:r>
        <w:rPr>
          <w:rFonts w:hint="eastAsia" w:ascii="仿宋_GB2312"/>
        </w:rPr>
        <w:t>本次绩效评价结果实施百分制和四级分类，其中90（含）-100分为优、80（含）-90分为良、</w:t>
      </w:r>
      <w:r>
        <w:rPr>
          <w:rFonts w:ascii="仿宋_GB2312"/>
        </w:rPr>
        <w:t>7</w:t>
      </w:r>
      <w:r>
        <w:rPr>
          <w:rFonts w:hint="eastAsia" w:ascii="仿宋_GB2312"/>
        </w:rPr>
        <w:t>0（含）-80分为中、</w:t>
      </w:r>
      <w:r>
        <w:rPr>
          <w:rFonts w:ascii="仿宋_GB2312"/>
        </w:rPr>
        <w:t>7</w:t>
      </w:r>
      <w:r>
        <w:rPr>
          <w:rFonts w:hint="eastAsia" w:ascii="仿宋_GB2312"/>
        </w:rPr>
        <w:t>0分以下为差。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1FFD">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667F">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30AF2">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20532">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85DC8">
    <w:pPr>
      <w:pStyle w:val="10"/>
      <w:ind w:firstLine="560"/>
      <w:jc w:val="right"/>
      <w:rPr>
        <w:rFonts w:ascii="仿宋_GB2312" w:eastAsia="仿宋_GB2312"/>
        <w:sz w:val="21"/>
        <w:szCs w:val="21"/>
      </w:rPr>
    </w:pPr>
    <w:r>
      <w:rPr>
        <w:rFonts w:hint="eastAsia" w:ascii="仿宋_GB2312" w:eastAsia="仿宋_GB2312"/>
        <w:sz w:val="21"/>
        <w:szCs w:val="21"/>
      </w:rPr>
      <w:t>部门项目报告模板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A9834"/>
    <w:multiLevelType w:val="singleLevel"/>
    <w:tmpl w:val="578A983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40"/>
  <w:drawingGridVerticalSpacing w:val="38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174C1"/>
    <w:rsid w:val="35356E17"/>
    <w:rsid w:val="43212404"/>
    <w:rsid w:val="4C1166DC"/>
    <w:rsid w:val="5247460D"/>
    <w:rsid w:val="6FEF287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00" w:firstLineChars="200"/>
      <w:jc w:val="both"/>
    </w:pPr>
    <w:rPr>
      <w:rFonts w:ascii="Calibri" w:hAnsi="Calibri" w:eastAsia="仿宋_GB2312" w:cs="黑体"/>
      <w:kern w:val="2"/>
      <w:sz w:val="28"/>
      <w:szCs w:val="22"/>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ind w:firstLine="420"/>
      <w:textAlignment w:val="baseline"/>
    </w:pPr>
  </w:style>
  <w:style w:type="paragraph" w:styleId="6">
    <w:name w:val="toc 3"/>
    <w:basedOn w:val="1"/>
    <w:next w:val="1"/>
    <w:unhideWhenUsed/>
    <w:qFormat/>
    <w:uiPriority w:val="39"/>
    <w:pPr>
      <w:ind w:left="840" w:leftChars="400"/>
    </w:pPr>
  </w:style>
  <w:style w:type="paragraph" w:styleId="7">
    <w:name w:val="Date"/>
    <w:basedOn w:val="1"/>
    <w:next w:val="1"/>
    <w:link w:val="26"/>
    <w:semiHidden/>
    <w:unhideWhenUsed/>
    <w:qFormat/>
    <w:uiPriority w:val="99"/>
    <w:pPr>
      <w:ind w:left="100" w:leftChars="2500"/>
    </w:pPr>
  </w:style>
  <w:style w:type="paragraph" w:styleId="8">
    <w:name w:val="Balloon Text"/>
    <w:basedOn w:val="1"/>
    <w:link w:val="35"/>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ind w:firstLine="0" w:firstLineChars="0"/>
      <w:jc w:val="left"/>
    </w:pPr>
    <w:rPr>
      <w:rFonts w:asciiTheme="minorHAnsi" w:hAnsiTheme="minorHAnsi" w:eastAsiaTheme="minorEastAsia" w:cstheme="minorBidi"/>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ind w:firstLine="0" w:firstLineChars="0"/>
      <w:jc w:val="center"/>
    </w:pPr>
    <w:rPr>
      <w:rFonts w:asciiTheme="minorHAnsi" w:hAnsiTheme="minorHAnsi" w:eastAsiaTheme="minorEastAsia" w:cstheme="minorBidi"/>
      <w:sz w:val="18"/>
      <w:szCs w:val="18"/>
    </w:rPr>
  </w:style>
  <w:style w:type="paragraph" w:styleId="11">
    <w:name w:val="toc 1"/>
    <w:basedOn w:val="1"/>
    <w:next w:val="1"/>
    <w:unhideWhenUsed/>
    <w:qFormat/>
    <w:uiPriority w:val="39"/>
  </w:style>
  <w:style w:type="paragraph" w:styleId="12">
    <w:name w:val="footnote text"/>
    <w:basedOn w:val="1"/>
    <w:link w:val="28"/>
    <w:semiHidden/>
    <w:unhideWhenUsed/>
    <w:qFormat/>
    <w:uiPriority w:val="99"/>
    <w:pPr>
      <w:snapToGrid w:val="0"/>
      <w:jc w:val="left"/>
    </w:pPr>
    <w:rPr>
      <w:sz w:val="18"/>
      <w:szCs w:val="18"/>
    </w:rPr>
  </w:style>
  <w:style w:type="paragraph" w:styleId="13">
    <w:name w:val="toc 2"/>
    <w:basedOn w:val="1"/>
    <w:next w:val="1"/>
    <w:unhideWhenUsed/>
    <w:qFormat/>
    <w:uiPriority w:val="39"/>
    <w:pPr>
      <w:ind w:left="420" w:leftChars="200"/>
    </w:pPr>
  </w:style>
  <w:style w:type="paragraph" w:styleId="14">
    <w:name w:val="Normal (Web)"/>
    <w:basedOn w:val="1"/>
    <w:semiHidden/>
    <w:unhideWhenUsed/>
    <w:qFormat/>
    <w:uiPriority w:val="99"/>
    <w:rPr>
      <w:sz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footnote reference"/>
    <w:basedOn w:val="17"/>
    <w:semiHidden/>
    <w:unhideWhenUsed/>
    <w:qFormat/>
    <w:uiPriority w:val="99"/>
    <w:rPr>
      <w:vertAlign w:val="superscript"/>
    </w:rPr>
  </w:style>
  <w:style w:type="paragraph" w:customStyle="1" w:styleId="21">
    <w:name w:val="Comment Text"/>
    <w:basedOn w:val="1"/>
    <w:link w:val="33"/>
    <w:unhideWhenUsed/>
    <w:qFormat/>
    <w:uiPriority w:val="99"/>
    <w:pPr>
      <w:jc w:val="left"/>
    </w:pPr>
  </w:style>
  <w:style w:type="paragraph" w:customStyle="1" w:styleId="22">
    <w:name w:val="Comment Subject"/>
    <w:basedOn w:val="21"/>
    <w:next w:val="21"/>
    <w:link w:val="34"/>
    <w:semiHidden/>
    <w:unhideWhenUsed/>
    <w:qFormat/>
    <w:uiPriority w:val="99"/>
    <w:rPr>
      <w:b/>
      <w:bCs/>
    </w:rPr>
  </w:style>
  <w:style w:type="character" w:customStyle="1" w:styleId="23">
    <w:name w:val="Comment Reference"/>
    <w:basedOn w:val="17"/>
    <w:semiHidden/>
    <w:unhideWhenUsed/>
    <w:qFormat/>
    <w:uiPriority w:val="99"/>
    <w:rPr>
      <w:sz w:val="21"/>
      <w:szCs w:val="21"/>
    </w:rPr>
  </w:style>
  <w:style w:type="character" w:customStyle="1" w:styleId="24">
    <w:name w:val="页眉 Char"/>
    <w:basedOn w:val="17"/>
    <w:link w:val="10"/>
    <w:qFormat/>
    <w:uiPriority w:val="99"/>
    <w:rPr>
      <w:sz w:val="18"/>
      <w:szCs w:val="18"/>
    </w:rPr>
  </w:style>
  <w:style w:type="character" w:customStyle="1" w:styleId="25">
    <w:name w:val="页脚 Char"/>
    <w:basedOn w:val="17"/>
    <w:link w:val="9"/>
    <w:qFormat/>
    <w:uiPriority w:val="99"/>
    <w:rPr>
      <w:sz w:val="18"/>
      <w:szCs w:val="18"/>
    </w:rPr>
  </w:style>
  <w:style w:type="character" w:customStyle="1" w:styleId="26">
    <w:name w:val="日期 Char"/>
    <w:basedOn w:val="17"/>
    <w:link w:val="7"/>
    <w:semiHidden/>
    <w:qFormat/>
    <w:uiPriority w:val="99"/>
    <w:rPr>
      <w:rFonts w:ascii="Calibri" w:hAnsi="Calibri" w:eastAsia="仿宋_GB2312" w:cs="黑体"/>
      <w:sz w:val="28"/>
    </w:rPr>
  </w:style>
  <w:style w:type="character" w:customStyle="1" w:styleId="27">
    <w:name w:val="标题 2 Char"/>
    <w:basedOn w:val="17"/>
    <w:link w:val="4"/>
    <w:qFormat/>
    <w:uiPriority w:val="9"/>
    <w:rPr>
      <w:rFonts w:asciiTheme="majorHAnsi" w:hAnsiTheme="majorHAnsi" w:eastAsiaTheme="majorEastAsia" w:cstheme="majorBidi"/>
      <w:b/>
      <w:bCs/>
      <w:sz w:val="32"/>
      <w:szCs w:val="32"/>
    </w:rPr>
  </w:style>
  <w:style w:type="character" w:customStyle="1" w:styleId="28">
    <w:name w:val="脚注文本 Char"/>
    <w:basedOn w:val="17"/>
    <w:link w:val="12"/>
    <w:semiHidden/>
    <w:qFormat/>
    <w:uiPriority w:val="99"/>
    <w:rPr>
      <w:rFonts w:ascii="Calibri" w:hAnsi="Calibri" w:eastAsia="仿宋_GB2312" w:cs="黑体"/>
      <w:sz w:val="18"/>
      <w:szCs w:val="18"/>
    </w:rPr>
  </w:style>
  <w:style w:type="paragraph" w:styleId="29">
    <w:name w:val="List Paragraph"/>
    <w:basedOn w:val="1"/>
    <w:qFormat/>
    <w:uiPriority w:val="34"/>
    <w:pPr>
      <w:ind w:firstLine="420"/>
    </w:pPr>
  </w:style>
  <w:style w:type="table" w:customStyle="1" w:styleId="30">
    <w:name w:val="网格型1"/>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标题 1 Char"/>
    <w:basedOn w:val="17"/>
    <w:link w:val="3"/>
    <w:qFormat/>
    <w:uiPriority w:val="9"/>
    <w:rPr>
      <w:rFonts w:ascii="Calibri" w:hAnsi="Calibri" w:eastAsia="仿宋_GB2312" w:cs="黑体"/>
      <w:b/>
      <w:bCs/>
      <w:kern w:val="44"/>
      <w:sz w:val="44"/>
      <w:szCs w:val="44"/>
    </w:rPr>
  </w:style>
  <w:style w:type="paragraph" w:customStyle="1" w:styleId="32">
    <w:name w:val="TOC 标题1"/>
    <w:basedOn w:val="3"/>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3">
    <w:name w:val="批注文字 Char"/>
    <w:basedOn w:val="17"/>
    <w:link w:val="21"/>
    <w:qFormat/>
    <w:uiPriority w:val="99"/>
    <w:rPr>
      <w:rFonts w:ascii="Calibri" w:hAnsi="Calibri" w:eastAsia="仿宋_GB2312" w:cs="黑体"/>
      <w:sz w:val="28"/>
    </w:rPr>
  </w:style>
  <w:style w:type="character" w:customStyle="1" w:styleId="34">
    <w:name w:val="批注主题 Char"/>
    <w:basedOn w:val="33"/>
    <w:link w:val="22"/>
    <w:semiHidden/>
    <w:qFormat/>
    <w:uiPriority w:val="99"/>
    <w:rPr>
      <w:rFonts w:ascii="Calibri" w:hAnsi="Calibri" w:eastAsia="仿宋_GB2312" w:cs="黑体"/>
      <w:b/>
      <w:bCs/>
      <w:sz w:val="28"/>
    </w:rPr>
  </w:style>
  <w:style w:type="character" w:customStyle="1" w:styleId="35">
    <w:name w:val="批注框文本 Char"/>
    <w:basedOn w:val="17"/>
    <w:link w:val="8"/>
    <w:semiHidden/>
    <w:qFormat/>
    <w:uiPriority w:val="99"/>
    <w:rPr>
      <w:rFonts w:ascii="Calibri" w:hAnsi="Calibri" w:eastAsia="仿宋_GB2312" w:cs="黑体"/>
      <w:sz w:val="18"/>
      <w:szCs w:val="18"/>
    </w:rPr>
  </w:style>
  <w:style w:type="character" w:customStyle="1" w:styleId="36">
    <w:name w:val="标题 3 Char"/>
    <w:basedOn w:val="17"/>
    <w:link w:val="5"/>
    <w:qFormat/>
    <w:uiPriority w:val="9"/>
    <w:rPr>
      <w:rFonts w:ascii="Calibri" w:hAnsi="Calibri" w:eastAsia="仿宋_GB2312" w:cs="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eyJoZGlkIjoiMzRlN2Y0MjQ1YzBlZjQ4Yjc3MTg2OTNlZGVjNmMyMmIiLCJ1c2VySWQiOiIzMTM3MTE3NzcifQ==</vt:lpwstr>
  </property>
  <property fmtid="{D5CDD505-2E9C-101B-9397-08002B2CF9AE}" pid="3" name="KSOProductBuildVer">
    <vt:lpwstr>2052-12.8.2.18205</vt:lpwstr>
  </property>
  <property fmtid="{D5CDD505-2E9C-101B-9397-08002B2CF9AE}" pid="4" name="ICV">
    <vt:lpwstr>3119C516842A44AD87D60667D6CF4E2B_12</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1b2c3-377f-4a55-b56e-9fee128f38dc}">
  <ds:schemaRefs/>
</ds:datastoreItem>
</file>

<file path=customXml/itemProps2.xml><?xml version="1.0" encoding="utf-8"?>
<ds:datastoreItem xmlns:ds="http://schemas.openxmlformats.org/officeDocument/2006/customXml" ds:itemID="{8C44B531-C160-496C-A193-E0FD7500FB06}">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13730</Words>
  <Characters>14596</Characters>
  <Lines>127</Lines>
  <Paragraphs>35</Paragraphs>
  <TotalTime>9</TotalTime>
  <ScaleCrop>false</ScaleCrop>
  <LinksUpToDate>false</LinksUpToDate>
  <CharactersWithSpaces>14756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2024-04-12T07:46:00Z</dcterms:created>
  <dc:creator>张 宇</dc:creator>
  <cp:lastModifiedBy>Administrator</cp:lastModifiedBy>
  <cp:lastPrinted>2025-05-23T08:18:00Z</cp:lastPrinted>
  <dcterms:modified xsi:type="dcterms:W3CDTF">2025-10-10T11:37:51Z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eyJoZGlkIjoiMzRlN2Y0MjQ1YzBlZjQ4Yjc3MTg2OTNlZGVjNmMyMmIiLCJ1c2VySWQiOiIzMTM3MTE3NzcifQ_x003D__x003D_</vt:lpwstr>
  </property>
  <property fmtid="{D5CDD505-2E9C-101B-9397-08002B2CF9AE}" pid="3" name="KSOProductBuildVer">
    <vt:lpwstr>2052-12.8.2.18205</vt:lpwstr>
  </property>
  <property fmtid="{D5CDD505-2E9C-101B-9397-08002B2CF9AE}" pid="4" name="ICV">
    <vt:lpwstr>3119C516842A44AD87D60667D6CF4E2B_12</vt:lpwstr>
  </property>
</Properties>
</file>