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A45E8">
      <w:pPr>
        <w:spacing w:line="480" w:lineRule="auto"/>
        <w:ind w:firstLine="0" w:firstLineChars="0"/>
        <w:rPr>
          <w:rFonts w:ascii="Times New Roman" w:hAnsi="Times New Roman" w:eastAsia="黑体" w:cs="Times New Roman"/>
          <w:b/>
          <w:kern w:val="0"/>
          <w:sz w:val="50"/>
          <w:szCs w:val="50"/>
        </w:rPr>
      </w:pPr>
    </w:p>
    <w:p w14:paraId="01B9D199">
      <w:pPr>
        <w:spacing w:line="480" w:lineRule="auto"/>
        <w:ind w:firstLine="0" w:firstLineChars="0"/>
        <w:rPr>
          <w:rFonts w:ascii="Times New Roman" w:hAnsi="Times New Roman" w:eastAsia="黑体" w:cs="Times New Roman"/>
          <w:b/>
          <w:kern w:val="0"/>
          <w:sz w:val="50"/>
          <w:szCs w:val="50"/>
        </w:rPr>
      </w:pPr>
    </w:p>
    <w:p w14:paraId="74E70EC2">
      <w:pPr>
        <w:spacing w:line="480" w:lineRule="auto"/>
        <w:ind w:firstLine="0" w:firstLineChars="0"/>
        <w:jc w:val="center"/>
        <w:rPr>
          <w:rFonts w:ascii="Times New Roman" w:hAnsi="Times New Roman" w:eastAsia="黑体" w:cs="Times New Roman"/>
          <w:b/>
          <w:kern w:val="0"/>
          <w:sz w:val="50"/>
          <w:szCs w:val="50"/>
        </w:rPr>
      </w:pPr>
    </w:p>
    <w:p w14:paraId="767C3DF8">
      <w:pPr>
        <w:spacing w:before="120" w:after="120" w:line="480" w:lineRule="auto"/>
        <w:ind w:firstLine="0" w:firstLineChars="0"/>
        <w:jc w:val="center"/>
        <w:rPr>
          <w:rFonts w:ascii="Times New Roman" w:hAnsi="Times New Roman" w:cs="Times New Roman"/>
          <w:b/>
          <w:sz w:val="44"/>
          <w:szCs w:val="44"/>
        </w:rPr>
      </w:pPr>
      <w:r>
        <w:rPr>
          <w:rFonts w:hint="eastAsia" w:ascii="Times New Roman" w:hAnsi="Times New Roman" w:cs="Times New Roman"/>
          <w:b/>
          <w:sz w:val="44"/>
          <w:szCs w:val="44"/>
        </w:rPr>
        <w:t>财政项目支出绩效评价报告</w:t>
      </w:r>
    </w:p>
    <w:p w14:paraId="147F9F4F">
      <w:pPr>
        <w:spacing w:line="480" w:lineRule="auto"/>
        <w:ind w:firstLine="0" w:firstLineChars="0"/>
        <w:jc w:val="center"/>
        <w:rPr>
          <w:rFonts w:ascii="Times New Roman" w:hAnsi="Times New Roman" w:eastAsia="黑体" w:cs="Times New Roman"/>
          <w:b/>
          <w:kern w:val="0"/>
          <w:sz w:val="50"/>
          <w:szCs w:val="50"/>
        </w:rPr>
      </w:pPr>
    </w:p>
    <w:p w14:paraId="0DDF9F6B">
      <w:pPr>
        <w:spacing w:line="480" w:lineRule="auto"/>
        <w:ind w:firstLine="0" w:firstLineChars="0"/>
        <w:jc w:val="center"/>
        <w:rPr>
          <w:rFonts w:ascii="Times New Roman" w:hAnsi="Times New Roman" w:eastAsia="黑体" w:cs="Times New Roman"/>
          <w:b/>
          <w:kern w:val="0"/>
          <w:sz w:val="50"/>
          <w:szCs w:val="50"/>
        </w:rPr>
      </w:pPr>
    </w:p>
    <w:p w14:paraId="059D7480">
      <w:pPr>
        <w:spacing w:line="480" w:lineRule="auto"/>
        <w:ind w:firstLine="0" w:firstLineChars="0"/>
        <w:jc w:val="center"/>
        <w:rPr>
          <w:rFonts w:ascii="Times New Roman" w:hAnsi="Times New Roman" w:eastAsia="黑体" w:cs="Times New Roman"/>
          <w:b/>
          <w:kern w:val="0"/>
          <w:sz w:val="50"/>
          <w:szCs w:val="50"/>
        </w:rPr>
      </w:pPr>
    </w:p>
    <w:p w14:paraId="31A45805">
      <w:pPr>
        <w:spacing w:line="480" w:lineRule="auto"/>
        <w:ind w:firstLine="0" w:firstLineChars="0"/>
        <w:jc w:val="center"/>
        <w:rPr>
          <w:rFonts w:ascii="Times New Roman" w:hAnsi="Times New Roman" w:eastAsia="黑体" w:cs="Times New Roman"/>
          <w:b/>
          <w:kern w:val="0"/>
          <w:sz w:val="50"/>
          <w:szCs w:val="50"/>
        </w:rPr>
      </w:pPr>
    </w:p>
    <w:p w14:paraId="2E2B3EA9">
      <w:pPr>
        <w:spacing w:line="480" w:lineRule="auto"/>
        <w:ind w:firstLine="0" w:firstLineChars="0"/>
        <w:jc w:val="center"/>
        <w:rPr>
          <w:rFonts w:ascii="Times New Roman" w:hAnsi="Times New Roman" w:eastAsia="黑体" w:cs="Times New Roman"/>
          <w:b/>
          <w:kern w:val="0"/>
          <w:sz w:val="50"/>
          <w:szCs w:val="50"/>
        </w:rPr>
      </w:pPr>
    </w:p>
    <w:p w14:paraId="29406158">
      <w:pPr>
        <w:spacing w:line="480" w:lineRule="auto"/>
        <w:ind w:firstLine="0" w:firstLineChars="0"/>
        <w:jc w:val="center"/>
        <w:rPr>
          <w:rFonts w:ascii="Times New Roman" w:hAnsi="Times New Roman" w:eastAsia="黑体" w:cs="Times New Roman"/>
          <w:b/>
          <w:kern w:val="0"/>
          <w:sz w:val="50"/>
          <w:szCs w:val="50"/>
        </w:rPr>
      </w:pPr>
    </w:p>
    <w:p w14:paraId="3BC71405">
      <w:pPr>
        <w:spacing w:line="480" w:lineRule="auto"/>
        <w:ind w:firstLine="0" w:firstLineChars="0"/>
        <w:jc w:val="center"/>
        <w:rPr>
          <w:rFonts w:ascii="Times New Roman" w:hAnsi="Times New Roman" w:cs="Times New Roman"/>
          <w:kern w:val="0"/>
          <w:sz w:val="30"/>
          <w:szCs w:val="30"/>
        </w:rPr>
      </w:pPr>
    </w:p>
    <w:p w14:paraId="2F3E6B6D">
      <w:pPr>
        <w:spacing w:line="480" w:lineRule="auto"/>
        <w:ind w:firstLine="0" w:firstLineChars="0"/>
        <w:jc w:val="left"/>
        <w:rPr>
          <w:rFonts w:ascii="Times New Roman" w:hAnsi="Times New Roman" w:cs="Times New Roman"/>
          <w:kern w:val="0"/>
          <w:sz w:val="32"/>
          <w:szCs w:val="32"/>
        </w:rPr>
      </w:pPr>
      <w:r>
        <w:rPr>
          <w:rFonts w:hint="eastAsia" w:ascii="Times New Roman" w:hAnsi="Times New Roman" w:cs="Times New Roman"/>
          <w:kern w:val="0"/>
          <w:sz w:val="32"/>
          <w:szCs w:val="32"/>
        </w:rPr>
        <w:t>项目名称：</w:t>
      </w:r>
      <w:r>
        <w:rPr>
          <w:rFonts w:hint="eastAsia" w:ascii="Times New Roman" w:hAnsi="Times New Roman" w:eastAsia="方正仿宋_GBK" w:cs="Times New Roman"/>
          <w:szCs w:val="28"/>
        </w:rPr>
        <w:t>乌鲁木齐市松材线虫病等重大林业有害生物防治能力提升工程建设项目。</w:t>
      </w:r>
    </w:p>
    <w:p w14:paraId="1B2A9D75">
      <w:pPr>
        <w:ind w:firstLine="0" w:firstLineChars="0"/>
        <w:rPr>
          <w:rFonts w:ascii="Times New Roman" w:hAnsi="Times New Roman" w:eastAsia="方正仿宋_GBK" w:cs="Times New Roman"/>
          <w:szCs w:val="28"/>
        </w:rPr>
      </w:pPr>
      <w:r>
        <w:rPr>
          <w:rFonts w:hint="eastAsia" w:ascii="Times New Roman" w:hAnsi="Times New Roman" w:cs="Times New Roman"/>
          <w:kern w:val="0"/>
          <w:sz w:val="32"/>
          <w:szCs w:val="32"/>
        </w:rPr>
        <w:t>项目单位：</w:t>
      </w:r>
      <w:r>
        <w:rPr>
          <w:rFonts w:hint="eastAsia" w:ascii="Times New Roman" w:hAnsi="Times New Roman" w:eastAsia="方正仿宋_GBK" w:cs="Times New Roman"/>
          <w:szCs w:val="28"/>
        </w:rPr>
        <w:t>乌鲁木齐市林业有害生物防治检疫站（市草原监理站）</w:t>
      </w:r>
    </w:p>
    <w:p w14:paraId="4AB65C95">
      <w:pPr>
        <w:spacing w:line="480" w:lineRule="auto"/>
        <w:ind w:firstLine="0" w:firstLineChars="0"/>
        <w:jc w:val="left"/>
        <w:rPr>
          <w:rFonts w:ascii="Times New Roman" w:hAnsi="Times New Roman" w:cs="Times New Roman"/>
          <w:kern w:val="0"/>
          <w:sz w:val="32"/>
          <w:szCs w:val="32"/>
        </w:rPr>
      </w:pPr>
      <w:r>
        <w:rPr>
          <w:rFonts w:hint="eastAsia" w:ascii="Times New Roman" w:hAnsi="Times New Roman" w:cs="Times New Roman"/>
          <w:kern w:val="0"/>
          <w:sz w:val="32"/>
          <w:szCs w:val="32"/>
        </w:rPr>
        <w:t>主管部门：</w:t>
      </w:r>
      <w:r>
        <w:rPr>
          <w:rFonts w:hint="eastAsia" w:ascii="Times New Roman" w:hAnsi="Times New Roman" w:eastAsia="方正仿宋_GBK" w:cs="Times New Roman"/>
          <w:szCs w:val="28"/>
        </w:rPr>
        <w:t>乌鲁木齐市林业和草原局（市园林管理局）</w:t>
      </w:r>
    </w:p>
    <w:p w14:paraId="72CB9ACF">
      <w:pPr>
        <w:spacing w:line="480" w:lineRule="auto"/>
        <w:ind w:firstLine="0" w:firstLineChars="0"/>
        <w:jc w:val="left"/>
        <w:rPr>
          <w:rFonts w:ascii="Times New Roman" w:hAnsi="Times New Roman" w:cs="Times New Roman"/>
          <w:kern w:val="0"/>
          <w:sz w:val="32"/>
          <w:szCs w:val="32"/>
        </w:rPr>
      </w:pPr>
    </w:p>
    <w:p w14:paraId="3250553E">
      <w:pPr>
        <w:spacing w:line="480" w:lineRule="auto"/>
        <w:ind w:firstLine="0" w:firstLineChars="0"/>
        <w:rPr>
          <w:rFonts w:ascii="Times New Roman" w:hAnsi="Times New Roman" w:eastAsia="黑体" w:cs="Times New Roman"/>
          <w:b/>
          <w:kern w:val="0"/>
          <w:sz w:val="32"/>
          <w:szCs w:val="32"/>
        </w:rPr>
      </w:pPr>
    </w:p>
    <w:p w14:paraId="71F8A5E0">
      <w:pPr>
        <w:spacing w:line="480" w:lineRule="auto"/>
        <w:ind w:firstLine="0" w:firstLineChars="0"/>
        <w:rPr>
          <w:rFonts w:ascii="Times New Roman" w:hAnsi="Times New Roman" w:eastAsia="黑体" w:cs="Times New Roman"/>
          <w:b/>
          <w:kern w:val="0"/>
          <w:sz w:val="32"/>
          <w:szCs w:val="32"/>
        </w:rPr>
      </w:pPr>
    </w:p>
    <w:p w14:paraId="01A51DD8">
      <w:pPr>
        <w:spacing w:line="480" w:lineRule="auto"/>
        <w:ind w:firstLine="0" w:firstLineChars="0"/>
        <w:jc w:val="center"/>
        <w:rPr>
          <w:rFonts w:ascii="Times New Roman" w:hAnsi="Times New Roman" w:cs="Times New Roman"/>
          <w:kern w:val="0"/>
          <w:sz w:val="32"/>
          <w:szCs w:val="32"/>
        </w:rPr>
      </w:pPr>
      <w:r>
        <w:rPr>
          <w:rFonts w:ascii="Times New Roman" w:hAnsi="Times New Roman" w:cs="Times New Roman"/>
          <w:kern w:val="0"/>
          <w:sz w:val="32"/>
          <w:szCs w:val="32"/>
        </w:rPr>
        <w:t>2023</w:t>
      </w:r>
      <w:r>
        <w:rPr>
          <w:rFonts w:hint="eastAsia" w:ascii="Times New Roman" w:hAnsi="Times New Roman" w:cs="Times New Roman"/>
          <w:kern w:val="0"/>
          <w:sz w:val="32"/>
          <w:szCs w:val="32"/>
        </w:rPr>
        <w:t>年</w:t>
      </w:r>
      <w:r>
        <w:rPr>
          <w:rFonts w:ascii="Times New Roman" w:hAnsi="Times New Roman" w:cs="Times New Roman"/>
          <w:kern w:val="0"/>
          <w:sz w:val="32"/>
          <w:szCs w:val="32"/>
        </w:rPr>
        <w:t>04</w:t>
      </w:r>
      <w:r>
        <w:rPr>
          <w:rFonts w:hint="eastAsia" w:ascii="Times New Roman" w:hAnsi="Times New Roman" w:cs="Times New Roman"/>
          <w:kern w:val="0"/>
          <w:sz w:val="32"/>
          <w:szCs w:val="32"/>
        </w:rPr>
        <w:t>月</w:t>
      </w:r>
    </w:p>
    <w:p w14:paraId="5D363EBF">
      <w:pPr>
        <w:spacing w:line="480" w:lineRule="auto"/>
        <w:ind w:firstLine="0" w:firstLineChars="0"/>
        <w:jc w:val="center"/>
        <w:rPr>
          <w:rFonts w:ascii="Times New Roman" w:hAnsi="Times New Roman" w:cs="Times New Roman"/>
          <w:kern w:val="0"/>
          <w:sz w:val="32"/>
          <w:szCs w:val="32"/>
        </w:rPr>
      </w:pPr>
    </w:p>
    <w:p w14:paraId="383C1F0C">
      <w:pPr>
        <w:tabs>
          <w:tab w:val="left" w:pos="3324"/>
        </w:tabs>
        <w:spacing w:line="480" w:lineRule="auto"/>
        <w:ind w:firstLine="0" w:firstLineChars="0"/>
        <w:rPr>
          <w:rFonts w:ascii="Times New Roman" w:hAnsi="Times New Roman" w:cs="Times New Roman"/>
          <w:kern w:val="0"/>
          <w:sz w:val="32"/>
          <w:szCs w:val="32"/>
        </w:rPr>
      </w:pPr>
      <w:r>
        <w:rPr>
          <w:rFonts w:ascii="Times New Roman" w:hAnsi="Times New Roman" w:cs="Times New Roman"/>
          <w:kern w:val="0"/>
          <w:sz w:val="32"/>
          <w:szCs w:val="32"/>
        </w:rPr>
        <w:tab/>
      </w:r>
    </w:p>
    <w:p w14:paraId="52A9B17C">
      <w:pPr>
        <w:ind w:firstLine="0" w:firstLineChars="0"/>
        <w:rPr>
          <w:rFonts w:ascii="Times New Roman" w:hAnsi="Times New Roman" w:cs="Times New Roman"/>
          <w:kern w:val="0"/>
          <w:sz w:val="32"/>
          <w:szCs w:val="32"/>
        </w:rPr>
      </w:pPr>
    </w:p>
    <w:p w14:paraId="576AA739">
      <w:pPr>
        <w:pStyle w:val="25"/>
        <w:ind w:firstLine="560"/>
        <w:jc w:val="center"/>
        <w:rPr>
          <w:rFonts w:ascii="Times New Roman" w:hAnsi="Times New Roman"/>
        </w:rPr>
      </w:pPr>
      <w:r>
        <w:rPr>
          <w:rFonts w:hint="eastAsia" w:ascii="Times New Roman" w:hAnsi="Times New Roman"/>
          <w:lang w:val="zh-CN"/>
        </w:rPr>
        <w:t>目录</w:t>
      </w:r>
    </w:p>
    <w:p w14:paraId="437CB2B3">
      <w:pPr>
        <w:pStyle w:val="10"/>
        <w:tabs>
          <w:tab w:val="right" w:leader="dot" w:pos="8296"/>
        </w:tabs>
        <w:ind w:firstLine="560"/>
        <w:rPr>
          <w:rFonts w:ascii="Times New Roman" w:hAnsi="Times New Roman" w:eastAsia="宋体" w:cs="Times New Roman"/>
          <w:sz w:val="21"/>
        </w:rPr>
      </w:pP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r>
        <w:fldChar w:fldCharType="begin"/>
      </w:r>
      <w:r>
        <w:instrText xml:space="preserve"> HYPERLINK \l "_Toc165277220" </w:instrText>
      </w:r>
      <w:r>
        <w:fldChar w:fldCharType="separate"/>
      </w:r>
      <w:r>
        <w:rPr>
          <w:rStyle w:val="15"/>
          <w:rFonts w:hint="eastAsia" w:ascii="Times New Roman" w:hAnsi="Times New Roman" w:eastAsia="仿宋"/>
        </w:rPr>
        <w:t>一、基本情况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_Toc165277220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3CCBF646">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"_Toc165277221" </w:instrText>
      </w:r>
      <w:r>
        <w:fldChar w:fldCharType="separate"/>
      </w:r>
      <w:r>
        <w:rPr>
          <w:rStyle w:val="15"/>
          <w:rFonts w:hint="eastAsia" w:ascii="Times New Roman" w:hAnsi="Times New Roman" w:eastAsia="仿宋"/>
        </w:rPr>
        <w:t>（一）项目概况：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_Toc165277221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6CD81E42">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"_Toc165277222" </w:instrText>
      </w:r>
      <w:r>
        <w:fldChar w:fldCharType="separate"/>
      </w:r>
      <w:r>
        <w:rPr>
          <w:rStyle w:val="15"/>
          <w:rFonts w:ascii="Times New Roman" w:hAnsi="Times New Roman"/>
        </w:rPr>
        <w:t>1</w:t>
      </w:r>
      <w:r>
        <w:rPr>
          <w:rStyle w:val="15"/>
          <w:rFonts w:hint="eastAsia" w:ascii="Times New Roman" w:hAnsi="Times New Roman"/>
        </w:rPr>
        <w:t>．项目背景、主要内容及实施情况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_Toc165277222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4EFA2523">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"_Toc165277223" </w:instrText>
      </w:r>
      <w:r>
        <w:fldChar w:fldCharType="separate"/>
      </w:r>
      <w:r>
        <w:rPr>
          <w:rStyle w:val="15"/>
          <w:rFonts w:ascii="Times New Roman" w:hAnsi="Times New Roman"/>
        </w:rPr>
        <w:t>2.</w:t>
      </w:r>
      <w:r>
        <w:rPr>
          <w:rStyle w:val="15"/>
          <w:rFonts w:hint="eastAsia" w:ascii="Times New Roman" w:hAnsi="Times New Roman"/>
        </w:rPr>
        <w:t>资金投入和使用情况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_Toc165277223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14:paraId="79BEC319">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"_Toc165277224" </w:instrText>
      </w:r>
      <w:r>
        <w:fldChar w:fldCharType="separate"/>
      </w:r>
      <w:r>
        <w:rPr>
          <w:rStyle w:val="15"/>
          <w:rFonts w:hint="eastAsia" w:ascii="Times New Roman" w:hAnsi="Times New Roman" w:eastAsia="仿宋"/>
        </w:rPr>
        <w:t>（二）项目绩效目标：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_Toc165277224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14:paraId="2AB2A8C6">
      <w:pPr>
        <w:pStyle w:val="10"/>
        <w:tabs>
          <w:tab w:val="right" w:leader="dot" w:pos="8296"/>
        </w:tabs>
        <w:ind w:firstLine="560"/>
        <w:rPr>
          <w:rFonts w:ascii="Times New Roman" w:hAnsi="Times New Roman" w:eastAsia="宋体" w:cs="Times New Roman"/>
          <w:sz w:val="21"/>
        </w:rPr>
      </w:pPr>
      <w:r>
        <w:fldChar w:fldCharType="begin"/>
      </w:r>
      <w:r>
        <w:instrText xml:space="preserve"> HYPERLINK \l "_Toc165277225" </w:instrText>
      </w:r>
      <w:r>
        <w:fldChar w:fldCharType="separate"/>
      </w:r>
      <w:r>
        <w:rPr>
          <w:rStyle w:val="15"/>
          <w:rFonts w:hint="eastAsia" w:ascii="Times New Roman" w:hAnsi="Times New Roman" w:eastAsia="仿宋"/>
        </w:rPr>
        <w:t>二、绩效评价工作开展情况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_Toc165277225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14:paraId="1B84CB08">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"_Toc165277226" </w:instrText>
      </w:r>
      <w:r>
        <w:fldChar w:fldCharType="separate"/>
      </w:r>
      <w:r>
        <w:rPr>
          <w:rStyle w:val="15"/>
          <w:rFonts w:hint="eastAsia" w:ascii="Times New Roman" w:hAnsi="Times New Roman" w:eastAsia="仿宋"/>
        </w:rPr>
        <w:t>（一）绩效评价目的、对象和范围</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_Toc165277226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14:paraId="6460028B">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"_Toc165277227" </w:instrText>
      </w:r>
      <w:r>
        <w:fldChar w:fldCharType="separate"/>
      </w:r>
      <w:r>
        <w:rPr>
          <w:rStyle w:val="15"/>
          <w:rFonts w:ascii="Times New Roman" w:hAnsi="Times New Roman"/>
        </w:rPr>
        <w:t>1.</w:t>
      </w:r>
      <w:r>
        <w:rPr>
          <w:rStyle w:val="15"/>
          <w:rFonts w:hint="eastAsia" w:ascii="Times New Roman" w:hAnsi="Times New Roman"/>
        </w:rPr>
        <w:t>绩效评价完整性</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_Toc165277227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14:paraId="0FB8DE29">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"_Toc165277228" </w:instrText>
      </w:r>
      <w:r>
        <w:fldChar w:fldCharType="separate"/>
      </w:r>
      <w:r>
        <w:rPr>
          <w:rStyle w:val="15"/>
          <w:rFonts w:ascii="Times New Roman" w:hAnsi="Times New Roman"/>
        </w:rPr>
        <w:t>2.</w:t>
      </w:r>
      <w:r>
        <w:rPr>
          <w:rStyle w:val="15"/>
          <w:rFonts w:hint="eastAsia" w:ascii="Times New Roman" w:hAnsi="Times New Roman"/>
        </w:rPr>
        <w:t>评价目的</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_Toc165277228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14:paraId="3D37A215">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"_Toc165277229" </w:instrText>
      </w:r>
      <w:r>
        <w:fldChar w:fldCharType="separate"/>
      </w:r>
      <w:r>
        <w:rPr>
          <w:rStyle w:val="15"/>
          <w:rFonts w:ascii="Times New Roman" w:hAnsi="Times New Roman"/>
        </w:rPr>
        <w:t>3.</w:t>
      </w:r>
      <w:r>
        <w:rPr>
          <w:rStyle w:val="15"/>
          <w:rFonts w:hint="eastAsia" w:ascii="Times New Roman" w:hAnsi="Times New Roman"/>
        </w:rPr>
        <w:t>评价对象</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_Toc165277229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19C12857">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"_Toc165277230" </w:instrText>
      </w:r>
      <w:r>
        <w:fldChar w:fldCharType="separate"/>
      </w:r>
      <w:r>
        <w:rPr>
          <w:rStyle w:val="15"/>
          <w:rFonts w:ascii="Times New Roman" w:hAnsi="Times New Roman"/>
        </w:rPr>
        <w:t>4.</w:t>
      </w:r>
      <w:r>
        <w:rPr>
          <w:rStyle w:val="15"/>
          <w:rFonts w:hint="eastAsia" w:ascii="Times New Roman" w:hAnsi="Times New Roman"/>
        </w:rPr>
        <w:t>绩效评价范围</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_Toc165277230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451EB6EC">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"_Toc165277231" </w:instrText>
      </w:r>
      <w:r>
        <w:fldChar w:fldCharType="separate"/>
      </w:r>
      <w:r>
        <w:rPr>
          <w:rStyle w:val="15"/>
          <w:rFonts w:hint="eastAsia" w:ascii="Times New Roman" w:hAnsi="Times New Roman" w:eastAsia="仿宋"/>
        </w:rPr>
        <w:t>（二）绩效评价原则、指标体系、方法及标准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_Toc165277231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1F3FCE30">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"_Toc165277232" </w:instrText>
      </w:r>
      <w:r>
        <w:fldChar w:fldCharType="separate"/>
      </w:r>
      <w:r>
        <w:rPr>
          <w:rStyle w:val="15"/>
          <w:rFonts w:ascii="Times New Roman" w:hAnsi="Times New Roman"/>
        </w:rPr>
        <w:t>1.</w:t>
      </w:r>
      <w:r>
        <w:rPr>
          <w:rStyle w:val="15"/>
          <w:rFonts w:hint="eastAsia" w:ascii="Times New Roman" w:hAnsi="Times New Roman"/>
        </w:rPr>
        <w:t>评价原则</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_Toc165277232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1568DBC5">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"_Toc165277233" </w:instrText>
      </w:r>
      <w:r>
        <w:fldChar w:fldCharType="separate"/>
      </w:r>
      <w:r>
        <w:rPr>
          <w:rStyle w:val="15"/>
          <w:rFonts w:ascii="Times New Roman" w:hAnsi="Times New Roman"/>
        </w:rPr>
        <w:t>2.</w:t>
      </w:r>
      <w:r>
        <w:rPr>
          <w:rStyle w:val="15"/>
          <w:rFonts w:hint="eastAsia" w:ascii="Times New Roman" w:hAnsi="Times New Roman"/>
        </w:rPr>
        <w:t>评价指标体系</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_Toc165277233 \h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fldChar w:fldCharType="end"/>
      </w:r>
    </w:p>
    <w:p w14:paraId="2608737A">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"_Toc165277234" </w:instrText>
      </w:r>
      <w:r>
        <w:fldChar w:fldCharType="separate"/>
      </w:r>
      <w:r>
        <w:rPr>
          <w:rStyle w:val="15"/>
          <w:rFonts w:ascii="Times New Roman" w:hAnsi="Times New Roman"/>
        </w:rPr>
        <w:t>3.</w:t>
      </w:r>
      <w:r>
        <w:rPr>
          <w:rStyle w:val="15"/>
          <w:rFonts w:hint="eastAsia" w:ascii="Times New Roman" w:hAnsi="Times New Roman"/>
        </w:rPr>
        <w:t>评价方法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_Toc165277234 \h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r>
        <w:rPr>
          <w:rFonts w:ascii="Times New Roman" w:hAnsi="Times New Roman" w:cs="Times New Roman"/>
        </w:rPr>
        <w:fldChar w:fldCharType="end"/>
      </w:r>
    </w:p>
    <w:p w14:paraId="50DF60F7">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"_Toc165277235" </w:instrText>
      </w:r>
      <w:r>
        <w:fldChar w:fldCharType="separate"/>
      </w:r>
      <w:r>
        <w:rPr>
          <w:rStyle w:val="15"/>
          <w:rFonts w:ascii="Times New Roman" w:hAnsi="Times New Roman"/>
        </w:rPr>
        <w:t>4.</w:t>
      </w:r>
      <w:r>
        <w:rPr>
          <w:rStyle w:val="15"/>
          <w:rFonts w:hint="eastAsia" w:ascii="Times New Roman" w:hAnsi="Times New Roman"/>
        </w:rPr>
        <w:t>评价标准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_Toc165277235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fldChar w:fldCharType="end"/>
      </w:r>
    </w:p>
    <w:p w14:paraId="2E110F2E">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"_Toc165277236" </w:instrText>
      </w:r>
      <w:r>
        <w:fldChar w:fldCharType="separate"/>
      </w:r>
      <w:r>
        <w:rPr>
          <w:rStyle w:val="15"/>
          <w:rFonts w:hint="eastAsia" w:ascii="Times New Roman" w:hAnsi="Times New Roman" w:eastAsia="仿宋"/>
        </w:rPr>
        <w:t>（三）绩效评价工作过程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_Toc165277236 \h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r>
        <w:rPr>
          <w:rFonts w:ascii="Times New Roman" w:hAnsi="Times New Roman" w:cs="Times New Roman"/>
        </w:rPr>
        <w:fldChar w:fldCharType="end"/>
      </w:r>
    </w:p>
    <w:p w14:paraId="3D09CF15">
      <w:pPr>
        <w:pStyle w:val="10"/>
        <w:tabs>
          <w:tab w:val="right" w:leader="dot" w:pos="8296"/>
        </w:tabs>
        <w:ind w:firstLine="560"/>
        <w:rPr>
          <w:rFonts w:ascii="Times New Roman" w:hAnsi="Times New Roman" w:eastAsia="宋体" w:cs="Times New Roman"/>
          <w:sz w:val="21"/>
        </w:rPr>
      </w:pPr>
      <w:r>
        <w:fldChar w:fldCharType="begin"/>
      </w:r>
      <w:r>
        <w:instrText xml:space="preserve"> HYPERLINK \l "_Toc165277237" </w:instrText>
      </w:r>
      <w:r>
        <w:fldChar w:fldCharType="separate"/>
      </w:r>
      <w:r>
        <w:rPr>
          <w:rStyle w:val="15"/>
          <w:rFonts w:hint="eastAsia" w:ascii="Times New Roman" w:hAnsi="Times New Roman" w:eastAsia="仿宋"/>
        </w:rPr>
        <w:t>三、综合评价情况及评价结论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_Toc165277237 \h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r>
        <w:rPr>
          <w:rFonts w:ascii="Times New Roman" w:hAnsi="Times New Roman" w:cs="Times New Roman"/>
        </w:rPr>
        <w:fldChar w:fldCharType="end"/>
      </w:r>
    </w:p>
    <w:p w14:paraId="2E30B195">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"_Toc165277238" </w:instrText>
      </w:r>
      <w:r>
        <w:fldChar w:fldCharType="separate"/>
      </w:r>
      <w:r>
        <w:rPr>
          <w:rStyle w:val="15"/>
          <w:rFonts w:hint="eastAsia" w:ascii="Times New Roman" w:hAnsi="Times New Roman" w:eastAsia="仿宋"/>
        </w:rPr>
        <w:t>（一）评价结论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_Toc165277238 \h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r>
        <w:rPr>
          <w:rFonts w:ascii="Times New Roman" w:hAnsi="Times New Roman" w:cs="Times New Roman"/>
        </w:rPr>
        <w:fldChar w:fldCharType="end"/>
      </w:r>
    </w:p>
    <w:p w14:paraId="7D69E093">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"_Toc165277239" </w:instrText>
      </w:r>
      <w:r>
        <w:fldChar w:fldCharType="separate"/>
      </w:r>
      <w:r>
        <w:rPr>
          <w:rStyle w:val="15"/>
          <w:rFonts w:hint="eastAsia" w:ascii="Times New Roman" w:hAnsi="Times New Roman" w:eastAsia="仿宋"/>
        </w:rPr>
        <w:t>（二）主要绩效</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_Toc165277239 \h </w:instrText>
      </w:r>
      <w:r>
        <w:rPr>
          <w:rFonts w:ascii="Times New Roman" w:hAnsi="Times New Roman" w:cs="Times New Roman"/>
        </w:rPr>
        <w:fldChar w:fldCharType="separate"/>
      </w:r>
      <w:r>
        <w:rPr>
          <w:rFonts w:ascii="Times New Roman" w:hAnsi="Times New Roman" w:cs="Times New Roman"/>
        </w:rPr>
        <w:t>16</w:t>
      </w:r>
      <w:r>
        <w:rPr>
          <w:rFonts w:ascii="Times New Roman" w:hAnsi="Times New Roman" w:cs="Times New Roman"/>
        </w:rPr>
        <w:fldChar w:fldCharType="end"/>
      </w:r>
      <w:r>
        <w:rPr>
          <w:rFonts w:ascii="Times New Roman" w:hAnsi="Times New Roman" w:cs="Times New Roman"/>
        </w:rPr>
        <w:fldChar w:fldCharType="end"/>
      </w:r>
    </w:p>
    <w:p w14:paraId="222BE70E">
      <w:pPr>
        <w:pStyle w:val="10"/>
        <w:tabs>
          <w:tab w:val="right" w:leader="dot" w:pos="8296"/>
        </w:tabs>
        <w:ind w:firstLine="560"/>
        <w:rPr>
          <w:rFonts w:ascii="Times New Roman" w:hAnsi="Times New Roman" w:eastAsia="宋体" w:cs="Times New Roman"/>
          <w:sz w:val="21"/>
        </w:rPr>
      </w:pPr>
      <w:r>
        <w:fldChar w:fldCharType="begin"/>
      </w:r>
      <w:r>
        <w:instrText xml:space="preserve"> HYPERLINK \l "_Toc165277240" </w:instrText>
      </w:r>
      <w:r>
        <w:fldChar w:fldCharType="separate"/>
      </w:r>
      <w:r>
        <w:rPr>
          <w:rStyle w:val="15"/>
          <w:rFonts w:hint="eastAsia" w:ascii="Times New Roman" w:hAnsi="Times New Roman" w:eastAsia="仿宋"/>
        </w:rPr>
        <w:t>四、绩效评价指标分析</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_Toc165277240 \h </w:instrText>
      </w:r>
      <w:r>
        <w:rPr>
          <w:rFonts w:ascii="Times New Roman" w:hAnsi="Times New Roman" w:cs="Times New Roman"/>
        </w:rPr>
        <w:fldChar w:fldCharType="separate"/>
      </w:r>
      <w:r>
        <w:rPr>
          <w:rFonts w:ascii="Times New Roman" w:hAnsi="Times New Roman" w:cs="Times New Roman"/>
        </w:rPr>
        <w:t>16</w:t>
      </w:r>
      <w:r>
        <w:rPr>
          <w:rFonts w:ascii="Times New Roman" w:hAnsi="Times New Roman" w:cs="Times New Roman"/>
        </w:rPr>
        <w:fldChar w:fldCharType="end"/>
      </w:r>
      <w:r>
        <w:rPr>
          <w:rFonts w:ascii="Times New Roman" w:hAnsi="Times New Roman" w:cs="Times New Roman"/>
        </w:rPr>
        <w:fldChar w:fldCharType="end"/>
      </w:r>
    </w:p>
    <w:p w14:paraId="0D8D1F92">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"_Toc165277241" </w:instrText>
      </w:r>
      <w:r>
        <w:fldChar w:fldCharType="separate"/>
      </w:r>
      <w:r>
        <w:rPr>
          <w:rStyle w:val="15"/>
          <w:rFonts w:hint="eastAsia" w:ascii="Times New Roman" w:hAnsi="Times New Roman" w:eastAsia="仿宋"/>
        </w:rPr>
        <w:t>（一）项目决策情况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_Toc165277241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14:paraId="05576A04">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"_Toc165277242" </w:instrText>
      </w:r>
      <w:r>
        <w:fldChar w:fldCharType="separate"/>
      </w:r>
      <w:r>
        <w:rPr>
          <w:rStyle w:val="15"/>
          <w:rFonts w:ascii="Times New Roman" w:hAnsi="Times New Roman"/>
        </w:rPr>
        <w:t>1.</w:t>
      </w:r>
      <w:r>
        <w:rPr>
          <w:rStyle w:val="15"/>
          <w:rFonts w:hint="eastAsia" w:ascii="Times New Roman" w:hAnsi="Times New Roman"/>
        </w:rPr>
        <w:t>项目立项</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_Toc165277242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14:paraId="40D84D79">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"_Toc165277243" </w:instrText>
      </w:r>
      <w:r>
        <w:fldChar w:fldCharType="separate"/>
      </w:r>
      <w:r>
        <w:rPr>
          <w:rStyle w:val="15"/>
          <w:rFonts w:ascii="Times New Roman" w:hAnsi="Times New Roman"/>
        </w:rPr>
        <w:t>2.</w:t>
      </w:r>
      <w:r>
        <w:rPr>
          <w:rStyle w:val="15"/>
          <w:rFonts w:hint="eastAsia" w:ascii="Times New Roman" w:hAnsi="Times New Roman"/>
        </w:rPr>
        <w:t>绩效目标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_Toc165277243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14:paraId="40A78933">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"_Toc165277244" </w:instrText>
      </w:r>
      <w:r>
        <w:fldChar w:fldCharType="separate"/>
      </w:r>
      <w:r>
        <w:rPr>
          <w:rStyle w:val="15"/>
          <w:rFonts w:ascii="Times New Roman" w:hAnsi="Times New Roman"/>
        </w:rPr>
        <w:t>3.</w:t>
      </w:r>
      <w:r>
        <w:rPr>
          <w:rStyle w:val="15"/>
          <w:rFonts w:hint="eastAsia" w:ascii="Times New Roman" w:hAnsi="Times New Roman"/>
        </w:rPr>
        <w:t>资金投入</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_Toc165277244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r>
        <w:rPr>
          <w:rFonts w:ascii="Times New Roman" w:hAnsi="Times New Roman" w:cs="Times New Roman"/>
        </w:rPr>
        <w:fldChar w:fldCharType="end"/>
      </w:r>
    </w:p>
    <w:p w14:paraId="22543B7A">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"_Toc165277245" </w:instrText>
      </w:r>
      <w:r>
        <w:fldChar w:fldCharType="separate"/>
      </w:r>
      <w:r>
        <w:rPr>
          <w:rStyle w:val="15"/>
          <w:rFonts w:hint="eastAsia" w:ascii="Times New Roman" w:hAnsi="Times New Roman" w:eastAsia="仿宋"/>
        </w:rPr>
        <w:t>（二）项目过程情况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_Toc165277245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r>
        <w:rPr>
          <w:rFonts w:ascii="Times New Roman" w:hAnsi="Times New Roman" w:cs="Times New Roman"/>
        </w:rPr>
        <w:fldChar w:fldCharType="end"/>
      </w:r>
    </w:p>
    <w:p w14:paraId="27B4255B">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"_Toc165277246" </w:instrText>
      </w:r>
      <w:r>
        <w:fldChar w:fldCharType="separate"/>
      </w:r>
      <w:r>
        <w:rPr>
          <w:rStyle w:val="15"/>
          <w:rFonts w:ascii="Times New Roman" w:hAnsi="Times New Roman"/>
        </w:rPr>
        <w:t>1.</w:t>
      </w:r>
      <w:r>
        <w:rPr>
          <w:rStyle w:val="15"/>
          <w:rFonts w:hint="eastAsia" w:ascii="Times New Roman" w:hAnsi="Times New Roman"/>
        </w:rPr>
        <w:t>资金管理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_Toc165277246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r>
        <w:rPr>
          <w:rFonts w:ascii="Times New Roman" w:hAnsi="Times New Roman" w:cs="Times New Roman"/>
        </w:rPr>
        <w:fldChar w:fldCharType="end"/>
      </w:r>
    </w:p>
    <w:p w14:paraId="1378F6EC">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"_Toc165277247" </w:instrText>
      </w:r>
      <w:r>
        <w:fldChar w:fldCharType="separate"/>
      </w:r>
      <w:r>
        <w:rPr>
          <w:rStyle w:val="15"/>
          <w:rFonts w:ascii="Times New Roman" w:hAnsi="Times New Roman"/>
        </w:rPr>
        <w:t>2.</w:t>
      </w:r>
      <w:r>
        <w:rPr>
          <w:rStyle w:val="15"/>
          <w:rFonts w:hint="eastAsia" w:ascii="Times New Roman" w:hAnsi="Times New Roman"/>
        </w:rPr>
        <w:t>组织实施</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_Toc165277247 \h </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r>
        <w:rPr>
          <w:rFonts w:ascii="Times New Roman" w:hAnsi="Times New Roman" w:cs="Times New Roman"/>
        </w:rPr>
        <w:fldChar w:fldCharType="end"/>
      </w:r>
    </w:p>
    <w:p w14:paraId="031089B7">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"_Toc165277248" </w:instrText>
      </w:r>
      <w:r>
        <w:fldChar w:fldCharType="separate"/>
      </w:r>
      <w:r>
        <w:rPr>
          <w:rStyle w:val="15"/>
          <w:rFonts w:hint="eastAsia" w:ascii="Times New Roman" w:hAnsi="Times New Roman" w:eastAsia="仿宋"/>
        </w:rPr>
        <w:t>（三）项目产出情况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_Toc165277248 \h </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r>
        <w:rPr>
          <w:rFonts w:ascii="Times New Roman" w:hAnsi="Times New Roman" w:cs="Times New Roman"/>
        </w:rPr>
        <w:fldChar w:fldCharType="end"/>
      </w:r>
    </w:p>
    <w:p w14:paraId="2523DB81">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"_Toc165277249" </w:instrText>
      </w:r>
      <w:r>
        <w:fldChar w:fldCharType="separate"/>
      </w:r>
      <w:r>
        <w:rPr>
          <w:rStyle w:val="15"/>
          <w:rFonts w:ascii="Times New Roman" w:hAnsi="Times New Roman"/>
        </w:rPr>
        <w:t>1.</w:t>
      </w:r>
      <w:r>
        <w:rPr>
          <w:rStyle w:val="15"/>
          <w:rFonts w:hint="eastAsia" w:ascii="Times New Roman" w:hAnsi="Times New Roman"/>
        </w:rPr>
        <w:t>产出数量</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_Toc165277249 \h </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r>
        <w:rPr>
          <w:rFonts w:ascii="Times New Roman" w:hAnsi="Times New Roman" w:cs="Times New Roman"/>
        </w:rPr>
        <w:fldChar w:fldCharType="end"/>
      </w:r>
    </w:p>
    <w:p w14:paraId="70D8D2CF">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"_Toc165277250" </w:instrText>
      </w:r>
      <w:r>
        <w:fldChar w:fldCharType="separate"/>
      </w:r>
      <w:r>
        <w:rPr>
          <w:rStyle w:val="15"/>
          <w:rFonts w:ascii="Times New Roman" w:hAnsi="Times New Roman"/>
        </w:rPr>
        <w:t>2.</w:t>
      </w:r>
      <w:r>
        <w:rPr>
          <w:rStyle w:val="15"/>
          <w:rFonts w:hint="eastAsia" w:ascii="Times New Roman" w:hAnsi="Times New Roman"/>
        </w:rPr>
        <w:t>产出质量</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_Toc165277250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fldChar w:fldCharType="end"/>
      </w:r>
    </w:p>
    <w:p w14:paraId="67FFDF21">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"_Toc165277251" </w:instrText>
      </w:r>
      <w:r>
        <w:fldChar w:fldCharType="separate"/>
      </w:r>
      <w:r>
        <w:rPr>
          <w:rStyle w:val="15"/>
          <w:rFonts w:ascii="Times New Roman" w:hAnsi="Times New Roman"/>
        </w:rPr>
        <w:t>3.</w:t>
      </w:r>
      <w:r>
        <w:rPr>
          <w:rStyle w:val="15"/>
          <w:rFonts w:hint="eastAsia" w:ascii="Times New Roman" w:hAnsi="Times New Roman"/>
        </w:rPr>
        <w:t>产出时效</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_Toc165277251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fldChar w:fldCharType="end"/>
      </w:r>
    </w:p>
    <w:p w14:paraId="2245C40B">
      <w:pPr>
        <w:pStyle w:val="6"/>
        <w:tabs>
          <w:tab w:val="right" w:leader="dot" w:pos="8296"/>
        </w:tabs>
        <w:ind w:left="1120" w:firstLine="560"/>
        <w:rPr>
          <w:rFonts w:ascii="Times New Roman" w:hAnsi="Times New Roman" w:cs="Times New Roman"/>
          <w:sz w:val="21"/>
        </w:rPr>
      </w:pPr>
      <w:r>
        <w:fldChar w:fldCharType="begin"/>
      </w:r>
      <w:r>
        <w:instrText xml:space="preserve"> HYPERLINK \l "_Toc165277252" </w:instrText>
      </w:r>
      <w:r>
        <w:fldChar w:fldCharType="separate"/>
      </w:r>
      <w:r>
        <w:rPr>
          <w:rStyle w:val="15"/>
          <w:rFonts w:ascii="Times New Roman" w:hAnsi="Times New Roman"/>
        </w:rPr>
        <w:t>4.</w:t>
      </w:r>
      <w:r>
        <w:rPr>
          <w:rStyle w:val="15"/>
          <w:rFonts w:hint="eastAsia" w:ascii="Times New Roman" w:hAnsi="Times New Roman"/>
        </w:rPr>
        <w:t>产出成本</w:t>
      </w:r>
      <w:r>
        <w:rPr>
          <w:rFonts w:ascii="Times New Roman" w:hAnsi="Times New Roman" w:cs="Times New Roman"/>
        </w:rPr>
        <w:tab/>
      </w:r>
      <w:r>
        <w:rPr>
          <w:rFonts w:hint="eastAsia" w:ascii="Times New Roman" w:hAnsi="Times New Roman" w:cs="Times New Roman"/>
        </w:rPr>
        <w:t>2</w:t>
      </w:r>
      <w:r>
        <w:rPr>
          <w:rFonts w:hint="eastAsia" w:ascii="Times New Roman" w:hAnsi="Times New Roman" w:cs="Times New Roman"/>
        </w:rPr>
        <w:fldChar w:fldCharType="end"/>
      </w:r>
      <w:r>
        <w:rPr>
          <w:rFonts w:hint="eastAsia" w:ascii="Times New Roman" w:hAnsi="Times New Roman" w:cs="Times New Roman"/>
        </w:rPr>
        <w:t>1</w:t>
      </w:r>
    </w:p>
    <w:p w14:paraId="540A801D">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"_Toc165277253" </w:instrText>
      </w:r>
      <w:r>
        <w:fldChar w:fldCharType="separate"/>
      </w:r>
      <w:r>
        <w:rPr>
          <w:rStyle w:val="15"/>
          <w:rFonts w:hint="eastAsia" w:ascii="Times New Roman" w:hAnsi="Times New Roman" w:eastAsia="仿宋"/>
        </w:rPr>
        <w:t>（四）项目效益情况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_Toc165277253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fldChar w:fldCharType="end"/>
      </w:r>
    </w:p>
    <w:p w14:paraId="2655CC2C">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"_Toc165277254" </w:instrText>
      </w:r>
      <w:r>
        <w:fldChar w:fldCharType="separate"/>
      </w:r>
      <w:r>
        <w:rPr>
          <w:rStyle w:val="15"/>
          <w:rFonts w:ascii="Times New Roman" w:hAnsi="Times New Roman"/>
        </w:rPr>
        <w:t>1.</w:t>
      </w:r>
      <w:r>
        <w:rPr>
          <w:rStyle w:val="15"/>
          <w:rFonts w:hint="eastAsia" w:ascii="Times New Roman" w:hAnsi="Times New Roman"/>
        </w:rPr>
        <w:t>项目效益</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_Toc165277254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fldChar w:fldCharType="end"/>
      </w:r>
    </w:p>
    <w:p w14:paraId="7421A9BC">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"_Toc165277255" </w:instrText>
      </w:r>
      <w:r>
        <w:fldChar w:fldCharType="separate"/>
      </w:r>
      <w:r>
        <w:rPr>
          <w:rStyle w:val="15"/>
          <w:rFonts w:ascii="Times New Roman" w:hAnsi="Times New Roman"/>
        </w:rPr>
        <w:t xml:space="preserve">2. </w:t>
      </w:r>
      <w:r>
        <w:rPr>
          <w:rStyle w:val="15"/>
          <w:rFonts w:hint="eastAsia" w:ascii="Times New Roman" w:hAnsi="Times New Roman"/>
        </w:rPr>
        <w:t>满意度指标完成情况分析</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_Toc165277255 \h </w:instrText>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r>
        <w:rPr>
          <w:rFonts w:ascii="Times New Roman" w:hAnsi="Times New Roman" w:cs="Times New Roman"/>
        </w:rPr>
        <w:fldChar w:fldCharType="end"/>
      </w:r>
    </w:p>
    <w:p w14:paraId="6650B8B9">
      <w:pPr>
        <w:pStyle w:val="10"/>
        <w:tabs>
          <w:tab w:val="right" w:leader="dot" w:pos="8296"/>
        </w:tabs>
        <w:ind w:firstLine="560"/>
        <w:rPr>
          <w:rFonts w:ascii="Times New Roman" w:hAnsi="Times New Roman" w:eastAsia="宋体" w:cs="Times New Roman"/>
          <w:sz w:val="21"/>
        </w:rPr>
      </w:pPr>
      <w:r>
        <w:fldChar w:fldCharType="begin"/>
      </w:r>
      <w:r>
        <w:instrText xml:space="preserve"> HYPERLINK \l "_Toc165277256" </w:instrText>
      </w:r>
      <w:r>
        <w:fldChar w:fldCharType="separate"/>
      </w:r>
      <w:r>
        <w:rPr>
          <w:rStyle w:val="15"/>
          <w:rFonts w:hint="eastAsia" w:ascii="Times New Roman" w:hAnsi="Times New Roman" w:eastAsia="仿宋"/>
        </w:rPr>
        <w:t>五、主要经验及做法、存在的问题及原因分析</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_Toc165277256 \h </w:instrText>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r>
        <w:rPr>
          <w:rFonts w:ascii="Times New Roman" w:hAnsi="Times New Roman" w:cs="Times New Roman"/>
        </w:rPr>
        <w:fldChar w:fldCharType="end"/>
      </w:r>
    </w:p>
    <w:p w14:paraId="72E05784">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"_Toc165277257" </w:instrText>
      </w:r>
      <w:r>
        <w:fldChar w:fldCharType="separate"/>
      </w:r>
      <w:r>
        <w:rPr>
          <w:rStyle w:val="15"/>
          <w:rFonts w:hint="eastAsia" w:ascii="Times New Roman" w:hAnsi="Times New Roman" w:eastAsia="仿宋"/>
        </w:rPr>
        <w:t>（一）主要经验及做法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_Toc165277257 \h </w:instrText>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r>
        <w:rPr>
          <w:rFonts w:ascii="Times New Roman" w:hAnsi="Times New Roman" w:cs="Times New Roman"/>
        </w:rPr>
        <w:fldChar w:fldCharType="end"/>
      </w:r>
    </w:p>
    <w:p w14:paraId="391825E0">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"_Toc165277258" </w:instrText>
      </w:r>
      <w:r>
        <w:fldChar w:fldCharType="separate"/>
      </w:r>
      <w:r>
        <w:rPr>
          <w:rStyle w:val="15"/>
          <w:rFonts w:hint="eastAsia" w:ascii="Times New Roman" w:hAnsi="Times New Roman" w:eastAsia="仿宋"/>
        </w:rPr>
        <w:t>（二）存在的问题及原因分析</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_Toc165277258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r>
        <w:rPr>
          <w:rFonts w:ascii="Times New Roman" w:hAnsi="Times New Roman" w:cs="Times New Roman"/>
        </w:rPr>
        <w:fldChar w:fldCharType="end"/>
      </w:r>
    </w:p>
    <w:p w14:paraId="5A91695B">
      <w:pPr>
        <w:pStyle w:val="10"/>
        <w:tabs>
          <w:tab w:val="right" w:leader="dot" w:pos="8296"/>
        </w:tabs>
        <w:ind w:firstLine="560"/>
        <w:rPr>
          <w:rFonts w:ascii="Times New Roman" w:hAnsi="Times New Roman" w:eastAsia="宋体" w:cs="Times New Roman"/>
          <w:sz w:val="21"/>
        </w:rPr>
      </w:pPr>
      <w:r>
        <w:fldChar w:fldCharType="begin"/>
      </w:r>
      <w:r>
        <w:instrText xml:space="preserve"> HYPERLINK \l "_Toc165277259" </w:instrText>
      </w:r>
      <w:r>
        <w:fldChar w:fldCharType="separate"/>
      </w:r>
      <w:r>
        <w:rPr>
          <w:rStyle w:val="15"/>
          <w:rFonts w:hint="eastAsia" w:ascii="Times New Roman" w:hAnsi="Times New Roman" w:eastAsia="仿宋"/>
        </w:rPr>
        <w:t>六、有关建议</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_Toc165277259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r>
        <w:rPr>
          <w:rFonts w:ascii="Times New Roman" w:hAnsi="Times New Roman" w:cs="Times New Roman"/>
        </w:rPr>
        <w:fldChar w:fldCharType="end"/>
      </w:r>
    </w:p>
    <w:p w14:paraId="2C625AF6">
      <w:pPr>
        <w:pStyle w:val="10"/>
        <w:tabs>
          <w:tab w:val="right" w:leader="dot" w:pos="8296"/>
        </w:tabs>
        <w:ind w:firstLine="560"/>
        <w:rPr>
          <w:rFonts w:ascii="Times New Roman" w:hAnsi="Times New Roman" w:eastAsia="宋体" w:cs="Times New Roman"/>
          <w:sz w:val="21"/>
        </w:rPr>
      </w:pPr>
      <w:r>
        <w:fldChar w:fldCharType="begin"/>
      </w:r>
      <w:r>
        <w:instrText xml:space="preserve"> HYPERLINK \l "_Toc165277260" </w:instrText>
      </w:r>
      <w:r>
        <w:fldChar w:fldCharType="separate"/>
      </w:r>
      <w:r>
        <w:rPr>
          <w:rStyle w:val="15"/>
          <w:rFonts w:hint="eastAsia" w:ascii="Times New Roman" w:hAnsi="Times New Roman" w:eastAsia="仿宋"/>
        </w:rPr>
        <w:t>七、其他需要说明的问题</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_Toc165277260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r>
        <w:rPr>
          <w:rFonts w:ascii="Times New Roman" w:hAnsi="Times New Roman" w:cs="Times New Roman"/>
        </w:rPr>
        <w:fldChar w:fldCharType="end"/>
      </w:r>
    </w:p>
    <w:p w14:paraId="519B9F05">
      <w:pPr>
        <w:ind w:firstLine="560"/>
        <w:rPr>
          <w:rFonts w:ascii="Times New Roman" w:hAnsi="Times New Roman" w:cs="Times New Roman"/>
        </w:rPr>
      </w:pPr>
      <w:r>
        <w:rPr>
          <w:rFonts w:ascii="Times New Roman" w:hAnsi="Times New Roman" w:cs="Times New Roman"/>
        </w:rPr>
        <w:fldChar w:fldCharType="end"/>
      </w:r>
    </w:p>
    <w:p w14:paraId="0D11B92E">
      <w:pPr>
        <w:spacing w:line="560" w:lineRule="exact"/>
        <w:ind w:firstLine="598" w:firstLineChars="187"/>
        <w:rPr>
          <w:rFonts w:ascii="Times New Roman" w:hAnsi="Times New Roman" w:cs="Times New Roman"/>
          <w:sz w:val="32"/>
          <w:szCs w:val="32"/>
        </w:rPr>
      </w:pPr>
    </w:p>
    <w:p w14:paraId="224F20F0">
      <w:pPr>
        <w:spacing w:line="560" w:lineRule="exact"/>
        <w:ind w:firstLine="0" w:firstLineChars="0"/>
        <w:rPr>
          <w:rFonts w:hint="eastAsia" w:ascii="Times New Roman" w:hAnsi="Times New Roman" w:cs="Times New Roman"/>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bookmarkStart w:id="61" w:name="_GoBack"/>
      <w:bookmarkEnd w:id="61"/>
    </w:p>
    <w:p w14:paraId="0B1DD18D">
      <w:pPr>
        <w:pStyle w:val="2"/>
        <w:adjustRightInd w:val="0"/>
        <w:snapToGrid w:val="0"/>
        <w:spacing w:before="0" w:after="0" w:line="560" w:lineRule="exact"/>
        <w:ind w:firstLine="723"/>
        <w:rPr>
          <w:rFonts w:ascii="Times New Roman" w:hAnsi="Times New Roman" w:eastAsia="仿宋" w:cs="Times New Roman"/>
          <w:sz w:val="36"/>
          <w:szCs w:val="36"/>
        </w:rPr>
      </w:pPr>
      <w:bookmarkStart w:id="0" w:name="_Toc165277220"/>
      <w:bookmarkStart w:id="1" w:name="_Toc67911601"/>
      <w:r>
        <w:rPr>
          <w:rFonts w:hint="eastAsia" w:ascii="Times New Roman" w:hAnsi="Times New Roman" w:eastAsia="仿宋" w:cs="Times New Roman"/>
          <w:sz w:val="36"/>
          <w:szCs w:val="36"/>
        </w:rPr>
        <w:t>一、基本情况</w:t>
      </w:r>
      <w:bookmarkEnd w:id="0"/>
      <w:bookmarkEnd w:id="1"/>
    </w:p>
    <w:p w14:paraId="65FBB2E5">
      <w:pPr>
        <w:pStyle w:val="3"/>
        <w:adjustRightInd w:val="0"/>
        <w:snapToGrid w:val="0"/>
        <w:spacing w:before="0" w:after="0" w:line="560" w:lineRule="exact"/>
        <w:ind w:firstLine="643"/>
        <w:rPr>
          <w:rFonts w:ascii="Times New Roman" w:hAnsi="Times New Roman" w:eastAsia="仿宋"/>
        </w:rPr>
      </w:pPr>
      <w:bookmarkStart w:id="2" w:name="_Toc67911602"/>
      <w:bookmarkStart w:id="3" w:name="_Toc165277221"/>
      <w:r>
        <w:rPr>
          <w:rFonts w:hint="eastAsia" w:ascii="Times New Roman" w:hAnsi="Times New Roman" w:eastAsia="仿宋"/>
        </w:rPr>
        <w:t>（一）项目概况：</w:t>
      </w:r>
      <w:bookmarkEnd w:id="2"/>
      <w:bookmarkEnd w:id="3"/>
    </w:p>
    <w:p w14:paraId="6BF90E5E">
      <w:pPr>
        <w:pStyle w:val="4"/>
        <w:adjustRightInd w:val="0"/>
        <w:snapToGrid w:val="0"/>
        <w:spacing w:before="0" w:after="0" w:line="560" w:lineRule="exact"/>
        <w:ind w:firstLine="643"/>
        <w:rPr>
          <w:rFonts w:ascii="Times New Roman" w:hAnsi="Times New Roman" w:cs="Times New Roman"/>
        </w:rPr>
      </w:pPr>
      <w:bookmarkStart w:id="4" w:name="_Toc165277222"/>
      <w:r>
        <w:rPr>
          <w:rFonts w:ascii="Times New Roman" w:hAnsi="Times New Roman" w:cs="Times New Roman"/>
        </w:rPr>
        <w:t>1</w:t>
      </w:r>
      <w:r>
        <w:rPr>
          <w:rFonts w:hint="eastAsia" w:ascii="Times New Roman" w:hAnsi="Times New Roman" w:cs="Times New Roman"/>
        </w:rPr>
        <w:t>．项目背景、主要内容及实施情况</w:t>
      </w:r>
      <w:bookmarkEnd w:id="4"/>
    </w:p>
    <w:p w14:paraId="3B0C85CA">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该项目实施背景：</w:t>
      </w:r>
    </w:p>
    <w:p w14:paraId="3159CA07">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乌鲁木齐市防控林业有害生物的整体水平和全国相比有待提高，与国家生态建设快速发展的步伐不相称，突出表现在当前林业有害生物防控体系的功能结构严重不足。近年来，国家通过实施主要森林病虫害防控体系基础设施建设一期、续建和二期工程项目，全国形成了较为完善的林业有害生物综合防控体系。和全国一样，新疆于</w:t>
      </w:r>
      <w:r>
        <w:rPr>
          <w:rFonts w:ascii="Times New Roman" w:hAnsi="Times New Roman" w:eastAsia="方正仿宋_GBK" w:cs="Times New Roman"/>
          <w:sz w:val="32"/>
          <w:szCs w:val="32"/>
        </w:rPr>
        <w:t>2004</w:t>
      </w:r>
      <w:r>
        <w:rPr>
          <w:rFonts w:hint="eastAsia" w:ascii="Times New Roman" w:hAnsi="Times New Roman" w:eastAsia="方正仿宋_GBK" w:cs="Times New Roman"/>
          <w:sz w:val="32"/>
          <w:szCs w:val="32"/>
        </w:rPr>
        <w:t>年启动了林业有害生物预防体系建设项目，加大基础设施建设力度。自</w:t>
      </w:r>
      <w:r>
        <w:rPr>
          <w:rFonts w:ascii="Times New Roman" w:hAnsi="Times New Roman" w:eastAsia="方正仿宋_GBK" w:cs="Times New Roman"/>
          <w:sz w:val="32"/>
          <w:szCs w:val="32"/>
        </w:rPr>
        <w:t>2008</w:t>
      </w:r>
      <w:r>
        <w:rPr>
          <w:rFonts w:hint="eastAsia" w:ascii="Times New Roman" w:hAnsi="Times New Roman" w:eastAsia="方正仿宋_GBK" w:cs="Times New Roman"/>
          <w:sz w:val="32"/>
          <w:szCs w:val="32"/>
        </w:rPr>
        <w:t>年以来，自治区林检局为乌鲁木齐市建立国家级测报中心</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个、地州级测报站</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个、自治区级测报点</w:t>
      </w: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个、自治区级监测点</w:t>
      </w: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个，并配备仪器设备，为乌鲁木齐市林业有害生物防控工作奠定了良好基础。</w:t>
      </w:r>
    </w:p>
    <w:p w14:paraId="4CA44A38">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新疆地大物博，乌鲁木齐又是全疆物流的集散地，距离林业有害生物的发生情况和对外来危险性有害生物的监测预警要求还有很大差距，尚需进一步完善。乌鲁木齐市林业有害生物防控工作主要应加强以下几方面的工作，一是尚需将森林健康的理念贯穿到林业有害生物的防控实践中来，按照生态系统的观点采取营林技术和增强林分抗逆能力的有效措施，改变防控工作经常处于灾后救灾的被动局面；二是加强防控体系基础设施建设。近年来，国家和自治区加大了林业有害生物预防体系基础设施建设的投资力度，但防控体系尚需完善，尤其是检疫除害处理设施、检疫检查站等防范设施严重不足，监测、检疫检验仪器设备以及应急防控所必需的交通工具及药剂、药械等物资储备匮乏，很难满足我市林业有害生物防控工作的实际需要；三是积极推广应用先进的检疫检验和监测技术，及时对危险性有害生物进行检验鉴定，准确掌握控制疫情的最佳时机，避免疫情扩散。监测工作要采用传统的地面调查方式与航空和卫星遥感等先进的监测技术相结合，提高监测覆盖率；四是进一步完善防控体系。在防控体系建设上健全有害生物情报信息传输和</w:t>
      </w:r>
      <w:r>
        <w:rPr>
          <w:rFonts w:ascii="Times New Roman" w:hAnsi="Times New Roman" w:eastAsia="方正仿宋_GBK" w:cs="Times New Roman"/>
          <w:sz w:val="32"/>
          <w:szCs w:val="32"/>
        </w:rPr>
        <w:t>GIS</w:t>
      </w:r>
      <w:r>
        <w:rPr>
          <w:rFonts w:hint="eastAsia" w:ascii="Times New Roman" w:hAnsi="Times New Roman" w:eastAsia="方正仿宋_GBK" w:cs="Times New Roman"/>
          <w:sz w:val="32"/>
          <w:szCs w:val="32"/>
        </w:rPr>
        <w:t>信息处理及遥感监测的软硬件平台，实现对航空遥感信息的及时处理，形成对有害生物空中和地面的立体监测，达到对区域内林业有害生物的实时监测预警。建立起林业有害生物鉴定、风险评估、检疫检验信息传送体系。</w:t>
      </w:r>
    </w:p>
    <w:p w14:paraId="0B806F2D">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为贯彻</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预防为主，科学防治，依法监管，强化责任</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的工作方针，全面提高对松材线虫等重大林业有害生物的防控和应急救灾能力，迅速遏制松材线虫等重大林业有害生物严重发生的势头，最大限度地减轻危害损失，保护和发展森林资源、保障新时期林业健康、可持续发展和国土生态安全，按照自治区林检局的总体部署，结合乌鲁木齐市林业有害生物发生危害和基础设施建设现状，乌鲁木齐市林业有害生物防治检疫站针对辖区林业有害生物防控的形势和实际情况，进行乌鲁木齐市松材线虫病等重大林业有害生物防治能力提升建设项目的可行性研究，以期项目尽快启动，推进乌鲁木齐市林业有害生物防控工作，使乌鲁木齐林业有害生物防控工作迈上一个新台阶。</w:t>
      </w:r>
    </w:p>
    <w:p w14:paraId="7AC4D06C">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项目</w:t>
      </w: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rPr>
        <w:t>年的主要实施内容：</w:t>
      </w: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rPr>
        <w:t>年项目完成全部建设内容，包括建立和完善林业有害生物防治监测预警体系、检疫御灾体系、防治减灾体系和服务保障体系。</w:t>
      </w:r>
    </w:p>
    <w:p w14:paraId="20A1195A">
      <w:pPr>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rPr>
        <w:t>年实际完成情况为：</w:t>
      </w: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rPr>
        <w:t>年完成项目所有设备采购及实验室等改造建设。</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、监测预警体系建设建立自治区级测报点</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个，购置软件系统和相关设施设备；</w:t>
      </w: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、检疫御灾体系建设完成市、县（区）级林业检疫实验室基础设备及外业检疫硬件设备；</w:t>
      </w: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、防治减灾体系建设完成专业应急防控队</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支并配备相关设施设备；</w:t>
      </w: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rPr>
        <w:t>、服务保障体系建设完成购置标本采集、制作工具及数据处理设备等；</w:t>
      </w:r>
      <w:r>
        <w:rPr>
          <w:rFonts w:ascii="Times New Roman" w:hAnsi="Times New Roman" w:eastAsia="方正仿宋_GBK" w:cs="Times New Roman"/>
          <w:sz w:val="32"/>
          <w:szCs w:val="32"/>
        </w:rPr>
        <w:t>5</w:t>
      </w:r>
      <w:r>
        <w:rPr>
          <w:rFonts w:hint="eastAsia" w:ascii="Times New Roman" w:hAnsi="Times New Roman" w:eastAsia="方正仿宋_GBK" w:cs="Times New Roman"/>
          <w:sz w:val="32"/>
          <w:szCs w:val="32"/>
        </w:rPr>
        <w:t>、完成对原有药剂药械库、实验室、标本室改造。</w:t>
      </w:r>
    </w:p>
    <w:p w14:paraId="2B8ADA6E">
      <w:pPr>
        <w:pStyle w:val="4"/>
        <w:adjustRightInd w:val="0"/>
        <w:snapToGrid w:val="0"/>
        <w:spacing w:before="0" w:after="0" w:line="560" w:lineRule="exact"/>
        <w:ind w:firstLine="643"/>
        <w:rPr>
          <w:rFonts w:ascii="Times New Roman" w:hAnsi="Times New Roman" w:cs="Times New Roman"/>
        </w:rPr>
      </w:pPr>
      <w:bookmarkStart w:id="5" w:name="_Toc165277223"/>
      <w:r>
        <w:rPr>
          <w:rFonts w:ascii="Times New Roman" w:hAnsi="Times New Roman" w:cs="Times New Roman"/>
        </w:rPr>
        <w:t>2.</w:t>
      </w:r>
      <w:r>
        <w:rPr>
          <w:rFonts w:hint="eastAsia" w:ascii="Times New Roman" w:hAnsi="Times New Roman" w:cs="Times New Roman"/>
        </w:rPr>
        <w:t>资金投入和使用情况</w:t>
      </w:r>
      <w:bookmarkEnd w:id="5"/>
    </w:p>
    <w:p w14:paraId="2449200F">
      <w:pPr>
        <w:adjustRightInd w:val="0"/>
        <w:snapToGrid w:val="0"/>
        <w:spacing w:line="560" w:lineRule="exact"/>
        <w:ind w:firstLine="640"/>
        <w:rPr>
          <w:rFonts w:ascii="Times New Roman" w:hAnsi="Times New Roman" w:eastAsia="方正仿宋_GBK" w:cs="Times New Roman"/>
          <w:sz w:val="32"/>
          <w:szCs w:val="32"/>
        </w:rPr>
      </w:pPr>
      <w:bookmarkStart w:id="6" w:name="_Toc67911603"/>
      <w:bookmarkStart w:id="7" w:name="_Toc165277224"/>
      <w:r>
        <w:rPr>
          <w:rFonts w:hint="eastAsia" w:ascii="Times New Roman" w:hAnsi="Times New Roman" w:eastAsia="方正仿宋_GBK" w:cs="Times New Roman"/>
          <w:sz w:val="32"/>
          <w:szCs w:val="32"/>
        </w:rPr>
        <w:t>该项目资金投入情况：经乌财建﹝</w:t>
      </w:r>
      <w:r>
        <w:rPr>
          <w:rFonts w:ascii="Times New Roman" w:hAnsi="Times New Roman" w:eastAsia="方正仿宋_GBK" w:cs="Times New Roman"/>
          <w:sz w:val="32"/>
          <w:szCs w:val="32"/>
        </w:rPr>
        <w:t>2022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194</w:t>
      </w:r>
      <w:r>
        <w:rPr>
          <w:rFonts w:hint="eastAsia" w:ascii="Times New Roman" w:hAnsi="Times New Roman" w:eastAsia="方正仿宋_GBK" w:cs="Times New Roman"/>
          <w:sz w:val="32"/>
          <w:szCs w:val="32"/>
        </w:rPr>
        <w:t>号文件批准，项目系</w:t>
      </w:r>
      <w:r>
        <w:rPr>
          <w:rFonts w:ascii="Times New Roman" w:hAnsi="Times New Roman" w:eastAsia="方正仿宋_GBK" w:cs="Times New Roman"/>
          <w:sz w:val="32"/>
          <w:szCs w:val="32"/>
        </w:rPr>
        <w:t>2022</w:t>
      </w:r>
      <w:r>
        <w:rPr>
          <w:rFonts w:hint="eastAsia" w:ascii="Times New Roman" w:hAnsi="Times New Roman" w:eastAsia="方正仿宋_GBK" w:cs="Times New Roman"/>
          <w:sz w:val="32"/>
          <w:szCs w:val="32"/>
        </w:rPr>
        <w:t>年中央预算内资金，共安排预算</w:t>
      </w:r>
      <w:r>
        <w:rPr>
          <w:rFonts w:ascii="Times New Roman" w:hAnsi="Times New Roman" w:eastAsia="方正仿宋_GBK" w:cs="Times New Roman"/>
          <w:sz w:val="32"/>
          <w:szCs w:val="32"/>
        </w:rPr>
        <w:t>1359</w:t>
      </w:r>
      <w:r>
        <w:rPr>
          <w:rFonts w:hint="eastAsia" w:ascii="Times New Roman" w:hAnsi="Times New Roman" w:eastAsia="方正仿宋_GBK" w:cs="Times New Roman"/>
          <w:sz w:val="32"/>
          <w:szCs w:val="32"/>
        </w:rPr>
        <w:t>万元，于</w:t>
      </w:r>
      <w:r>
        <w:rPr>
          <w:rFonts w:ascii="Times New Roman" w:hAnsi="Times New Roman" w:eastAsia="方正仿宋_GBK" w:cs="Times New Roman"/>
          <w:sz w:val="32"/>
          <w:szCs w:val="32"/>
        </w:rPr>
        <w:t xml:space="preserve"> 2023</w:t>
      </w:r>
      <w:r>
        <w:rPr>
          <w:rFonts w:hint="eastAsia" w:ascii="Times New Roman" w:hAnsi="Times New Roman" w:eastAsia="方正仿宋_GBK" w:cs="Times New Roman"/>
          <w:sz w:val="32"/>
          <w:szCs w:val="32"/>
        </w:rPr>
        <w:t>年初部分预算批复项目。</w:t>
      </w:r>
    </w:p>
    <w:p w14:paraId="498A3362">
      <w:pPr>
        <w:adjustRightInd w:val="0"/>
        <w:snapToGrid w:val="0"/>
        <w:spacing w:line="560" w:lineRule="exact"/>
        <w:ind w:firstLine="640"/>
        <w:rPr>
          <w:rFonts w:ascii="Times New Roman" w:hAnsi="Times New Roman" w:eastAsia="方正仿宋_GBK" w:cs="Times New Roman"/>
          <w:color w:val="FF0000"/>
          <w:sz w:val="32"/>
          <w:szCs w:val="32"/>
        </w:rPr>
      </w:pPr>
      <w:r>
        <w:rPr>
          <w:rFonts w:hint="eastAsia" w:ascii="Times New Roman" w:hAnsi="Times New Roman" w:eastAsia="方正仿宋_GBK" w:cs="Times New Roman"/>
          <w:sz w:val="32"/>
          <w:szCs w:val="32"/>
        </w:rPr>
        <w:t>该项目资金使用情况：项目总预算</w:t>
      </w:r>
      <w:r>
        <w:rPr>
          <w:rFonts w:ascii="Times New Roman" w:hAnsi="Times New Roman" w:eastAsia="方正仿宋_GBK" w:cs="Times New Roman"/>
          <w:sz w:val="32"/>
          <w:szCs w:val="32"/>
        </w:rPr>
        <w:t>1359</w:t>
      </w:r>
      <w:r>
        <w:rPr>
          <w:rFonts w:hint="eastAsia" w:ascii="Times New Roman" w:hAnsi="Times New Roman" w:eastAsia="方正仿宋_GBK" w:cs="Times New Roman"/>
          <w:sz w:val="32"/>
          <w:szCs w:val="32"/>
        </w:rPr>
        <w:t>万元，包括设备采购、实验室改造等及其他费用。其中：设备购置费1241.57万元，占总投资91.36%，已执行完毕，预算执行率为100%；工程费65.29万元，占总投资4.80%，已执行完毕，预算执行率为100%。其他业务服务费为52.15万元，占总投资3.84%，已执行完毕，预算执行率为100%。</w:t>
      </w:r>
    </w:p>
    <w:p w14:paraId="0AA26852">
      <w:pPr>
        <w:pStyle w:val="3"/>
        <w:adjustRightInd w:val="0"/>
        <w:snapToGrid w:val="0"/>
        <w:spacing w:before="0" w:after="0" w:line="560" w:lineRule="exact"/>
        <w:ind w:firstLine="643"/>
        <w:rPr>
          <w:rFonts w:ascii="Times New Roman" w:hAnsi="Times New Roman" w:eastAsia="仿宋"/>
        </w:rPr>
      </w:pPr>
      <w:r>
        <w:rPr>
          <w:rFonts w:hint="eastAsia" w:ascii="Times New Roman" w:hAnsi="Times New Roman" w:eastAsia="仿宋"/>
        </w:rPr>
        <w:t>（二）项目绩效目标：</w:t>
      </w:r>
      <w:bookmarkEnd w:id="6"/>
      <w:bookmarkEnd w:id="7"/>
    </w:p>
    <w:p w14:paraId="5DB2D7BD">
      <w:pPr>
        <w:adjustRightInd w:val="0"/>
        <w:snapToGrid w:val="0"/>
        <w:spacing w:line="560" w:lineRule="exact"/>
        <w:ind w:firstLine="640"/>
        <w:rPr>
          <w:rFonts w:ascii="Times New Roman" w:hAnsi="Times New Roman" w:eastAsia="方正仿宋_GBK" w:cs="Times New Roman"/>
          <w:sz w:val="32"/>
          <w:szCs w:val="32"/>
        </w:rPr>
      </w:pPr>
      <w:bookmarkStart w:id="8" w:name="_Toc67911604"/>
      <w:bookmarkStart w:id="9" w:name="_Toc165277225"/>
      <w:r>
        <w:rPr>
          <w:rFonts w:hint="eastAsia" w:ascii="Times New Roman" w:hAnsi="Times New Roman" w:eastAsia="方正仿宋_GBK" w:cs="Times New Roman"/>
          <w:sz w:val="32"/>
          <w:szCs w:val="32"/>
        </w:rPr>
        <w:t>本项目依据《中共中央国务院关于全面实施预算绩效管理的意见》（中发〔</w:t>
      </w:r>
      <w:r>
        <w:rPr>
          <w:rFonts w:ascii="Times New Roman" w:hAnsi="Times New Roman" w:eastAsia="方正仿宋_GBK" w:cs="Times New Roman"/>
          <w:sz w:val="32"/>
          <w:szCs w:val="32"/>
        </w:rPr>
        <w:t>2018</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34</w:t>
      </w:r>
      <w:r>
        <w:rPr>
          <w:rFonts w:hint="eastAsia" w:ascii="Times New Roman" w:hAnsi="Times New Roman" w:eastAsia="方正仿宋_GBK" w:cs="Times New Roman"/>
          <w:sz w:val="32"/>
          <w:szCs w:val="32"/>
        </w:rPr>
        <w:t>号）、《关于印发＜乌鲁木齐市本级部门预算绩效目标管理暂行办法＞的通知》（乌财预〔</w:t>
      </w:r>
      <w:r>
        <w:rPr>
          <w:rFonts w:ascii="Times New Roman" w:hAnsi="Times New Roman" w:eastAsia="方正仿宋_GBK" w:cs="Times New Roman"/>
          <w:sz w:val="32"/>
          <w:szCs w:val="32"/>
        </w:rPr>
        <w:t>2018</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56</w:t>
      </w:r>
      <w:r>
        <w:rPr>
          <w:rFonts w:hint="eastAsia" w:ascii="Times New Roman" w:hAnsi="Times New Roman" w:eastAsia="方正仿宋_GBK" w:cs="Times New Roman"/>
          <w:sz w:val="32"/>
          <w:szCs w:val="32"/>
        </w:rPr>
        <w:t>号）、《关于做好</w:t>
      </w:r>
      <w:r>
        <w:rPr>
          <w:rFonts w:ascii="Times New Roman" w:hAnsi="Times New Roman" w:eastAsia="方正仿宋_GBK" w:cs="Times New Roman"/>
          <w:sz w:val="32"/>
          <w:szCs w:val="32"/>
        </w:rPr>
        <w:t>2019</w:t>
      </w:r>
      <w:r>
        <w:rPr>
          <w:rFonts w:hint="eastAsia" w:ascii="Times New Roman" w:hAnsi="Times New Roman" w:eastAsia="方正仿宋_GBK" w:cs="Times New Roman"/>
          <w:sz w:val="32"/>
          <w:szCs w:val="32"/>
        </w:rPr>
        <w:t>年部门预算项目支出绩效目标管理有关事宜的通知》（乌财预〔</w:t>
      </w:r>
      <w:r>
        <w:rPr>
          <w:rFonts w:ascii="Times New Roman" w:hAnsi="Times New Roman" w:eastAsia="方正仿宋_GBK" w:cs="Times New Roman"/>
          <w:sz w:val="32"/>
          <w:szCs w:val="32"/>
        </w:rPr>
        <w:t>2018</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76</w:t>
      </w:r>
      <w:r>
        <w:rPr>
          <w:rFonts w:hint="eastAsia" w:ascii="Times New Roman" w:hAnsi="Times New Roman" w:eastAsia="方正仿宋_GBK" w:cs="Times New Roman"/>
          <w:sz w:val="32"/>
          <w:szCs w:val="32"/>
        </w:rPr>
        <w:t>号）和《项目支出绩效评价管理办法》（财预〔</w:t>
      </w:r>
      <w:r>
        <w:rPr>
          <w:rFonts w:ascii="Times New Roman" w:hAnsi="Times New Roman" w:eastAsia="方正仿宋_GBK" w:cs="Times New Roman"/>
          <w:sz w:val="32"/>
          <w:szCs w:val="32"/>
        </w:rPr>
        <w:t>2020</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10</w:t>
      </w:r>
      <w:r>
        <w:rPr>
          <w:rFonts w:hint="eastAsia" w:ascii="Times New Roman" w:hAnsi="Times New Roman" w:eastAsia="方正仿宋_GBK" w:cs="Times New Roman"/>
          <w:sz w:val="32"/>
          <w:szCs w:val="32"/>
        </w:rPr>
        <w:t>号）等文件要求，开展绩效管理，按照《自治区发展改革委</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林草局关于下达藏粮于地藏粮于技专项（林业草原有害生物防治能力建设项目）</w:t>
      </w:r>
      <w:r>
        <w:rPr>
          <w:rFonts w:ascii="Times New Roman" w:hAnsi="Times New Roman" w:eastAsia="方正仿宋_GBK" w:cs="Times New Roman"/>
          <w:sz w:val="32"/>
          <w:szCs w:val="32"/>
        </w:rPr>
        <w:t>2022</w:t>
      </w:r>
      <w:r>
        <w:rPr>
          <w:rFonts w:hint="eastAsia" w:ascii="Times New Roman" w:hAnsi="Times New Roman" w:eastAsia="方正仿宋_GBK" w:cs="Times New Roman"/>
          <w:sz w:val="32"/>
          <w:szCs w:val="32"/>
        </w:rPr>
        <w:t>年中央预算内投资计划的通知》（新发改投资〔</w:t>
      </w:r>
      <w:r>
        <w:rPr>
          <w:rFonts w:ascii="Times New Roman" w:hAnsi="Times New Roman" w:eastAsia="方正仿宋_GBK" w:cs="Times New Roman"/>
          <w:sz w:val="32"/>
          <w:szCs w:val="32"/>
        </w:rPr>
        <w:t>2022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 xml:space="preserve">276 </w:t>
      </w:r>
      <w:r>
        <w:rPr>
          <w:rFonts w:hint="eastAsia" w:ascii="Times New Roman" w:hAnsi="Times New Roman" w:eastAsia="方正仿宋_GBK" w:cs="Times New Roman"/>
          <w:sz w:val="32"/>
          <w:szCs w:val="32"/>
        </w:rPr>
        <w:t>号）文件，自治区下达项目绩效目标。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14:paraId="2E78CF8A">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该项目为当年一次性项目。</w:t>
      </w:r>
    </w:p>
    <w:p w14:paraId="0F2BC63D">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该项目总体绩效目标：进一步加强林草有害生物监测预警、检疫御灾、防灾减灾能力建设，外来林业有害生物入侵防范能力和突发林业有害生物灾害应对能力得到提高，重大林业有害生物发生危害的形势进一步遏制，较好提升林草资源安全、国土生态安全的保障能力。</w:t>
      </w:r>
    </w:p>
    <w:p w14:paraId="61533CB8">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该项目阶段性目标为：在</w:t>
      </w: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rPr>
        <w:t>年完成项目全部建设任务，包括监测预警、检疫御灾、防灾减灾能力建设，包括设备采购、实验室等改造。</w:t>
      </w:r>
    </w:p>
    <w:p w14:paraId="07A99642">
      <w:pPr>
        <w:pStyle w:val="2"/>
        <w:adjustRightInd w:val="0"/>
        <w:snapToGrid w:val="0"/>
        <w:spacing w:before="0" w:after="0" w:line="560" w:lineRule="exact"/>
        <w:ind w:firstLine="723"/>
        <w:jc w:val="left"/>
        <w:rPr>
          <w:rFonts w:ascii="Times New Roman" w:hAnsi="Times New Roman" w:eastAsia="仿宋" w:cs="Times New Roman"/>
          <w:sz w:val="36"/>
          <w:szCs w:val="36"/>
        </w:rPr>
      </w:pPr>
      <w:r>
        <w:rPr>
          <w:rFonts w:hint="eastAsia" w:ascii="Times New Roman" w:hAnsi="Times New Roman" w:eastAsia="仿宋" w:cs="Times New Roman"/>
          <w:sz w:val="36"/>
          <w:szCs w:val="36"/>
        </w:rPr>
        <w:t>二、绩效评价工作开展情况</w:t>
      </w:r>
      <w:bookmarkEnd w:id="8"/>
      <w:bookmarkEnd w:id="9"/>
    </w:p>
    <w:p w14:paraId="0201D755">
      <w:pPr>
        <w:pStyle w:val="3"/>
        <w:adjustRightInd w:val="0"/>
        <w:snapToGrid w:val="0"/>
        <w:spacing w:before="0" w:after="0" w:line="560" w:lineRule="exact"/>
        <w:ind w:firstLine="643"/>
        <w:rPr>
          <w:rFonts w:ascii="Times New Roman" w:hAnsi="Times New Roman" w:eastAsia="仿宋"/>
        </w:rPr>
      </w:pPr>
      <w:bookmarkStart w:id="10" w:name="_Toc67911605"/>
      <w:bookmarkStart w:id="11" w:name="_Toc165277226"/>
      <w:r>
        <w:rPr>
          <w:rFonts w:hint="eastAsia" w:ascii="Times New Roman" w:hAnsi="Times New Roman" w:eastAsia="仿宋"/>
        </w:rPr>
        <w:t>（一）绩效评价目的、对象和范围</w:t>
      </w:r>
      <w:bookmarkEnd w:id="10"/>
      <w:bookmarkEnd w:id="11"/>
    </w:p>
    <w:p w14:paraId="4B631F8D">
      <w:pPr>
        <w:pStyle w:val="4"/>
        <w:adjustRightInd w:val="0"/>
        <w:snapToGrid w:val="0"/>
        <w:spacing w:before="0" w:after="0" w:line="560" w:lineRule="exact"/>
        <w:ind w:firstLine="643"/>
        <w:rPr>
          <w:rFonts w:ascii="Times New Roman" w:hAnsi="Times New Roman" w:cs="Times New Roman"/>
        </w:rPr>
      </w:pPr>
      <w:bookmarkStart w:id="12" w:name="_Toc165277227"/>
      <w:r>
        <w:rPr>
          <w:rFonts w:ascii="Times New Roman" w:hAnsi="Times New Roman" w:cs="Times New Roman"/>
        </w:rPr>
        <w:t>1.</w:t>
      </w:r>
      <w:r>
        <w:rPr>
          <w:rFonts w:hint="eastAsia" w:ascii="Times New Roman" w:hAnsi="Times New Roman" w:cs="Times New Roman"/>
        </w:rPr>
        <w:t>绩效评价完整性</w:t>
      </w:r>
      <w:bookmarkEnd w:id="12"/>
    </w:p>
    <w:p w14:paraId="32292CFA">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项目为病虫害防治能力基础建设项目，主要以配备设备，改造原有实验室为建设内容，绩效目标中设置采购设备合格率、建设项目验收合格率、项目建设期限和按期完成率为绩效指标，能够完整体现项目建设进度及建设质量。</w:t>
      </w:r>
    </w:p>
    <w:p w14:paraId="19146F2D">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本项目按照市发改委批复的初步设计开展建设工作，所有建设进度均按照计划进行，</w:t>
      </w:r>
      <w:r>
        <w:rPr>
          <w:rFonts w:ascii="方正仿宋_GBK" w:hAnsi="方正仿宋_GBK" w:eastAsia="方正仿宋_GBK" w:cs="方正仿宋_GBK"/>
          <w:sz w:val="32"/>
          <w:szCs w:val="32"/>
        </w:rPr>
        <w:t>2023</w:t>
      </w:r>
      <w:r>
        <w:rPr>
          <w:rFonts w:hint="eastAsia" w:ascii="方正仿宋_GBK" w:hAnsi="方正仿宋_GBK" w:eastAsia="方正仿宋_GBK" w:cs="方正仿宋_GBK"/>
          <w:sz w:val="32"/>
          <w:szCs w:val="32"/>
        </w:rPr>
        <w:t>年完成项目全部建设内容。</w:t>
      </w:r>
    </w:p>
    <w:p w14:paraId="5F5F833D">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项目评价数据基于已完成建设内容，设备验收合格率以监理单位提供的验收报告作为依据。项目</w:t>
      </w:r>
      <w:r>
        <w:rPr>
          <w:rFonts w:ascii="方正仿宋_GBK" w:hAnsi="方正仿宋_GBK" w:eastAsia="方正仿宋_GBK" w:cs="方正仿宋_GBK"/>
          <w:sz w:val="32"/>
          <w:szCs w:val="32"/>
        </w:rPr>
        <w:t>2023</w:t>
      </w:r>
      <w:r>
        <w:rPr>
          <w:rFonts w:hint="eastAsia" w:ascii="方正仿宋_GBK" w:hAnsi="方正仿宋_GBK" w:eastAsia="方正仿宋_GBK" w:cs="方正仿宋_GBK"/>
          <w:sz w:val="32"/>
          <w:szCs w:val="32"/>
        </w:rPr>
        <w:t>年完成全部建设内容，项目资金全部支付完成。</w:t>
      </w:r>
    </w:p>
    <w:p w14:paraId="2695DDD3">
      <w:pPr>
        <w:pStyle w:val="4"/>
        <w:adjustRightInd w:val="0"/>
        <w:snapToGrid w:val="0"/>
        <w:spacing w:before="0" w:after="0" w:line="560" w:lineRule="exact"/>
        <w:ind w:firstLine="643"/>
        <w:rPr>
          <w:rFonts w:ascii="Times New Roman" w:hAnsi="Times New Roman" w:cs="Times New Roman"/>
        </w:rPr>
      </w:pPr>
      <w:bookmarkStart w:id="13" w:name="_Toc165277228"/>
      <w:r>
        <w:rPr>
          <w:rFonts w:ascii="Times New Roman" w:hAnsi="Times New Roman" w:cs="Times New Roman"/>
        </w:rPr>
        <w:t>2.</w:t>
      </w:r>
      <w:r>
        <w:rPr>
          <w:rFonts w:hint="eastAsia" w:ascii="Times New Roman" w:hAnsi="Times New Roman" w:cs="Times New Roman"/>
        </w:rPr>
        <w:t>评价目的</w:t>
      </w:r>
      <w:bookmarkEnd w:id="13"/>
    </w:p>
    <w:p w14:paraId="277F3AAC">
      <w:pPr>
        <w:adjustRightInd w:val="0"/>
        <w:snapToGrid w:val="0"/>
        <w:spacing w:line="560" w:lineRule="exact"/>
        <w:ind w:firstLine="640"/>
        <w:rPr>
          <w:rFonts w:ascii="方正仿宋_GBK" w:hAnsi="方正仿宋_GBK" w:eastAsia="方正仿宋_GBK" w:cs="方正仿宋_GBK"/>
          <w:b/>
          <w:bCs/>
          <w:sz w:val="32"/>
          <w:szCs w:val="24"/>
        </w:rPr>
      </w:pPr>
      <w:r>
        <w:rPr>
          <w:rFonts w:hint="eastAsia" w:ascii="方正仿宋_GBK" w:hAnsi="方正仿宋_GBK" w:eastAsia="方正仿宋_GBK" w:cs="方正仿宋_GBK"/>
          <w:sz w:val="32"/>
          <w:szCs w:val="24"/>
        </w:rPr>
        <w:t>本项工作旨在落实《中共中央</w:t>
      </w:r>
      <w:r>
        <w:rPr>
          <w:rFonts w:ascii="方正仿宋_GBK" w:hAnsi="方正仿宋_GBK" w:eastAsia="方正仿宋_GBK" w:cs="方正仿宋_GBK"/>
          <w:sz w:val="32"/>
          <w:szCs w:val="24"/>
        </w:rPr>
        <w:t xml:space="preserve"> </w:t>
      </w:r>
      <w:r>
        <w:rPr>
          <w:rFonts w:hint="eastAsia" w:ascii="方正仿宋_GBK" w:hAnsi="方正仿宋_GBK" w:eastAsia="方正仿宋_GBK" w:cs="方正仿宋_GBK"/>
          <w:sz w:val="32"/>
          <w:szCs w:val="24"/>
        </w:rPr>
        <w:t>国务院关于全面实施预算绩效管理的意见》（中发〔</w:t>
      </w:r>
      <w:r>
        <w:rPr>
          <w:rFonts w:ascii="方正仿宋_GBK" w:hAnsi="方正仿宋_GBK" w:eastAsia="方正仿宋_GBK" w:cs="方正仿宋_GBK"/>
          <w:sz w:val="32"/>
          <w:szCs w:val="24"/>
        </w:rPr>
        <w:t>2018</w:t>
      </w:r>
      <w:r>
        <w:rPr>
          <w:rFonts w:hint="eastAsia" w:ascii="方正仿宋_GBK" w:hAnsi="方正仿宋_GBK" w:eastAsia="方正仿宋_GBK" w:cs="方正仿宋_GBK"/>
          <w:sz w:val="32"/>
          <w:szCs w:val="24"/>
        </w:rPr>
        <w:t>〕</w:t>
      </w:r>
      <w:r>
        <w:rPr>
          <w:rFonts w:ascii="方正仿宋_GBK" w:hAnsi="方正仿宋_GBK" w:eastAsia="方正仿宋_GBK" w:cs="方正仿宋_GBK"/>
          <w:sz w:val="32"/>
          <w:szCs w:val="24"/>
        </w:rPr>
        <w:t>34</w:t>
      </w:r>
      <w:r>
        <w:rPr>
          <w:rFonts w:hint="eastAsia" w:ascii="方正仿宋_GBK" w:hAnsi="方正仿宋_GBK" w:eastAsia="方正仿宋_GBK" w:cs="方正仿宋_GBK"/>
          <w:sz w:val="32"/>
          <w:szCs w:val="24"/>
        </w:rPr>
        <w:t>号）文件精神，全面推进预算绩效管理工作，落实预算执行及绩效管理主体责任。具体而言包括以下两点：（</w:t>
      </w:r>
      <w:r>
        <w:rPr>
          <w:rFonts w:ascii="方正仿宋_GBK" w:hAnsi="方正仿宋_GBK" w:eastAsia="方正仿宋_GBK" w:cs="方正仿宋_GBK"/>
          <w:sz w:val="32"/>
          <w:szCs w:val="24"/>
        </w:rPr>
        <w:t>1</w:t>
      </w:r>
      <w:r>
        <w:rPr>
          <w:rFonts w:hint="eastAsia" w:ascii="方正仿宋_GBK" w:hAnsi="方正仿宋_GBK" w:eastAsia="方正仿宋_GBK" w:cs="方正仿宋_GBK"/>
          <w:sz w:val="32"/>
          <w:szCs w:val="24"/>
        </w:rPr>
        <w:t>）通过对项目设立的背景、意义、项目内容、项目现状及绩效目标、资金投入、资金管理、组织实施、数量指标、质量指标、时效指标、成本指标和效益指标等进行深入调研和分析，进一步了解</w:t>
      </w:r>
      <w:r>
        <w:rPr>
          <w:rFonts w:hint="eastAsia" w:ascii="Times New Roman" w:hAnsi="Times New Roman" w:cs="Times New Roman"/>
          <w:sz w:val="32"/>
          <w:szCs w:val="32"/>
        </w:rPr>
        <w:t>乌鲁木齐市松材线虫病等重大林业有害生物防治能力提升工程建设项目</w:t>
      </w:r>
      <w:r>
        <w:rPr>
          <w:rFonts w:hint="eastAsia" w:ascii="方正仿宋_GBK" w:hAnsi="方正仿宋_GBK" w:eastAsia="方正仿宋_GBK" w:cs="方正仿宋_GBK"/>
          <w:sz w:val="32"/>
          <w:szCs w:val="24"/>
        </w:rPr>
        <w:t>实施情况，并考察项目实施过程和效果。（</w:t>
      </w:r>
      <w:r>
        <w:rPr>
          <w:rFonts w:ascii="方正仿宋_GBK" w:hAnsi="方正仿宋_GBK" w:eastAsia="方正仿宋_GBK" w:cs="方正仿宋_GBK"/>
          <w:sz w:val="32"/>
          <w:szCs w:val="24"/>
        </w:rPr>
        <w:t>2</w:t>
      </w:r>
      <w:r>
        <w:rPr>
          <w:rFonts w:hint="eastAsia" w:ascii="方正仿宋_GBK" w:hAnsi="方正仿宋_GBK" w:eastAsia="方正仿宋_GBK" w:cs="方正仿宋_GBK"/>
          <w:sz w:val="32"/>
          <w:szCs w:val="24"/>
        </w:rPr>
        <w:t>）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14:paraId="3ED2B0AF">
      <w:pPr>
        <w:pStyle w:val="4"/>
        <w:adjustRightInd w:val="0"/>
        <w:snapToGrid w:val="0"/>
        <w:spacing w:before="0" w:after="0" w:line="560" w:lineRule="exact"/>
        <w:ind w:firstLine="643"/>
        <w:rPr>
          <w:rFonts w:ascii="Times New Roman" w:hAnsi="Times New Roman" w:cs="Times New Roman"/>
        </w:rPr>
      </w:pPr>
      <w:bookmarkStart w:id="14" w:name="_Toc165277229"/>
      <w:r>
        <w:rPr>
          <w:rFonts w:ascii="Times New Roman" w:hAnsi="Times New Roman" w:cs="Times New Roman"/>
        </w:rPr>
        <w:t>3.</w:t>
      </w:r>
      <w:r>
        <w:rPr>
          <w:rFonts w:hint="eastAsia" w:ascii="Times New Roman" w:hAnsi="Times New Roman" w:cs="Times New Roman"/>
        </w:rPr>
        <w:t>评价对象</w:t>
      </w:r>
      <w:bookmarkEnd w:id="14"/>
    </w:p>
    <w:p w14:paraId="44593FB5">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1</w:t>
      </w:r>
      <w:r>
        <w:rPr>
          <w:rFonts w:hint="eastAsia" w:ascii="Times New Roman" w:hAnsi="Times New Roman" w:cs="Times New Roman"/>
          <w:sz w:val="32"/>
          <w:szCs w:val="32"/>
        </w:rPr>
        <w:t>）绩效评价的对象：乌鲁木齐市松材线虫病等重大林业有害生物防治能力提升工程建设项目</w:t>
      </w:r>
    </w:p>
    <w:p w14:paraId="43E0EB04">
      <w:pPr>
        <w:pStyle w:val="4"/>
        <w:adjustRightInd w:val="0"/>
        <w:snapToGrid w:val="0"/>
        <w:spacing w:before="0" w:after="0" w:line="560" w:lineRule="exact"/>
        <w:ind w:firstLine="643"/>
        <w:rPr>
          <w:rFonts w:ascii="Times New Roman" w:hAnsi="Times New Roman" w:cs="Times New Roman"/>
        </w:rPr>
      </w:pPr>
      <w:bookmarkStart w:id="15" w:name="_Toc165277230"/>
      <w:r>
        <w:rPr>
          <w:rFonts w:ascii="Times New Roman" w:hAnsi="Times New Roman" w:cs="Times New Roman"/>
        </w:rPr>
        <w:t>4.</w:t>
      </w:r>
      <w:r>
        <w:rPr>
          <w:rFonts w:hint="eastAsia" w:ascii="Times New Roman" w:hAnsi="Times New Roman" w:cs="Times New Roman"/>
        </w:rPr>
        <w:t>绩效评价范围</w:t>
      </w:r>
      <w:bookmarkEnd w:id="15"/>
    </w:p>
    <w:p w14:paraId="27C67E39">
      <w:pPr>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sz w:val="32"/>
          <w:szCs w:val="32"/>
        </w:rPr>
        <w:t>1.</w:t>
      </w:r>
      <w:r>
        <w:rPr>
          <w:rFonts w:hint="eastAsia" w:ascii="Times New Roman" w:hAnsi="Times New Roman" w:cs="Times New Roman"/>
          <w:sz w:val="32"/>
          <w:szCs w:val="32"/>
        </w:rPr>
        <w:t>时间范围：</w:t>
      </w:r>
      <w:r>
        <w:rPr>
          <w:rFonts w:ascii="Times New Roman" w:hAnsi="Times New Roman" w:cs="Times New Roman"/>
          <w:sz w:val="32"/>
          <w:szCs w:val="32"/>
        </w:rPr>
        <w:t>2023</w:t>
      </w:r>
      <w:r>
        <w:rPr>
          <w:rFonts w:hint="eastAsia" w:ascii="Times New Roman" w:hAnsi="Times New Roman" w:cs="Times New Roman"/>
          <w:sz w:val="32"/>
          <w:szCs w:val="32"/>
        </w:rPr>
        <w:t>年</w:t>
      </w:r>
      <w:r>
        <w:rPr>
          <w:rFonts w:ascii="Times New Roman" w:hAnsi="Times New Roman" w:cs="Times New Roman"/>
          <w:sz w:val="32"/>
          <w:szCs w:val="32"/>
        </w:rPr>
        <w:t>1</w:t>
      </w:r>
      <w:r>
        <w:rPr>
          <w:rFonts w:hint="eastAsia" w:ascii="Times New Roman" w:hAnsi="Times New Roman" w:cs="Times New Roman"/>
          <w:sz w:val="32"/>
          <w:szCs w:val="32"/>
        </w:rPr>
        <w:t>月</w:t>
      </w:r>
      <w:r>
        <w:rPr>
          <w:rFonts w:ascii="Times New Roman" w:hAnsi="Times New Roman" w:cs="Times New Roman"/>
          <w:sz w:val="32"/>
          <w:szCs w:val="32"/>
        </w:rPr>
        <w:t>1</w:t>
      </w:r>
      <w:r>
        <w:rPr>
          <w:rFonts w:hint="eastAsia" w:ascii="Times New Roman" w:hAnsi="Times New Roman" w:cs="Times New Roman"/>
          <w:sz w:val="32"/>
          <w:szCs w:val="32"/>
        </w:rPr>
        <w:t>日至</w:t>
      </w:r>
      <w:r>
        <w:rPr>
          <w:rFonts w:ascii="Times New Roman" w:hAnsi="Times New Roman" w:cs="Times New Roman"/>
          <w:sz w:val="32"/>
          <w:szCs w:val="32"/>
        </w:rPr>
        <w:t>2023</w:t>
      </w:r>
      <w:r>
        <w:rPr>
          <w:rFonts w:hint="eastAsia" w:ascii="Times New Roman" w:hAnsi="Times New Roman" w:cs="Times New Roman"/>
          <w:sz w:val="32"/>
          <w:szCs w:val="32"/>
        </w:rPr>
        <w:t>年</w:t>
      </w:r>
      <w:r>
        <w:rPr>
          <w:rFonts w:ascii="Times New Roman" w:hAnsi="Times New Roman" w:cs="Times New Roman"/>
          <w:sz w:val="32"/>
          <w:szCs w:val="32"/>
        </w:rPr>
        <w:t>12</w:t>
      </w:r>
      <w:r>
        <w:rPr>
          <w:rFonts w:hint="eastAsia" w:ascii="Times New Roman" w:hAnsi="Times New Roman" w:cs="Times New Roman"/>
          <w:sz w:val="32"/>
          <w:szCs w:val="32"/>
        </w:rPr>
        <w:t>月</w:t>
      </w:r>
      <w:r>
        <w:rPr>
          <w:rFonts w:ascii="Times New Roman" w:hAnsi="Times New Roman" w:cs="Times New Roman"/>
          <w:sz w:val="32"/>
          <w:szCs w:val="32"/>
        </w:rPr>
        <w:t>31</w:t>
      </w:r>
      <w:r>
        <w:rPr>
          <w:rFonts w:hint="eastAsia" w:ascii="Times New Roman" w:hAnsi="Times New Roman" w:cs="Times New Roman"/>
          <w:sz w:val="32"/>
          <w:szCs w:val="32"/>
        </w:rPr>
        <w:t>日。</w:t>
      </w:r>
    </w:p>
    <w:p w14:paraId="6EA13F6D">
      <w:pPr>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sz w:val="32"/>
          <w:szCs w:val="32"/>
        </w:rPr>
        <w:t>2.</w:t>
      </w:r>
      <w:r>
        <w:rPr>
          <w:rFonts w:hint="eastAsia" w:ascii="Times New Roman" w:hAnsi="Times New Roman" w:cs="Times New Roman"/>
          <w:sz w:val="32"/>
          <w:szCs w:val="32"/>
        </w:rPr>
        <w:t>项目范围：乌鲁木齐市松材线虫病等重大林业有害生物防治能力提升工程建设项目</w:t>
      </w:r>
      <w:r>
        <w:rPr>
          <w:rFonts w:ascii="Times New Roman" w:hAnsi="Times New Roman" w:cs="Times New Roman"/>
          <w:sz w:val="32"/>
          <w:szCs w:val="32"/>
        </w:rPr>
        <w:t>2023</w:t>
      </w:r>
      <w:r>
        <w:rPr>
          <w:rFonts w:hint="eastAsia" w:ascii="Times New Roman" w:hAnsi="Times New Roman" w:cs="Times New Roman"/>
          <w:sz w:val="32"/>
          <w:szCs w:val="32"/>
        </w:rPr>
        <w:t>年完成全部建设内容，所有设备采购到位，实验室等改造工程完成全部建设，所有项目资金完成支付。项目按照自治区林草局、市财政局的相关要求开展评价工作，包括阶段性评价和年终评价。项目建设完成能够全面提升我市应对林业有害生物灾害时的能力，防治设备配备到位，病虫害防治能力得到提高，病虫害监测平台建设完成，病虫害发生的监测能力有效提升。项目建设达到设计目标。</w:t>
      </w:r>
    </w:p>
    <w:p w14:paraId="138042B2">
      <w:pPr>
        <w:pStyle w:val="3"/>
        <w:adjustRightInd w:val="0"/>
        <w:snapToGrid w:val="0"/>
        <w:spacing w:before="0" w:after="0" w:line="560" w:lineRule="exact"/>
        <w:ind w:firstLine="643"/>
        <w:rPr>
          <w:rFonts w:ascii="Times New Roman" w:hAnsi="Times New Roman" w:eastAsia="仿宋"/>
        </w:rPr>
      </w:pPr>
      <w:bookmarkStart w:id="16" w:name="_Toc165277231"/>
      <w:bookmarkStart w:id="17" w:name="_Toc67911606"/>
      <w:bookmarkStart w:id="18" w:name="_Hlk67586765"/>
      <w:r>
        <w:rPr>
          <w:rFonts w:hint="eastAsia" w:ascii="Times New Roman" w:hAnsi="Times New Roman" w:eastAsia="仿宋"/>
        </w:rPr>
        <w:t>（二）绩效评价原则、指标体系、方法及标准</w:t>
      </w:r>
      <w:bookmarkEnd w:id="16"/>
      <w:bookmarkEnd w:id="17"/>
    </w:p>
    <w:bookmarkEnd w:id="18"/>
    <w:p w14:paraId="0FE24B6A">
      <w:pPr>
        <w:pStyle w:val="4"/>
        <w:adjustRightInd w:val="0"/>
        <w:snapToGrid w:val="0"/>
        <w:spacing w:before="0" w:after="0" w:line="560" w:lineRule="exact"/>
        <w:ind w:firstLine="643"/>
        <w:rPr>
          <w:rFonts w:ascii="Times New Roman" w:hAnsi="Times New Roman" w:cs="Times New Roman"/>
        </w:rPr>
      </w:pPr>
      <w:bookmarkStart w:id="19" w:name="_Toc165277232"/>
      <w:r>
        <w:rPr>
          <w:rFonts w:ascii="Times New Roman" w:hAnsi="Times New Roman" w:cs="Times New Roman"/>
        </w:rPr>
        <w:t>1.</w:t>
      </w:r>
      <w:r>
        <w:rPr>
          <w:rFonts w:hint="eastAsia" w:ascii="Times New Roman" w:hAnsi="Times New Roman" w:cs="Times New Roman"/>
        </w:rPr>
        <w:t>评价原则</w:t>
      </w:r>
      <w:bookmarkEnd w:id="19"/>
    </w:p>
    <w:p w14:paraId="6463B40F">
      <w:pPr>
        <w:adjustRightInd w:val="0"/>
        <w:snapToGrid w:val="0"/>
        <w:spacing w:line="560" w:lineRule="exact"/>
        <w:ind w:firstLine="640"/>
        <w:rPr>
          <w:rFonts w:ascii="Times New Roman" w:hAnsi="Times New Roman" w:cs="Times New Roman"/>
          <w:bCs/>
          <w:sz w:val="32"/>
          <w:szCs w:val="32"/>
        </w:rPr>
      </w:pPr>
      <w:r>
        <w:rPr>
          <w:rFonts w:hint="eastAsia" w:ascii="Times New Roman" w:hAnsi="Times New Roman" w:cs="Times New Roman"/>
          <w:bCs/>
          <w:sz w:val="32"/>
          <w:szCs w:val="32"/>
        </w:rPr>
        <w:t>（一）科学公正。绩效评价应当运用科学合理的方法，按照规范的程序，对项目绩效进行客观、公正的反映。</w:t>
      </w:r>
    </w:p>
    <w:p w14:paraId="20F9A6C9">
      <w:pPr>
        <w:adjustRightInd w:val="0"/>
        <w:snapToGrid w:val="0"/>
        <w:spacing w:line="560" w:lineRule="exact"/>
        <w:ind w:firstLine="640"/>
        <w:rPr>
          <w:rFonts w:ascii="Times New Roman" w:hAnsi="Times New Roman" w:cs="Times New Roman"/>
          <w:bCs/>
          <w:sz w:val="32"/>
          <w:szCs w:val="32"/>
        </w:rPr>
      </w:pPr>
      <w:r>
        <w:rPr>
          <w:rFonts w:hint="eastAsia" w:ascii="Times New Roman" w:hAnsi="Times New Roman" w:cs="Times New Roman"/>
          <w:bCs/>
          <w:sz w:val="32"/>
          <w:szCs w:val="32"/>
        </w:rPr>
        <w:t>（二）统筹兼顾。单位自评、部门评价和财政评价应职责明确，各有侧重，相互衔接。单位自评应由项目单位自主实施，即</w:t>
      </w:r>
      <w:r>
        <w:rPr>
          <w:rFonts w:ascii="Times New Roman" w:hAnsi="Times New Roman" w:cs="Times New Roman"/>
          <w:bCs/>
          <w:sz w:val="32"/>
          <w:szCs w:val="32"/>
        </w:rPr>
        <w:t>“</w:t>
      </w:r>
      <w:r>
        <w:rPr>
          <w:rFonts w:hint="eastAsia" w:ascii="Times New Roman" w:hAnsi="Times New Roman" w:cs="Times New Roman"/>
          <w:bCs/>
          <w:sz w:val="32"/>
          <w:szCs w:val="32"/>
        </w:rPr>
        <w:t>谁支出、谁自评</w:t>
      </w:r>
      <w:r>
        <w:rPr>
          <w:rFonts w:ascii="Times New Roman" w:hAnsi="Times New Roman" w:cs="Times New Roman"/>
          <w:bCs/>
          <w:sz w:val="32"/>
          <w:szCs w:val="32"/>
        </w:rPr>
        <w:t>”</w:t>
      </w:r>
      <w:r>
        <w:rPr>
          <w:rFonts w:hint="eastAsia" w:ascii="Times New Roman" w:hAnsi="Times New Roman" w:cs="Times New Roman"/>
          <w:bCs/>
          <w:sz w:val="32"/>
          <w:szCs w:val="32"/>
        </w:rPr>
        <w:t>。部门评价和财政评价应在单位自评的基础上开展，必要时可委托第三方机构实施。</w:t>
      </w:r>
    </w:p>
    <w:p w14:paraId="628E54A5">
      <w:pPr>
        <w:adjustRightInd w:val="0"/>
        <w:snapToGrid w:val="0"/>
        <w:spacing w:line="560" w:lineRule="exact"/>
        <w:ind w:firstLine="640"/>
        <w:rPr>
          <w:rFonts w:ascii="Times New Roman" w:hAnsi="Times New Roman" w:cs="Times New Roman"/>
          <w:bCs/>
          <w:sz w:val="32"/>
          <w:szCs w:val="32"/>
        </w:rPr>
      </w:pPr>
      <w:r>
        <w:rPr>
          <w:rFonts w:hint="eastAsia" w:ascii="Times New Roman" w:hAnsi="Times New Roman" w:cs="Times New Roman"/>
          <w:bCs/>
          <w:sz w:val="32"/>
          <w:szCs w:val="32"/>
        </w:rPr>
        <w:t>（三）激励约束。绩效评价结果应与预算安排、政策调整、改进管理实质性挂钩，体现奖优罚劣和激励相容导向，有效要安排、低效要压减、无效要问责。</w:t>
      </w:r>
    </w:p>
    <w:p w14:paraId="0A096284">
      <w:pPr>
        <w:adjustRightInd w:val="0"/>
        <w:snapToGrid w:val="0"/>
        <w:spacing w:line="560" w:lineRule="exact"/>
        <w:ind w:firstLine="640"/>
        <w:rPr>
          <w:rFonts w:ascii="Times New Roman" w:hAnsi="Times New Roman" w:cs="Times New Roman"/>
          <w:bCs/>
          <w:sz w:val="32"/>
          <w:szCs w:val="32"/>
        </w:rPr>
      </w:pPr>
      <w:r>
        <w:rPr>
          <w:rFonts w:hint="eastAsia" w:ascii="Times New Roman" w:hAnsi="Times New Roman" w:cs="Times New Roman"/>
          <w:bCs/>
          <w:sz w:val="32"/>
          <w:szCs w:val="32"/>
        </w:rPr>
        <w:t>（四）公开透明。绩效评价结果应依法依规公开，并自觉接受社会监督。</w:t>
      </w:r>
    </w:p>
    <w:p w14:paraId="67115EDE">
      <w:pPr>
        <w:pStyle w:val="4"/>
        <w:adjustRightInd w:val="0"/>
        <w:snapToGrid w:val="0"/>
        <w:spacing w:before="0" w:after="0" w:line="560" w:lineRule="exact"/>
        <w:ind w:firstLine="643"/>
        <w:rPr>
          <w:rFonts w:ascii="Times New Roman" w:hAnsi="Times New Roman" w:cs="Times New Roman"/>
        </w:rPr>
      </w:pPr>
      <w:bookmarkStart w:id="20" w:name="_Toc165277233"/>
      <w:r>
        <w:rPr>
          <w:rFonts w:ascii="Times New Roman" w:hAnsi="Times New Roman" w:cs="Times New Roman"/>
        </w:rPr>
        <w:t>2.</w:t>
      </w:r>
      <w:r>
        <w:rPr>
          <w:rFonts w:hint="eastAsia" w:ascii="Times New Roman" w:hAnsi="Times New Roman" w:cs="Times New Roman"/>
        </w:rPr>
        <w:t>评价指标体系</w:t>
      </w:r>
      <w:bookmarkEnd w:id="20"/>
    </w:p>
    <w:p w14:paraId="2476C70A">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绩效评价指标体系作为衡量绩效目标实现程度的考核工具，一般遵循以下原则：</w:t>
      </w:r>
    </w:p>
    <w:p w14:paraId="72FC7697">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1</w:t>
      </w:r>
      <w:r>
        <w:rPr>
          <w:rFonts w:hint="eastAsia" w:ascii="Times New Roman" w:hAnsi="Times New Roman" w:cs="Times New Roman"/>
          <w:sz w:val="32"/>
          <w:szCs w:val="32"/>
        </w:rPr>
        <w:t>）相关性原则：绩效评价指标应当与绩效目标有直接的联系，能够恰当反映目标的实现程度。</w:t>
      </w:r>
    </w:p>
    <w:p w14:paraId="135A734D">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2</w:t>
      </w:r>
      <w:r>
        <w:rPr>
          <w:rFonts w:hint="eastAsia" w:ascii="Times New Roman" w:hAnsi="Times New Roman" w:cs="Times New Roman"/>
          <w:sz w:val="32"/>
          <w:szCs w:val="32"/>
        </w:rPr>
        <w:t>）重要性原则：应当优先使用最具评价对象代表性、最能反映评价要求的核心指标。</w:t>
      </w:r>
    </w:p>
    <w:p w14:paraId="0C519F86">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3</w:t>
      </w:r>
      <w:r>
        <w:rPr>
          <w:rFonts w:hint="eastAsia" w:ascii="Times New Roman" w:hAnsi="Times New Roman" w:cs="Times New Roman"/>
          <w:sz w:val="32"/>
          <w:szCs w:val="32"/>
        </w:rPr>
        <w:t>）可比性原则：对同类评价对象要设定共性的绩效评价指标，以便于评价结果可以相互比较。</w:t>
      </w:r>
    </w:p>
    <w:p w14:paraId="03122FE6">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4</w:t>
      </w:r>
      <w:r>
        <w:rPr>
          <w:rFonts w:hint="eastAsia" w:ascii="Times New Roman" w:hAnsi="Times New Roman" w:cs="Times New Roman"/>
          <w:sz w:val="32"/>
          <w:szCs w:val="32"/>
        </w:rPr>
        <w:t>）系统性原则：绩效评价指标的设置应当将定量指标与定性指标相结合，能系统反映财政支出所产生的社会效益、经济效益和可持续影响等。</w:t>
      </w:r>
    </w:p>
    <w:p w14:paraId="3A65D0FA">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5</w:t>
      </w:r>
      <w:r>
        <w:rPr>
          <w:rFonts w:hint="eastAsia" w:ascii="Times New Roman" w:hAnsi="Times New Roman" w:cs="Times New Roman"/>
          <w:sz w:val="32"/>
          <w:szCs w:val="32"/>
        </w:rPr>
        <w:t>）经济性原则：绩效评价指标设计应当通俗易懂、简便易行，数据的获得应当考虑现实条件和可操作性，符合成本效益原则。</w:t>
      </w:r>
    </w:p>
    <w:p w14:paraId="26C7300E">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本项目的评价指标体系建立如下表所示。</w:t>
      </w:r>
    </w:p>
    <w:p w14:paraId="257308C3">
      <w:pPr>
        <w:spacing w:line="360" w:lineRule="auto"/>
        <w:ind w:firstLine="0" w:firstLineChars="0"/>
        <w:rPr>
          <w:rFonts w:ascii="Times New Roman" w:hAnsi="Times New Roman" w:cs="Times New Roman"/>
        </w:rPr>
        <w:sectPr>
          <w:headerReference r:id="rId11" w:type="default"/>
          <w:footerReference r:id="rId12"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14:paraId="5584C59E">
      <w:pPr>
        <w:spacing w:line="360" w:lineRule="auto"/>
        <w:ind w:firstLine="0" w:firstLineChars="0"/>
        <w:jc w:val="center"/>
        <w:rPr>
          <w:rFonts w:ascii="Times New Roman" w:hAnsi="Times New Roman" w:cs="Times New Roman"/>
          <w:b/>
          <w:bCs/>
        </w:rPr>
      </w:pPr>
      <w:r>
        <w:rPr>
          <w:rFonts w:ascii="Times New Roman" w:hAnsi="Times New Roman" w:cs="Times New Roman"/>
          <w:b/>
          <w:bCs/>
        </w:rPr>
        <w:t xml:space="preserve">  </w:t>
      </w:r>
      <w:r>
        <w:rPr>
          <w:rFonts w:hint="eastAsia" w:ascii="Times New Roman" w:hAnsi="Times New Roman" w:cs="Times New Roman"/>
          <w:b/>
          <w:bCs/>
        </w:rPr>
        <w:t>项目支出绩效评价指标体系</w:t>
      </w:r>
    </w:p>
    <w:tbl>
      <w:tblPr>
        <w:tblStyle w:val="1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411"/>
        <w:gridCol w:w="2789"/>
        <w:gridCol w:w="7341"/>
      </w:tblGrid>
      <w:tr w14:paraId="54BC4E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155" w:type="dxa"/>
            <w:shd w:val="clear" w:color="auto" w:fill="D0CECE"/>
            <w:vAlign w:val="center"/>
          </w:tcPr>
          <w:p w14:paraId="26995908">
            <w:pPr>
              <w:widowControl/>
              <w:ind w:firstLine="0" w:firstLineChars="0"/>
              <w:jc w:val="center"/>
              <w:rPr>
                <w:rFonts w:ascii="Times New Roman" w:hAnsi="Times New Roman" w:eastAsia="宋体" w:cs="Times New Roman"/>
                <w:b/>
                <w:bCs/>
                <w:color w:val="000000"/>
                <w:kern w:val="0"/>
                <w:sz w:val="22"/>
              </w:rPr>
            </w:pPr>
            <w:r>
              <w:rPr>
                <w:rFonts w:hint="eastAsia" w:ascii="Times New Roman" w:hAnsi="Times New Roman" w:eastAsia="宋体" w:cs="Times New Roman"/>
                <w:b/>
                <w:bCs/>
                <w:color w:val="000000"/>
                <w:kern w:val="0"/>
                <w:sz w:val="22"/>
              </w:rPr>
              <w:t>一级指标</w:t>
            </w:r>
          </w:p>
        </w:tc>
        <w:tc>
          <w:tcPr>
            <w:tcW w:w="1199" w:type="dxa"/>
            <w:shd w:val="clear" w:color="auto" w:fill="D0CECE"/>
            <w:vAlign w:val="center"/>
          </w:tcPr>
          <w:p w14:paraId="4A3B4C8F">
            <w:pPr>
              <w:widowControl/>
              <w:ind w:firstLine="0" w:firstLineChars="0"/>
              <w:jc w:val="center"/>
              <w:rPr>
                <w:rFonts w:ascii="Times New Roman" w:hAnsi="Times New Roman" w:eastAsia="宋体" w:cs="Times New Roman"/>
                <w:b/>
                <w:bCs/>
                <w:color w:val="000000"/>
                <w:kern w:val="0"/>
                <w:sz w:val="22"/>
              </w:rPr>
            </w:pPr>
            <w:r>
              <w:rPr>
                <w:rFonts w:hint="eastAsia" w:ascii="Times New Roman" w:hAnsi="Times New Roman" w:eastAsia="宋体" w:cs="Times New Roman"/>
                <w:b/>
                <w:bCs/>
                <w:color w:val="000000"/>
                <w:kern w:val="0"/>
                <w:sz w:val="22"/>
              </w:rPr>
              <w:t>二级指标</w:t>
            </w:r>
          </w:p>
        </w:tc>
        <w:tc>
          <w:tcPr>
            <w:tcW w:w="1411" w:type="dxa"/>
            <w:shd w:val="clear" w:color="auto" w:fill="D0CECE"/>
            <w:vAlign w:val="center"/>
          </w:tcPr>
          <w:p w14:paraId="1EF78A2D">
            <w:pPr>
              <w:widowControl/>
              <w:ind w:firstLine="0" w:firstLineChars="0"/>
              <w:jc w:val="center"/>
              <w:rPr>
                <w:rFonts w:ascii="Times New Roman" w:hAnsi="Times New Roman" w:eastAsia="宋体" w:cs="Times New Roman"/>
                <w:b/>
                <w:bCs/>
                <w:color w:val="000000"/>
                <w:kern w:val="0"/>
                <w:sz w:val="22"/>
              </w:rPr>
            </w:pPr>
            <w:r>
              <w:rPr>
                <w:rFonts w:hint="eastAsia" w:ascii="Times New Roman" w:hAnsi="Times New Roman" w:eastAsia="宋体" w:cs="Times New Roman"/>
                <w:b/>
                <w:bCs/>
                <w:color w:val="000000"/>
                <w:kern w:val="0"/>
                <w:sz w:val="22"/>
              </w:rPr>
              <w:t>三级指标</w:t>
            </w:r>
          </w:p>
        </w:tc>
        <w:tc>
          <w:tcPr>
            <w:tcW w:w="2789" w:type="dxa"/>
            <w:shd w:val="clear" w:color="auto" w:fill="D0CECE"/>
            <w:vAlign w:val="center"/>
          </w:tcPr>
          <w:p w14:paraId="4D57837D">
            <w:pPr>
              <w:widowControl/>
              <w:ind w:firstLine="0" w:firstLineChars="0"/>
              <w:jc w:val="center"/>
              <w:rPr>
                <w:rFonts w:ascii="Times New Roman" w:hAnsi="Times New Roman" w:eastAsia="宋体" w:cs="Times New Roman"/>
                <w:b/>
                <w:bCs/>
                <w:color w:val="000000"/>
                <w:kern w:val="0"/>
                <w:sz w:val="22"/>
              </w:rPr>
            </w:pPr>
            <w:r>
              <w:rPr>
                <w:rFonts w:hint="eastAsia" w:ascii="Times New Roman" w:hAnsi="Times New Roman" w:eastAsia="宋体" w:cs="Times New Roman"/>
                <w:b/>
                <w:bCs/>
                <w:color w:val="000000"/>
                <w:kern w:val="0"/>
                <w:sz w:val="22"/>
              </w:rPr>
              <w:t>指标解释</w:t>
            </w:r>
          </w:p>
        </w:tc>
        <w:tc>
          <w:tcPr>
            <w:tcW w:w="7341" w:type="dxa"/>
            <w:shd w:val="clear" w:color="auto" w:fill="D0CECE"/>
            <w:vAlign w:val="center"/>
          </w:tcPr>
          <w:p w14:paraId="2865F18B">
            <w:pPr>
              <w:widowControl/>
              <w:ind w:firstLine="0" w:firstLineChars="0"/>
              <w:jc w:val="center"/>
              <w:rPr>
                <w:rFonts w:ascii="Times New Roman" w:hAnsi="Times New Roman" w:eastAsia="宋体" w:cs="Times New Roman"/>
                <w:b/>
                <w:bCs/>
                <w:color w:val="000000"/>
                <w:kern w:val="0"/>
                <w:sz w:val="22"/>
              </w:rPr>
            </w:pPr>
            <w:r>
              <w:rPr>
                <w:rFonts w:hint="eastAsia" w:ascii="Times New Roman" w:hAnsi="Times New Roman" w:eastAsia="宋体" w:cs="Times New Roman"/>
                <w:b/>
                <w:bCs/>
                <w:color w:val="000000"/>
                <w:kern w:val="0"/>
                <w:sz w:val="22"/>
              </w:rPr>
              <w:t>指标说明</w:t>
            </w:r>
          </w:p>
        </w:tc>
      </w:tr>
      <w:tr w14:paraId="4A1EA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155" w:type="dxa"/>
            <w:vMerge w:val="restart"/>
            <w:shd w:val="clear" w:color="auto" w:fill="FFFFFF"/>
            <w:vAlign w:val="center"/>
          </w:tcPr>
          <w:p w14:paraId="25ADF88A">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决策</w:t>
            </w:r>
          </w:p>
        </w:tc>
        <w:tc>
          <w:tcPr>
            <w:tcW w:w="1199" w:type="dxa"/>
            <w:vMerge w:val="restart"/>
            <w:shd w:val="clear" w:color="auto" w:fill="FFFFFF"/>
            <w:vAlign w:val="center"/>
          </w:tcPr>
          <w:p w14:paraId="7494C2D3">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项目立项</w:t>
            </w:r>
          </w:p>
        </w:tc>
        <w:tc>
          <w:tcPr>
            <w:tcW w:w="1411" w:type="dxa"/>
            <w:shd w:val="clear" w:color="auto" w:fill="FFFFFF"/>
            <w:vAlign w:val="center"/>
          </w:tcPr>
          <w:p w14:paraId="79A62FDF">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立项依据</w:t>
            </w:r>
          </w:p>
          <w:p w14:paraId="406A9075">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充分性</w:t>
            </w:r>
          </w:p>
        </w:tc>
        <w:tc>
          <w:tcPr>
            <w:tcW w:w="2789" w:type="dxa"/>
            <w:shd w:val="clear" w:color="auto" w:fill="FFFFFF"/>
            <w:vAlign w:val="center"/>
          </w:tcPr>
          <w:p w14:paraId="0CEADD7A">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项目立项是否符合法律法规、相关政策、发展规划以及部门职责，用以反映和考核项目立项依据情况。</w:t>
            </w:r>
          </w:p>
        </w:tc>
        <w:tc>
          <w:tcPr>
            <w:tcW w:w="7341" w:type="dxa"/>
            <w:shd w:val="clear" w:color="auto" w:fill="FFFFFF"/>
            <w:vAlign w:val="center"/>
          </w:tcPr>
          <w:p w14:paraId="2D862EC4">
            <w:pPr>
              <w:widowControl/>
              <w:ind w:firstLine="0" w:firstLineChars="0"/>
              <w:jc w:val="left"/>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①项目立项是否符合国家法律法规、国民经济发展规划和相关政策；</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②项目立项是否符合行业发展规划和政策要求；</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③项目立项是否与部门职责范围相符，属于部门履职所需；</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④项目是否属于公共财政支持范围，是否符合中央、地方事权支出责任划分原则；</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⑤项目是否与相关部门同类项目或部门内部相关项目重复。</w:t>
            </w:r>
          </w:p>
        </w:tc>
      </w:tr>
      <w:tr w14:paraId="4E5E20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155" w:type="dxa"/>
            <w:vMerge w:val="continue"/>
            <w:shd w:val="clear" w:color="auto" w:fill="FFFFFF"/>
            <w:vAlign w:val="center"/>
          </w:tcPr>
          <w:p w14:paraId="6F5FFA85">
            <w:pPr>
              <w:ind w:firstLine="0" w:firstLineChars="0"/>
              <w:jc w:val="center"/>
              <w:rPr>
                <w:rFonts w:ascii="Times New Roman" w:hAnsi="Times New Roman" w:eastAsia="宋体" w:cs="Times New Roman"/>
                <w:color w:val="000000"/>
                <w:kern w:val="0"/>
                <w:sz w:val="22"/>
              </w:rPr>
            </w:pPr>
          </w:p>
        </w:tc>
        <w:tc>
          <w:tcPr>
            <w:tcW w:w="1199" w:type="dxa"/>
            <w:vMerge w:val="continue"/>
            <w:shd w:val="clear" w:color="auto" w:fill="FFFFFF"/>
            <w:vAlign w:val="center"/>
          </w:tcPr>
          <w:p w14:paraId="532FF7C1">
            <w:pPr>
              <w:widowControl/>
              <w:ind w:firstLine="0" w:firstLineChars="0"/>
              <w:jc w:val="center"/>
              <w:rPr>
                <w:rFonts w:ascii="Times New Roman" w:hAnsi="Times New Roman" w:eastAsia="宋体" w:cs="Times New Roman"/>
                <w:color w:val="000000"/>
                <w:kern w:val="0"/>
                <w:sz w:val="22"/>
              </w:rPr>
            </w:pPr>
          </w:p>
        </w:tc>
        <w:tc>
          <w:tcPr>
            <w:tcW w:w="1411" w:type="dxa"/>
            <w:shd w:val="clear" w:color="auto" w:fill="FFFFFF"/>
            <w:vAlign w:val="center"/>
          </w:tcPr>
          <w:p w14:paraId="5A461338">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立项程序</w:t>
            </w:r>
          </w:p>
          <w:p w14:paraId="4595B6C6">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规范性</w:t>
            </w:r>
          </w:p>
        </w:tc>
        <w:tc>
          <w:tcPr>
            <w:tcW w:w="2789" w:type="dxa"/>
            <w:shd w:val="clear" w:color="auto" w:fill="FFFFFF"/>
            <w:vAlign w:val="center"/>
          </w:tcPr>
          <w:p w14:paraId="4B05349A">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项目申请、设立过程是否符合相关要求，用以反映和考核项目立项的规范情况。</w:t>
            </w:r>
          </w:p>
        </w:tc>
        <w:tc>
          <w:tcPr>
            <w:tcW w:w="7341" w:type="dxa"/>
            <w:shd w:val="clear" w:color="auto" w:fill="FFFFFF"/>
            <w:vAlign w:val="center"/>
          </w:tcPr>
          <w:p w14:paraId="156457A8">
            <w:pPr>
              <w:widowControl/>
              <w:ind w:firstLine="0" w:firstLineChars="0"/>
              <w:jc w:val="left"/>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①项目是否按照规定的程序申请设立；</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②审批文件、材料是否符合相关要求；</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③事前是否已经过必要的可行性研究、专家论证、风险评估、绩效评估、集体决策。</w:t>
            </w:r>
          </w:p>
        </w:tc>
      </w:tr>
      <w:tr w14:paraId="11766D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155" w:type="dxa"/>
            <w:vMerge w:val="continue"/>
            <w:shd w:val="clear" w:color="auto" w:fill="FFFFFF"/>
            <w:vAlign w:val="center"/>
          </w:tcPr>
          <w:p w14:paraId="3AE27C5D">
            <w:pPr>
              <w:ind w:firstLine="0" w:firstLineChars="0"/>
              <w:jc w:val="center"/>
              <w:rPr>
                <w:rFonts w:ascii="Times New Roman" w:hAnsi="Times New Roman" w:eastAsia="宋体" w:cs="Times New Roman"/>
                <w:color w:val="000000"/>
                <w:kern w:val="0"/>
                <w:sz w:val="22"/>
              </w:rPr>
            </w:pPr>
          </w:p>
        </w:tc>
        <w:tc>
          <w:tcPr>
            <w:tcW w:w="1199" w:type="dxa"/>
            <w:shd w:val="clear" w:color="auto" w:fill="FFFFFF"/>
            <w:vAlign w:val="center"/>
          </w:tcPr>
          <w:p w14:paraId="4DAF9784">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绩效目标</w:t>
            </w:r>
          </w:p>
        </w:tc>
        <w:tc>
          <w:tcPr>
            <w:tcW w:w="1411" w:type="dxa"/>
            <w:shd w:val="clear" w:color="auto" w:fill="FFFFFF"/>
            <w:vAlign w:val="center"/>
          </w:tcPr>
          <w:p w14:paraId="4382DCAF">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绩效目标</w:t>
            </w:r>
          </w:p>
          <w:p w14:paraId="739A3E75">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合理性</w:t>
            </w:r>
          </w:p>
        </w:tc>
        <w:tc>
          <w:tcPr>
            <w:tcW w:w="2789" w:type="dxa"/>
            <w:shd w:val="clear" w:color="000000" w:fill="FFFFFF"/>
            <w:vAlign w:val="center"/>
          </w:tcPr>
          <w:p w14:paraId="649599AD">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项目所设定的绩效目标是否依据充分，是否符合客观实际，用以反映和考核项目绩效目标与项目实施的相符情况。</w:t>
            </w:r>
          </w:p>
        </w:tc>
        <w:tc>
          <w:tcPr>
            <w:tcW w:w="7341" w:type="dxa"/>
            <w:shd w:val="clear" w:color="000000" w:fill="FFFFFF"/>
            <w:vAlign w:val="center"/>
          </w:tcPr>
          <w:p w14:paraId="57DFC056">
            <w:pPr>
              <w:widowControl/>
              <w:ind w:firstLine="0" w:firstLineChars="0"/>
              <w:jc w:val="left"/>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（如未设定预算绩效目标，也可考核其他工作任务目标）</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①项目是否有绩效目标；</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②项目绩效目标与实际工作内容是否具有相关性；</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③项目预期产出效益和效果是否符合正常的业绩水平；</w:t>
            </w:r>
          </w:p>
          <w:p w14:paraId="0E87045D">
            <w:pPr>
              <w:widowControl/>
              <w:ind w:firstLine="0" w:firstLineChars="0"/>
              <w:jc w:val="left"/>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④是否与预算确定的项目投资额或资金量相匹配。</w:t>
            </w:r>
          </w:p>
        </w:tc>
      </w:tr>
      <w:tr w14:paraId="4D8491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155" w:type="dxa"/>
            <w:vMerge w:val="restart"/>
            <w:shd w:val="clear" w:color="auto" w:fill="FFFFFF"/>
            <w:vAlign w:val="center"/>
          </w:tcPr>
          <w:p w14:paraId="507A4C2D">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决策</w:t>
            </w:r>
          </w:p>
        </w:tc>
        <w:tc>
          <w:tcPr>
            <w:tcW w:w="1199" w:type="dxa"/>
            <w:shd w:val="clear" w:color="auto" w:fill="FFFFFF"/>
            <w:vAlign w:val="center"/>
          </w:tcPr>
          <w:p w14:paraId="18B3D27D">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绩效目标</w:t>
            </w:r>
          </w:p>
        </w:tc>
        <w:tc>
          <w:tcPr>
            <w:tcW w:w="1411" w:type="dxa"/>
            <w:shd w:val="clear" w:color="auto" w:fill="FFFFFF"/>
            <w:vAlign w:val="center"/>
          </w:tcPr>
          <w:p w14:paraId="14695C49">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绩效指标</w:t>
            </w:r>
          </w:p>
          <w:p w14:paraId="29A37E57">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明确性</w:t>
            </w:r>
          </w:p>
        </w:tc>
        <w:tc>
          <w:tcPr>
            <w:tcW w:w="2789" w:type="dxa"/>
            <w:shd w:val="clear" w:color="000000" w:fill="FFFFFF"/>
            <w:vAlign w:val="center"/>
          </w:tcPr>
          <w:p w14:paraId="1E7D912E">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依据绩效目标设定的绩效指标是否清晰、细化、可衡量等，用以反映和考核项目绩效目标的明细化情况。</w:t>
            </w:r>
          </w:p>
        </w:tc>
        <w:tc>
          <w:tcPr>
            <w:tcW w:w="7341" w:type="dxa"/>
            <w:shd w:val="clear" w:color="000000" w:fill="FFFFFF"/>
            <w:vAlign w:val="center"/>
          </w:tcPr>
          <w:p w14:paraId="5F0F67C3">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①是否将项目绩效目标细化分解为具体的绩效指标；</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②是否通过清晰、可衡量的指标值予以体现；</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③是否与项目目标任务数或计划数相对应。</w:t>
            </w:r>
            <w:r>
              <w:rPr>
                <w:rFonts w:ascii="Times New Roman" w:hAnsi="Times New Roman" w:eastAsia="宋体" w:cs="Times New Roman"/>
                <w:color w:val="000000"/>
                <w:kern w:val="0"/>
                <w:sz w:val="22"/>
              </w:rPr>
              <w:br w:type="textWrapping"/>
            </w:r>
          </w:p>
        </w:tc>
      </w:tr>
      <w:tr w14:paraId="0B92B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155" w:type="dxa"/>
            <w:vMerge w:val="continue"/>
            <w:shd w:val="clear" w:color="auto" w:fill="FFFFFF"/>
            <w:vAlign w:val="center"/>
          </w:tcPr>
          <w:p w14:paraId="31752E4F">
            <w:pPr>
              <w:ind w:firstLine="0" w:firstLineChars="0"/>
              <w:jc w:val="center"/>
              <w:rPr>
                <w:rFonts w:ascii="Times New Roman" w:hAnsi="Times New Roman" w:eastAsia="宋体" w:cs="Times New Roman"/>
                <w:color w:val="000000"/>
                <w:kern w:val="0"/>
                <w:sz w:val="22"/>
              </w:rPr>
            </w:pPr>
          </w:p>
        </w:tc>
        <w:tc>
          <w:tcPr>
            <w:tcW w:w="1199" w:type="dxa"/>
            <w:vMerge w:val="restart"/>
            <w:shd w:val="clear" w:color="auto" w:fill="FFFFFF"/>
            <w:vAlign w:val="center"/>
          </w:tcPr>
          <w:p w14:paraId="447C8668">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资金投入</w:t>
            </w:r>
          </w:p>
        </w:tc>
        <w:tc>
          <w:tcPr>
            <w:tcW w:w="1411" w:type="dxa"/>
            <w:shd w:val="clear" w:color="auto" w:fill="FFFFFF"/>
            <w:vAlign w:val="center"/>
          </w:tcPr>
          <w:p w14:paraId="2A6D8D57">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预算编制</w:t>
            </w:r>
          </w:p>
          <w:p w14:paraId="6FDC6CAB">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科学性</w:t>
            </w:r>
          </w:p>
        </w:tc>
        <w:tc>
          <w:tcPr>
            <w:tcW w:w="2789" w:type="dxa"/>
            <w:shd w:val="clear" w:color="auto" w:fill="FFFFFF"/>
            <w:vAlign w:val="center"/>
          </w:tcPr>
          <w:p w14:paraId="50EF3F5D">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项目预算编制是否经过科学论证、有明确标准，资金额度与年度目标是否相适应，用以反映和考核项目预算编制的科学性、合理性情况。</w:t>
            </w:r>
          </w:p>
        </w:tc>
        <w:tc>
          <w:tcPr>
            <w:tcW w:w="7341" w:type="dxa"/>
            <w:shd w:val="clear" w:color="auto" w:fill="FFFFFF"/>
            <w:vAlign w:val="center"/>
          </w:tcPr>
          <w:p w14:paraId="2B2340A1">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①预算编制是否经过科学论证；</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②预算内容与项目内容是否匹配；</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③预算额度测算依据是否充分，是否按照标准编制；</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④预算确定的项目投资额或资金量是否与工作任务相匹配。</w:t>
            </w:r>
          </w:p>
        </w:tc>
      </w:tr>
      <w:tr w14:paraId="143256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155" w:type="dxa"/>
            <w:vMerge w:val="continue"/>
            <w:shd w:val="clear" w:color="auto" w:fill="FFFFFF"/>
            <w:vAlign w:val="center"/>
          </w:tcPr>
          <w:p w14:paraId="1BB34FD9">
            <w:pPr>
              <w:widowControl/>
              <w:ind w:firstLine="0" w:firstLineChars="0"/>
              <w:jc w:val="center"/>
              <w:rPr>
                <w:rFonts w:ascii="Times New Roman" w:hAnsi="Times New Roman" w:eastAsia="宋体" w:cs="Times New Roman"/>
                <w:color w:val="000000"/>
                <w:kern w:val="0"/>
                <w:sz w:val="22"/>
              </w:rPr>
            </w:pPr>
          </w:p>
        </w:tc>
        <w:tc>
          <w:tcPr>
            <w:tcW w:w="1199" w:type="dxa"/>
            <w:vMerge w:val="continue"/>
            <w:shd w:val="clear" w:color="auto" w:fill="FFFFFF"/>
            <w:vAlign w:val="center"/>
          </w:tcPr>
          <w:p w14:paraId="020FF133">
            <w:pPr>
              <w:widowControl/>
              <w:ind w:firstLine="0" w:firstLineChars="0"/>
              <w:jc w:val="center"/>
              <w:rPr>
                <w:rFonts w:ascii="Times New Roman" w:hAnsi="Times New Roman" w:eastAsia="宋体" w:cs="Times New Roman"/>
                <w:color w:val="000000"/>
                <w:kern w:val="0"/>
                <w:sz w:val="22"/>
              </w:rPr>
            </w:pPr>
          </w:p>
        </w:tc>
        <w:tc>
          <w:tcPr>
            <w:tcW w:w="1411" w:type="dxa"/>
            <w:shd w:val="clear" w:color="auto" w:fill="FFFFFF"/>
            <w:vAlign w:val="center"/>
          </w:tcPr>
          <w:p w14:paraId="68F83FC4">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资金分配</w:t>
            </w:r>
          </w:p>
          <w:p w14:paraId="1921DED3">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合理性</w:t>
            </w:r>
          </w:p>
        </w:tc>
        <w:tc>
          <w:tcPr>
            <w:tcW w:w="2789" w:type="dxa"/>
            <w:shd w:val="clear" w:color="auto" w:fill="FFFFFF"/>
            <w:vAlign w:val="center"/>
          </w:tcPr>
          <w:p w14:paraId="0FF6BCF4">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项目预算资金分配是否有测算依据，与补助单位或地方实际是否相适应，用以反映和考核项目预算资金分配的科学性、合理性情况。</w:t>
            </w:r>
          </w:p>
        </w:tc>
        <w:tc>
          <w:tcPr>
            <w:tcW w:w="7341" w:type="dxa"/>
            <w:shd w:val="clear" w:color="auto" w:fill="FFFFFF"/>
            <w:vAlign w:val="center"/>
          </w:tcPr>
          <w:p w14:paraId="459BA376">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①预算资金分配依据是否充分；</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②资金分配额度是否合理，与项目单位或地方实际是否相适应。</w:t>
            </w:r>
          </w:p>
        </w:tc>
      </w:tr>
      <w:tr w14:paraId="4E8B9E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155" w:type="dxa"/>
            <w:vMerge w:val="restart"/>
            <w:shd w:val="clear" w:color="auto" w:fill="FFFFFF"/>
            <w:vAlign w:val="center"/>
          </w:tcPr>
          <w:p w14:paraId="7F9832C5">
            <w:pPr>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过程</w:t>
            </w:r>
          </w:p>
        </w:tc>
        <w:tc>
          <w:tcPr>
            <w:tcW w:w="1199" w:type="dxa"/>
            <w:vMerge w:val="restart"/>
            <w:shd w:val="clear" w:color="auto" w:fill="FFFFFF"/>
            <w:vAlign w:val="center"/>
          </w:tcPr>
          <w:p w14:paraId="5EC07569">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资金管理</w:t>
            </w:r>
          </w:p>
        </w:tc>
        <w:tc>
          <w:tcPr>
            <w:tcW w:w="1411" w:type="dxa"/>
            <w:shd w:val="clear" w:color="auto" w:fill="FFFFFF"/>
            <w:vAlign w:val="center"/>
          </w:tcPr>
          <w:p w14:paraId="5B039072">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资金到位率</w:t>
            </w:r>
          </w:p>
        </w:tc>
        <w:tc>
          <w:tcPr>
            <w:tcW w:w="2789" w:type="dxa"/>
            <w:shd w:val="clear" w:color="000000" w:fill="FFFFFF"/>
            <w:vAlign w:val="center"/>
          </w:tcPr>
          <w:p w14:paraId="7BC79867">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实际到位资金与预算资金的比率，用以反映和考核资金落实情况对项目实施的总体保障程度。</w:t>
            </w:r>
          </w:p>
        </w:tc>
        <w:tc>
          <w:tcPr>
            <w:tcW w:w="7341" w:type="dxa"/>
            <w:shd w:val="clear" w:color="000000" w:fill="FFFFFF"/>
            <w:vAlign w:val="center"/>
          </w:tcPr>
          <w:p w14:paraId="71A47BD2">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资金到位率</w:t>
            </w:r>
            <w:r>
              <w:rPr>
                <w:rFonts w:ascii="Times New Roman" w:hAnsi="Times New Roman" w:eastAsia="宋体" w:cs="Times New Roman"/>
                <w:color w:val="000000"/>
                <w:kern w:val="0"/>
                <w:sz w:val="22"/>
              </w:rPr>
              <w:t>=</w:t>
            </w:r>
            <w:r>
              <w:rPr>
                <w:rFonts w:hint="eastAsia" w:ascii="Times New Roman" w:hAnsi="Times New Roman" w:eastAsia="宋体" w:cs="Times New Roman"/>
                <w:color w:val="000000"/>
                <w:kern w:val="0"/>
                <w:sz w:val="22"/>
              </w:rPr>
              <w:t>（实际到位资金</w:t>
            </w:r>
            <w:r>
              <w:rPr>
                <w:rFonts w:ascii="Times New Roman" w:hAnsi="Times New Roman" w:eastAsia="宋体" w:cs="Times New Roman"/>
                <w:color w:val="000000"/>
                <w:kern w:val="0"/>
                <w:sz w:val="22"/>
              </w:rPr>
              <w:t>/</w:t>
            </w:r>
            <w:r>
              <w:rPr>
                <w:rFonts w:hint="eastAsia" w:ascii="Times New Roman" w:hAnsi="Times New Roman" w:eastAsia="宋体" w:cs="Times New Roman"/>
                <w:color w:val="000000"/>
                <w:kern w:val="0"/>
                <w:sz w:val="22"/>
              </w:rPr>
              <w:t>预算资金）</w:t>
            </w:r>
            <w:r>
              <w:rPr>
                <w:rFonts w:ascii="Times New Roman" w:hAnsi="Times New Roman" w:eastAsia="宋体" w:cs="Times New Roman"/>
                <w:color w:val="000000"/>
                <w:kern w:val="0"/>
                <w:sz w:val="22"/>
              </w:rPr>
              <w:t>×100%</w:t>
            </w:r>
            <w:r>
              <w:rPr>
                <w:rFonts w:hint="eastAsia" w:ascii="Times New Roman" w:hAnsi="Times New Roman" w:eastAsia="宋体" w:cs="Times New Roman"/>
                <w:color w:val="000000"/>
                <w:kern w:val="0"/>
                <w:sz w:val="22"/>
              </w:rPr>
              <w:t>。</w:t>
            </w:r>
          </w:p>
          <w:p w14:paraId="0CA40ADC">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实际到位资金：一定时期（本年度或项目期）内落实到具体项目的资金。</w:t>
            </w:r>
          </w:p>
          <w:p w14:paraId="3D7B0918">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预算资金：一定时期（本年度或项目期）内预算安排到具体项目的资金。</w:t>
            </w:r>
          </w:p>
        </w:tc>
      </w:tr>
      <w:tr w14:paraId="394539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155" w:type="dxa"/>
            <w:vMerge w:val="continue"/>
            <w:shd w:val="clear" w:color="auto" w:fill="FFFFFF"/>
            <w:vAlign w:val="center"/>
          </w:tcPr>
          <w:p w14:paraId="3DA4A241">
            <w:pPr>
              <w:ind w:firstLine="0" w:firstLineChars="0"/>
              <w:jc w:val="center"/>
              <w:rPr>
                <w:rFonts w:ascii="Times New Roman" w:hAnsi="Times New Roman" w:eastAsia="宋体" w:cs="Times New Roman"/>
                <w:color w:val="000000"/>
                <w:kern w:val="0"/>
                <w:sz w:val="22"/>
              </w:rPr>
            </w:pPr>
          </w:p>
        </w:tc>
        <w:tc>
          <w:tcPr>
            <w:tcW w:w="1199" w:type="dxa"/>
            <w:vMerge w:val="continue"/>
            <w:shd w:val="clear" w:color="auto" w:fill="FFFFFF"/>
            <w:vAlign w:val="center"/>
          </w:tcPr>
          <w:p w14:paraId="5FFBAB89">
            <w:pPr>
              <w:ind w:firstLine="0" w:firstLineChars="0"/>
              <w:jc w:val="center"/>
              <w:rPr>
                <w:rFonts w:ascii="Times New Roman" w:hAnsi="Times New Roman" w:eastAsia="宋体" w:cs="Times New Roman"/>
                <w:color w:val="000000"/>
                <w:kern w:val="0"/>
                <w:sz w:val="22"/>
              </w:rPr>
            </w:pPr>
          </w:p>
        </w:tc>
        <w:tc>
          <w:tcPr>
            <w:tcW w:w="1411" w:type="dxa"/>
            <w:shd w:val="clear" w:color="auto" w:fill="FFFFFF"/>
            <w:vAlign w:val="center"/>
          </w:tcPr>
          <w:p w14:paraId="5DF54419">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预算执行率</w:t>
            </w:r>
          </w:p>
        </w:tc>
        <w:tc>
          <w:tcPr>
            <w:tcW w:w="2789" w:type="dxa"/>
            <w:shd w:val="clear" w:color="auto" w:fill="FFFFFF"/>
            <w:vAlign w:val="center"/>
          </w:tcPr>
          <w:p w14:paraId="709F9AFD">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项目预算资金是否按照计划执行，用以反映或考核项目预算执行情况。</w:t>
            </w:r>
          </w:p>
        </w:tc>
        <w:tc>
          <w:tcPr>
            <w:tcW w:w="7341" w:type="dxa"/>
            <w:shd w:val="clear" w:color="auto" w:fill="FFFFFF"/>
            <w:vAlign w:val="center"/>
          </w:tcPr>
          <w:p w14:paraId="7B5F61F5">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预算执行率</w:t>
            </w:r>
            <w:r>
              <w:rPr>
                <w:rFonts w:ascii="Times New Roman" w:hAnsi="Times New Roman" w:eastAsia="宋体" w:cs="Times New Roman"/>
                <w:color w:val="000000"/>
                <w:kern w:val="0"/>
                <w:sz w:val="22"/>
              </w:rPr>
              <w:t>=</w:t>
            </w:r>
            <w:r>
              <w:rPr>
                <w:rFonts w:hint="eastAsia" w:ascii="Times New Roman" w:hAnsi="Times New Roman" w:eastAsia="宋体" w:cs="Times New Roman"/>
                <w:color w:val="000000"/>
                <w:kern w:val="0"/>
                <w:sz w:val="22"/>
              </w:rPr>
              <w:t>（实际支出资金</w:t>
            </w:r>
            <w:r>
              <w:rPr>
                <w:rFonts w:ascii="Times New Roman" w:hAnsi="Times New Roman" w:eastAsia="宋体" w:cs="Times New Roman"/>
                <w:color w:val="000000"/>
                <w:kern w:val="0"/>
                <w:sz w:val="22"/>
              </w:rPr>
              <w:t>/</w:t>
            </w:r>
            <w:r>
              <w:rPr>
                <w:rFonts w:hint="eastAsia" w:ascii="Times New Roman" w:hAnsi="Times New Roman" w:eastAsia="宋体" w:cs="Times New Roman"/>
                <w:color w:val="000000"/>
                <w:kern w:val="0"/>
                <w:sz w:val="22"/>
              </w:rPr>
              <w:t>实际到位资金）</w:t>
            </w:r>
            <w:r>
              <w:rPr>
                <w:rFonts w:ascii="Times New Roman" w:hAnsi="Times New Roman" w:eastAsia="宋体" w:cs="Times New Roman"/>
                <w:color w:val="000000"/>
                <w:kern w:val="0"/>
                <w:sz w:val="22"/>
              </w:rPr>
              <w:t>×100%</w:t>
            </w:r>
            <w:r>
              <w:rPr>
                <w:rFonts w:hint="eastAsia" w:ascii="Times New Roman" w:hAnsi="Times New Roman" w:eastAsia="宋体" w:cs="Times New Roman"/>
                <w:color w:val="000000"/>
                <w:kern w:val="0"/>
                <w:sz w:val="22"/>
              </w:rPr>
              <w:t>。</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实际支出资金：一定时期（本年度或项目期）内项目实际拨付的资金。</w:t>
            </w:r>
          </w:p>
        </w:tc>
      </w:tr>
      <w:tr w14:paraId="3E5BAB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restart"/>
            <w:shd w:val="clear" w:color="auto" w:fill="FFFFFF"/>
            <w:vAlign w:val="center"/>
          </w:tcPr>
          <w:p w14:paraId="601A18E2">
            <w:pPr>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过程</w:t>
            </w:r>
          </w:p>
        </w:tc>
        <w:tc>
          <w:tcPr>
            <w:tcW w:w="1199" w:type="dxa"/>
            <w:shd w:val="clear" w:color="auto" w:fill="FFFFFF"/>
            <w:vAlign w:val="center"/>
          </w:tcPr>
          <w:p w14:paraId="7DEF65B4">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资金管理</w:t>
            </w:r>
          </w:p>
        </w:tc>
        <w:tc>
          <w:tcPr>
            <w:tcW w:w="1411" w:type="dxa"/>
            <w:shd w:val="clear" w:color="auto" w:fill="FFFFFF"/>
            <w:vAlign w:val="center"/>
          </w:tcPr>
          <w:p w14:paraId="5A4B4983">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资金使用</w:t>
            </w:r>
          </w:p>
          <w:p w14:paraId="5B72160E">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合规性</w:t>
            </w:r>
          </w:p>
        </w:tc>
        <w:tc>
          <w:tcPr>
            <w:tcW w:w="2789" w:type="dxa"/>
            <w:shd w:val="clear" w:color="000000" w:fill="FFFFFF"/>
            <w:vAlign w:val="center"/>
          </w:tcPr>
          <w:p w14:paraId="365058BE">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项目资金使用是否符合相关的财务管理制度规定，用以反映和考核项目资金的规范运行情况。</w:t>
            </w:r>
          </w:p>
        </w:tc>
        <w:tc>
          <w:tcPr>
            <w:tcW w:w="7341" w:type="dxa"/>
            <w:shd w:val="clear" w:color="000000" w:fill="FFFFFF"/>
            <w:vAlign w:val="center"/>
          </w:tcPr>
          <w:p w14:paraId="133CDF7A">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①是否符合国家财经法规和财务管理制度以及有关专项资金管理办法的规定；</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②资金的拨付是否有完整的审批程序和手续；</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③是否符合项目预算批复或合同规定的用途；</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④是否存在截留、挤占、挪用、虚列支出等情况。</w:t>
            </w:r>
          </w:p>
        </w:tc>
      </w:tr>
      <w:tr w14:paraId="6BFB57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155" w:type="dxa"/>
            <w:vMerge w:val="continue"/>
            <w:shd w:val="clear" w:color="auto" w:fill="FFFFFF"/>
            <w:vAlign w:val="center"/>
          </w:tcPr>
          <w:p w14:paraId="23663601">
            <w:pPr>
              <w:ind w:firstLine="0" w:firstLineChars="0"/>
              <w:jc w:val="center"/>
              <w:rPr>
                <w:rFonts w:ascii="Times New Roman" w:hAnsi="Times New Roman" w:eastAsia="宋体" w:cs="Times New Roman"/>
                <w:color w:val="000000"/>
                <w:kern w:val="0"/>
                <w:sz w:val="22"/>
              </w:rPr>
            </w:pPr>
          </w:p>
        </w:tc>
        <w:tc>
          <w:tcPr>
            <w:tcW w:w="1199" w:type="dxa"/>
            <w:vMerge w:val="restart"/>
            <w:shd w:val="clear" w:color="auto" w:fill="FFFFFF"/>
            <w:vAlign w:val="center"/>
          </w:tcPr>
          <w:p w14:paraId="07D92F57">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组织实施</w:t>
            </w:r>
          </w:p>
        </w:tc>
        <w:tc>
          <w:tcPr>
            <w:tcW w:w="1411" w:type="dxa"/>
            <w:shd w:val="clear" w:color="auto" w:fill="FFFFFF"/>
            <w:vAlign w:val="center"/>
          </w:tcPr>
          <w:p w14:paraId="172938A6">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管理制度</w:t>
            </w:r>
          </w:p>
          <w:p w14:paraId="69543483">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健全性</w:t>
            </w:r>
          </w:p>
        </w:tc>
        <w:tc>
          <w:tcPr>
            <w:tcW w:w="2789" w:type="dxa"/>
            <w:shd w:val="clear" w:color="000000" w:fill="FFFFFF"/>
            <w:vAlign w:val="center"/>
          </w:tcPr>
          <w:p w14:paraId="4245E5D4">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项目实施单位的财务和业务管理制度是否健全，用以反映和考核财务和业务管理制度对项目顺利实施的保障情况。</w:t>
            </w:r>
          </w:p>
        </w:tc>
        <w:tc>
          <w:tcPr>
            <w:tcW w:w="7341" w:type="dxa"/>
            <w:shd w:val="clear" w:color="000000" w:fill="FFFFFF"/>
            <w:vAlign w:val="center"/>
          </w:tcPr>
          <w:p w14:paraId="3C3D81F7">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①是否已制定或具有相应的财务和业务管理制度；</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②财务和业务管理制度是否合法、合规、完整。</w:t>
            </w:r>
          </w:p>
        </w:tc>
      </w:tr>
      <w:tr w14:paraId="784F24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155" w:type="dxa"/>
            <w:vMerge w:val="continue"/>
            <w:shd w:val="clear" w:color="auto" w:fill="FFFFFF"/>
            <w:vAlign w:val="center"/>
          </w:tcPr>
          <w:p w14:paraId="10480A03">
            <w:pPr>
              <w:widowControl/>
              <w:ind w:firstLine="0" w:firstLineChars="0"/>
              <w:jc w:val="center"/>
              <w:rPr>
                <w:rFonts w:ascii="Times New Roman" w:hAnsi="Times New Roman" w:eastAsia="宋体" w:cs="Times New Roman"/>
                <w:color w:val="000000"/>
                <w:kern w:val="0"/>
                <w:sz w:val="22"/>
              </w:rPr>
            </w:pPr>
          </w:p>
        </w:tc>
        <w:tc>
          <w:tcPr>
            <w:tcW w:w="1199" w:type="dxa"/>
            <w:vMerge w:val="continue"/>
            <w:shd w:val="clear" w:color="auto" w:fill="FFFFFF"/>
            <w:vAlign w:val="center"/>
          </w:tcPr>
          <w:p w14:paraId="2E470F1C">
            <w:pPr>
              <w:widowControl/>
              <w:ind w:firstLine="0" w:firstLineChars="0"/>
              <w:jc w:val="center"/>
              <w:rPr>
                <w:rFonts w:ascii="Times New Roman" w:hAnsi="Times New Roman" w:eastAsia="宋体" w:cs="Times New Roman"/>
                <w:color w:val="000000"/>
                <w:kern w:val="0"/>
                <w:sz w:val="22"/>
              </w:rPr>
            </w:pPr>
          </w:p>
        </w:tc>
        <w:tc>
          <w:tcPr>
            <w:tcW w:w="1411" w:type="dxa"/>
            <w:shd w:val="clear" w:color="auto" w:fill="FFFFFF"/>
            <w:vAlign w:val="center"/>
          </w:tcPr>
          <w:p w14:paraId="3FA670E8">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制度执行</w:t>
            </w:r>
          </w:p>
          <w:p w14:paraId="2B82234E">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有效性</w:t>
            </w:r>
          </w:p>
        </w:tc>
        <w:tc>
          <w:tcPr>
            <w:tcW w:w="2789" w:type="dxa"/>
            <w:shd w:val="clear" w:color="000000" w:fill="FFFFFF"/>
            <w:vAlign w:val="center"/>
          </w:tcPr>
          <w:p w14:paraId="1223DD68">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项目实施是否符合相关管理规定，用以反映和考核相关管理制度的有效执行情况。</w:t>
            </w:r>
          </w:p>
        </w:tc>
        <w:tc>
          <w:tcPr>
            <w:tcW w:w="7341" w:type="dxa"/>
            <w:shd w:val="clear" w:color="000000" w:fill="FFFFFF"/>
            <w:vAlign w:val="center"/>
          </w:tcPr>
          <w:p w14:paraId="1E9E1850">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①是否遵守相关法律法规和相关管理规定；</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②项目调整及支出调整手续是否完备；</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③项目合同书、验收报告、技术鉴定等资料是否齐全并及时归档；</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④项目实施的人员条件、场地设备、信息支撑等是否落实到位。</w:t>
            </w:r>
          </w:p>
        </w:tc>
      </w:tr>
      <w:tr w14:paraId="115512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65" w:hRule="atLeast"/>
          <w:jc w:val="center"/>
        </w:trPr>
        <w:tc>
          <w:tcPr>
            <w:tcW w:w="1155" w:type="dxa"/>
            <w:shd w:val="clear" w:color="auto" w:fill="FFFFFF"/>
            <w:vAlign w:val="center"/>
          </w:tcPr>
          <w:p w14:paraId="20EF4F1B">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产出</w:t>
            </w:r>
          </w:p>
        </w:tc>
        <w:tc>
          <w:tcPr>
            <w:tcW w:w="1199" w:type="dxa"/>
            <w:shd w:val="clear" w:color="auto" w:fill="FFFFFF"/>
            <w:vAlign w:val="center"/>
          </w:tcPr>
          <w:p w14:paraId="45D59125">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产出数量</w:t>
            </w:r>
          </w:p>
        </w:tc>
        <w:tc>
          <w:tcPr>
            <w:tcW w:w="1411" w:type="dxa"/>
            <w:shd w:val="clear" w:color="auto" w:fill="FFFFFF"/>
            <w:vAlign w:val="center"/>
          </w:tcPr>
          <w:p w14:paraId="146E652F">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支持项目数量</w:t>
            </w:r>
          </w:p>
        </w:tc>
        <w:tc>
          <w:tcPr>
            <w:tcW w:w="2789" w:type="dxa"/>
            <w:shd w:val="clear" w:color="000000" w:fill="FFFFFF"/>
            <w:vAlign w:val="center"/>
          </w:tcPr>
          <w:p w14:paraId="6AFBDC72">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项目实施的实际产出数与计划产出数的比率，用以反映和考核项目产出数量目标的实现程度。</w:t>
            </w:r>
          </w:p>
        </w:tc>
        <w:tc>
          <w:tcPr>
            <w:tcW w:w="7341" w:type="dxa"/>
            <w:shd w:val="clear" w:color="000000" w:fill="FFFFFF"/>
            <w:vAlign w:val="center"/>
          </w:tcPr>
          <w:p w14:paraId="563E375A">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实际完成率</w:t>
            </w:r>
            <w:r>
              <w:rPr>
                <w:rFonts w:ascii="Times New Roman" w:hAnsi="Times New Roman" w:eastAsia="宋体" w:cs="Times New Roman"/>
                <w:kern w:val="0"/>
                <w:sz w:val="22"/>
              </w:rPr>
              <w:t>=</w:t>
            </w:r>
            <w:r>
              <w:rPr>
                <w:rFonts w:hint="eastAsia" w:ascii="Times New Roman" w:hAnsi="Times New Roman" w:eastAsia="宋体" w:cs="Times New Roman"/>
                <w:kern w:val="0"/>
                <w:sz w:val="22"/>
              </w:rPr>
              <w:t>（实际产出数</w:t>
            </w:r>
            <w:r>
              <w:rPr>
                <w:rFonts w:ascii="Times New Roman" w:hAnsi="Times New Roman" w:eastAsia="宋体" w:cs="Times New Roman"/>
                <w:kern w:val="0"/>
                <w:sz w:val="22"/>
              </w:rPr>
              <w:t>/</w:t>
            </w:r>
            <w:r>
              <w:rPr>
                <w:rFonts w:hint="eastAsia" w:ascii="Times New Roman" w:hAnsi="Times New Roman" w:eastAsia="宋体" w:cs="Times New Roman"/>
                <w:kern w:val="0"/>
                <w:sz w:val="22"/>
              </w:rPr>
              <w:t>计划产出数）</w:t>
            </w:r>
            <w:r>
              <w:rPr>
                <w:rFonts w:ascii="Times New Roman" w:hAnsi="Times New Roman" w:eastAsia="宋体" w:cs="Times New Roman"/>
                <w:kern w:val="0"/>
                <w:sz w:val="22"/>
              </w:rPr>
              <w:t>×100%</w:t>
            </w:r>
            <w:r>
              <w:rPr>
                <w:rFonts w:hint="eastAsia" w:ascii="Times New Roman" w:hAnsi="Times New Roman" w:eastAsia="宋体" w:cs="Times New Roman"/>
                <w:kern w:val="0"/>
                <w:sz w:val="22"/>
              </w:rPr>
              <w:t>。</w:t>
            </w:r>
            <w:r>
              <w:rPr>
                <w:rFonts w:ascii="Times New Roman" w:hAnsi="Times New Roman" w:eastAsia="宋体" w:cs="Times New Roman"/>
                <w:kern w:val="0"/>
                <w:sz w:val="22"/>
              </w:rPr>
              <w:br w:type="textWrapping"/>
            </w:r>
            <w:r>
              <w:rPr>
                <w:rFonts w:hint="eastAsia" w:ascii="Times New Roman" w:hAnsi="Times New Roman" w:eastAsia="宋体" w:cs="Times New Roman"/>
                <w:kern w:val="0"/>
                <w:sz w:val="22"/>
              </w:rPr>
              <w:t>实际产出数：一定时期（本年度或项目期）内项目实际产出的产品或提供的服务数量。</w:t>
            </w:r>
            <w:r>
              <w:rPr>
                <w:rFonts w:ascii="Times New Roman" w:hAnsi="Times New Roman" w:eastAsia="宋体" w:cs="Times New Roman"/>
                <w:kern w:val="0"/>
                <w:sz w:val="22"/>
              </w:rPr>
              <w:br w:type="textWrapping"/>
            </w:r>
            <w:r>
              <w:rPr>
                <w:rFonts w:hint="eastAsia" w:ascii="Times New Roman" w:hAnsi="Times New Roman" w:eastAsia="宋体" w:cs="Times New Roman"/>
                <w:kern w:val="0"/>
                <w:sz w:val="22"/>
              </w:rPr>
              <w:t>计划产出数：项目绩效目标确定的在一定时期（本年度或项目期）内计划产出的产品或提供的服务数量。</w:t>
            </w:r>
          </w:p>
        </w:tc>
      </w:tr>
      <w:tr w14:paraId="2B2FC0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9" w:hRule="atLeast"/>
          <w:jc w:val="center"/>
        </w:trPr>
        <w:tc>
          <w:tcPr>
            <w:tcW w:w="1155" w:type="dxa"/>
            <w:vMerge w:val="restart"/>
            <w:shd w:val="clear" w:color="auto" w:fill="FFFFFF"/>
            <w:vAlign w:val="center"/>
          </w:tcPr>
          <w:p w14:paraId="6F4507A3">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产出</w:t>
            </w:r>
          </w:p>
        </w:tc>
        <w:tc>
          <w:tcPr>
            <w:tcW w:w="1199" w:type="dxa"/>
            <w:vMerge w:val="restart"/>
            <w:shd w:val="clear" w:color="auto" w:fill="FFFFFF"/>
            <w:vAlign w:val="center"/>
          </w:tcPr>
          <w:p w14:paraId="72F25B38">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产出质量</w:t>
            </w:r>
          </w:p>
        </w:tc>
        <w:tc>
          <w:tcPr>
            <w:tcW w:w="1411" w:type="dxa"/>
            <w:shd w:val="clear" w:color="auto" w:fill="FFFFFF"/>
            <w:vAlign w:val="center"/>
          </w:tcPr>
          <w:p w14:paraId="6E184FFA">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采购设备合格率（</w:t>
            </w:r>
            <w:r>
              <w:rPr>
                <w:rFonts w:ascii="Times New Roman" w:hAnsi="Times New Roman" w:eastAsia="宋体" w:cs="Times New Roman"/>
                <w:kern w:val="0"/>
                <w:sz w:val="22"/>
              </w:rPr>
              <w:t>%</w:t>
            </w:r>
            <w:r>
              <w:rPr>
                <w:rFonts w:hint="eastAsia" w:ascii="Times New Roman" w:hAnsi="Times New Roman" w:eastAsia="宋体" w:cs="Times New Roman"/>
                <w:kern w:val="0"/>
                <w:sz w:val="22"/>
              </w:rPr>
              <w:t>）</w:t>
            </w:r>
          </w:p>
        </w:tc>
        <w:tc>
          <w:tcPr>
            <w:tcW w:w="2789" w:type="dxa"/>
            <w:vMerge w:val="restart"/>
            <w:shd w:val="clear" w:color="000000" w:fill="FFFFFF"/>
            <w:vAlign w:val="center"/>
          </w:tcPr>
          <w:p w14:paraId="2A2317F1">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项目完成的质量达标产出数与实际产出数的比率，用以反映和考核项目产出质量目标的实现程度。</w:t>
            </w:r>
          </w:p>
        </w:tc>
        <w:tc>
          <w:tcPr>
            <w:tcW w:w="7341" w:type="dxa"/>
            <w:vMerge w:val="restart"/>
            <w:shd w:val="clear" w:color="000000" w:fill="FFFFFF"/>
            <w:vAlign w:val="center"/>
          </w:tcPr>
          <w:p w14:paraId="3B920A95">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质量达标率</w:t>
            </w:r>
            <w:r>
              <w:rPr>
                <w:rFonts w:ascii="Times New Roman" w:hAnsi="Times New Roman" w:eastAsia="宋体" w:cs="Times New Roman"/>
                <w:kern w:val="0"/>
                <w:sz w:val="22"/>
              </w:rPr>
              <w:t>=</w:t>
            </w:r>
            <w:r>
              <w:rPr>
                <w:rFonts w:hint="eastAsia" w:ascii="Times New Roman" w:hAnsi="Times New Roman" w:eastAsia="宋体" w:cs="Times New Roman"/>
                <w:kern w:val="0"/>
                <w:sz w:val="22"/>
              </w:rPr>
              <w:t>（质量达标产出数</w:t>
            </w:r>
            <w:r>
              <w:rPr>
                <w:rFonts w:ascii="Times New Roman" w:hAnsi="Times New Roman" w:eastAsia="宋体" w:cs="Times New Roman"/>
                <w:kern w:val="0"/>
                <w:sz w:val="22"/>
              </w:rPr>
              <w:t>/</w:t>
            </w:r>
            <w:r>
              <w:rPr>
                <w:rFonts w:hint="eastAsia" w:ascii="Times New Roman" w:hAnsi="Times New Roman" w:eastAsia="宋体" w:cs="Times New Roman"/>
                <w:kern w:val="0"/>
                <w:sz w:val="22"/>
              </w:rPr>
              <w:t>实际产出数）</w:t>
            </w:r>
            <w:r>
              <w:rPr>
                <w:rFonts w:ascii="Times New Roman" w:hAnsi="Times New Roman" w:eastAsia="宋体" w:cs="Times New Roman"/>
                <w:kern w:val="0"/>
                <w:sz w:val="22"/>
              </w:rPr>
              <w:t>×100%</w:t>
            </w:r>
            <w:r>
              <w:rPr>
                <w:rFonts w:hint="eastAsia" w:ascii="Times New Roman" w:hAnsi="Times New Roman" w:eastAsia="宋体" w:cs="Times New Roman"/>
                <w:kern w:val="0"/>
                <w:sz w:val="22"/>
              </w:rPr>
              <w:t>。</w:t>
            </w:r>
          </w:p>
          <w:p w14:paraId="31918E3F">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14:paraId="11A22C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9" w:hRule="atLeast"/>
          <w:jc w:val="center"/>
        </w:trPr>
        <w:tc>
          <w:tcPr>
            <w:tcW w:w="1155" w:type="dxa"/>
            <w:vMerge w:val="continue"/>
            <w:shd w:val="clear" w:color="auto" w:fill="FFFFFF"/>
            <w:vAlign w:val="center"/>
          </w:tcPr>
          <w:p w14:paraId="157CD654">
            <w:pPr>
              <w:widowControl/>
              <w:ind w:firstLine="0" w:firstLineChars="0"/>
              <w:jc w:val="center"/>
              <w:rPr>
                <w:rFonts w:ascii="Times New Roman" w:hAnsi="Times New Roman" w:cs="Times New Roman"/>
              </w:rPr>
            </w:pPr>
          </w:p>
        </w:tc>
        <w:tc>
          <w:tcPr>
            <w:tcW w:w="1199" w:type="dxa"/>
            <w:vMerge w:val="continue"/>
            <w:shd w:val="clear" w:color="auto" w:fill="FFFFFF"/>
            <w:vAlign w:val="center"/>
          </w:tcPr>
          <w:p w14:paraId="2D8D678D">
            <w:pPr>
              <w:widowControl/>
              <w:ind w:firstLine="0" w:firstLineChars="0"/>
              <w:jc w:val="center"/>
              <w:rPr>
                <w:rFonts w:ascii="Times New Roman" w:hAnsi="Times New Roman" w:cs="Times New Roman"/>
              </w:rPr>
            </w:pPr>
          </w:p>
        </w:tc>
        <w:tc>
          <w:tcPr>
            <w:tcW w:w="1411" w:type="dxa"/>
            <w:shd w:val="clear" w:color="auto" w:fill="FFFFFF"/>
            <w:vAlign w:val="center"/>
          </w:tcPr>
          <w:p w14:paraId="6068BCB5">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建设项目验收合格率</w:t>
            </w:r>
          </w:p>
        </w:tc>
        <w:tc>
          <w:tcPr>
            <w:tcW w:w="2789" w:type="dxa"/>
            <w:vMerge w:val="continue"/>
            <w:shd w:val="clear" w:color="000000" w:fill="FFFFFF"/>
            <w:vAlign w:val="center"/>
          </w:tcPr>
          <w:p w14:paraId="7469320C">
            <w:pPr>
              <w:widowControl/>
              <w:ind w:firstLine="0" w:firstLineChars="0"/>
              <w:jc w:val="center"/>
              <w:rPr>
                <w:rFonts w:ascii="Times New Roman" w:hAnsi="Times New Roman" w:eastAsia="宋体" w:cs="Times New Roman"/>
                <w:kern w:val="0"/>
                <w:sz w:val="22"/>
                <w:highlight w:val="yellow"/>
              </w:rPr>
            </w:pPr>
          </w:p>
        </w:tc>
        <w:tc>
          <w:tcPr>
            <w:tcW w:w="7341" w:type="dxa"/>
            <w:vMerge w:val="continue"/>
            <w:shd w:val="clear" w:color="000000" w:fill="FFFFFF"/>
            <w:vAlign w:val="center"/>
          </w:tcPr>
          <w:p w14:paraId="0461FE75">
            <w:pPr>
              <w:widowControl/>
              <w:ind w:firstLine="0" w:firstLineChars="0"/>
              <w:jc w:val="center"/>
              <w:rPr>
                <w:rFonts w:ascii="Times New Roman" w:hAnsi="Times New Roman" w:eastAsia="宋体" w:cs="Times New Roman"/>
                <w:kern w:val="0"/>
                <w:sz w:val="22"/>
                <w:highlight w:val="yellow"/>
              </w:rPr>
            </w:pPr>
          </w:p>
        </w:tc>
      </w:tr>
      <w:tr w14:paraId="0EC7AD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0" w:hRule="atLeast"/>
          <w:jc w:val="center"/>
        </w:trPr>
        <w:tc>
          <w:tcPr>
            <w:tcW w:w="1155" w:type="dxa"/>
            <w:vMerge w:val="continue"/>
            <w:shd w:val="clear" w:color="auto" w:fill="FFFFFF"/>
            <w:vAlign w:val="center"/>
          </w:tcPr>
          <w:p w14:paraId="1D9BAFD4">
            <w:pPr>
              <w:ind w:firstLine="0" w:firstLineChars="0"/>
              <w:jc w:val="center"/>
              <w:rPr>
                <w:rFonts w:ascii="Times New Roman" w:hAnsi="Times New Roman" w:eastAsia="宋体" w:cs="Times New Roman"/>
                <w:kern w:val="0"/>
                <w:sz w:val="22"/>
              </w:rPr>
            </w:pPr>
          </w:p>
        </w:tc>
        <w:tc>
          <w:tcPr>
            <w:tcW w:w="1199" w:type="dxa"/>
            <w:vMerge w:val="restart"/>
            <w:shd w:val="clear" w:color="auto" w:fill="FFFFFF"/>
            <w:vAlign w:val="center"/>
          </w:tcPr>
          <w:p w14:paraId="570A0515">
            <w:pPr>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产出时效</w:t>
            </w:r>
          </w:p>
        </w:tc>
        <w:tc>
          <w:tcPr>
            <w:tcW w:w="1411" w:type="dxa"/>
            <w:shd w:val="clear" w:color="auto" w:fill="FFFFFF"/>
            <w:vAlign w:val="center"/>
          </w:tcPr>
          <w:p w14:paraId="628B2D71">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项目建设期限</w:t>
            </w:r>
          </w:p>
        </w:tc>
        <w:tc>
          <w:tcPr>
            <w:tcW w:w="2789" w:type="dxa"/>
            <w:vMerge w:val="restart"/>
            <w:shd w:val="clear" w:color="000000" w:fill="FFFFFF"/>
            <w:vAlign w:val="center"/>
          </w:tcPr>
          <w:p w14:paraId="028CF21B">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项目实际完成时间与计划完成时间的比较，用以反映和考核项目产出时效目标的实现程度。</w:t>
            </w:r>
          </w:p>
        </w:tc>
        <w:tc>
          <w:tcPr>
            <w:tcW w:w="7341" w:type="dxa"/>
            <w:vMerge w:val="restart"/>
            <w:shd w:val="clear" w:color="000000" w:fill="FFFFFF"/>
            <w:vAlign w:val="center"/>
          </w:tcPr>
          <w:p w14:paraId="5D93BE8C">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实际完成时间：项目实施单位完成该项目实际所耗用的时间。</w:t>
            </w:r>
            <w:r>
              <w:rPr>
                <w:rFonts w:ascii="Times New Roman" w:hAnsi="Times New Roman" w:eastAsia="宋体" w:cs="Times New Roman"/>
                <w:kern w:val="0"/>
                <w:sz w:val="22"/>
              </w:rPr>
              <w:br w:type="textWrapping"/>
            </w:r>
            <w:r>
              <w:rPr>
                <w:rFonts w:hint="eastAsia" w:ascii="Times New Roman" w:hAnsi="Times New Roman" w:eastAsia="宋体" w:cs="Times New Roman"/>
                <w:kern w:val="0"/>
                <w:sz w:val="22"/>
              </w:rPr>
              <w:t>计划完成时间：按照项目实施计划或相关规定完成该项目所需的时间。</w:t>
            </w:r>
          </w:p>
        </w:tc>
      </w:tr>
      <w:tr w14:paraId="2D11A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0" w:hRule="atLeast"/>
          <w:jc w:val="center"/>
        </w:trPr>
        <w:tc>
          <w:tcPr>
            <w:tcW w:w="1155" w:type="dxa"/>
            <w:vMerge w:val="continue"/>
            <w:shd w:val="clear" w:color="auto" w:fill="FFFFFF"/>
            <w:vAlign w:val="center"/>
          </w:tcPr>
          <w:p w14:paraId="6E4AA240">
            <w:pPr>
              <w:ind w:firstLine="0" w:firstLineChars="0"/>
              <w:jc w:val="center"/>
              <w:rPr>
                <w:rFonts w:ascii="Times New Roman" w:hAnsi="Times New Roman" w:eastAsia="宋体" w:cs="Times New Roman"/>
                <w:kern w:val="0"/>
                <w:sz w:val="22"/>
              </w:rPr>
            </w:pPr>
          </w:p>
        </w:tc>
        <w:tc>
          <w:tcPr>
            <w:tcW w:w="1199" w:type="dxa"/>
            <w:vMerge w:val="continue"/>
            <w:shd w:val="clear" w:color="auto" w:fill="FFFFFF"/>
            <w:vAlign w:val="center"/>
          </w:tcPr>
          <w:p w14:paraId="610E606B">
            <w:pPr>
              <w:ind w:firstLine="0" w:firstLineChars="0"/>
              <w:jc w:val="center"/>
              <w:rPr>
                <w:rFonts w:ascii="Times New Roman" w:hAnsi="Times New Roman" w:eastAsia="宋体" w:cs="Times New Roman"/>
                <w:kern w:val="0"/>
                <w:sz w:val="22"/>
              </w:rPr>
            </w:pPr>
          </w:p>
        </w:tc>
        <w:tc>
          <w:tcPr>
            <w:tcW w:w="1411" w:type="dxa"/>
            <w:shd w:val="clear" w:color="auto" w:fill="FFFFFF"/>
            <w:vAlign w:val="center"/>
          </w:tcPr>
          <w:p w14:paraId="3046EE01">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项目建设按期完成率</w:t>
            </w:r>
          </w:p>
        </w:tc>
        <w:tc>
          <w:tcPr>
            <w:tcW w:w="2789" w:type="dxa"/>
            <w:vMerge w:val="continue"/>
            <w:shd w:val="clear" w:color="000000" w:fill="FFFFFF"/>
            <w:vAlign w:val="center"/>
          </w:tcPr>
          <w:p w14:paraId="679B40F0">
            <w:pPr>
              <w:widowControl/>
              <w:ind w:firstLine="0" w:firstLineChars="0"/>
              <w:rPr>
                <w:rFonts w:ascii="Times New Roman" w:hAnsi="Times New Roman" w:eastAsia="宋体" w:cs="Times New Roman"/>
                <w:color w:val="FF0000"/>
                <w:kern w:val="0"/>
                <w:sz w:val="22"/>
              </w:rPr>
            </w:pPr>
          </w:p>
        </w:tc>
        <w:tc>
          <w:tcPr>
            <w:tcW w:w="7341" w:type="dxa"/>
            <w:vMerge w:val="continue"/>
            <w:shd w:val="clear" w:color="000000" w:fill="FFFFFF"/>
            <w:vAlign w:val="center"/>
          </w:tcPr>
          <w:p w14:paraId="257FD5DF">
            <w:pPr>
              <w:widowControl/>
              <w:ind w:firstLine="0" w:firstLineChars="0"/>
              <w:rPr>
                <w:rFonts w:ascii="Times New Roman" w:hAnsi="Times New Roman" w:eastAsia="宋体" w:cs="Times New Roman"/>
                <w:color w:val="FF0000"/>
                <w:kern w:val="0"/>
                <w:sz w:val="22"/>
              </w:rPr>
            </w:pPr>
          </w:p>
        </w:tc>
      </w:tr>
      <w:tr w14:paraId="36D4AD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155" w:type="dxa"/>
            <w:vMerge w:val="restart"/>
            <w:shd w:val="clear" w:color="auto" w:fill="FFFFFF"/>
            <w:vAlign w:val="center"/>
          </w:tcPr>
          <w:p w14:paraId="2B5C2A75">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效益</w:t>
            </w:r>
          </w:p>
        </w:tc>
        <w:tc>
          <w:tcPr>
            <w:tcW w:w="1199" w:type="dxa"/>
            <w:shd w:val="clear" w:color="auto" w:fill="FFFFFF"/>
            <w:vAlign w:val="center"/>
          </w:tcPr>
          <w:p w14:paraId="6B4D77DC">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社会效益指标</w:t>
            </w:r>
          </w:p>
        </w:tc>
        <w:tc>
          <w:tcPr>
            <w:tcW w:w="1411" w:type="dxa"/>
            <w:shd w:val="clear" w:color="auto" w:fill="FFFFFF"/>
            <w:vAlign w:val="center"/>
          </w:tcPr>
          <w:p w14:paraId="4DA5077A">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人民生命财产安全保障</w:t>
            </w:r>
          </w:p>
        </w:tc>
        <w:tc>
          <w:tcPr>
            <w:tcW w:w="2789" w:type="dxa"/>
            <w:vMerge w:val="restart"/>
            <w:shd w:val="clear" w:color="auto" w:fill="FFFFFF"/>
            <w:vAlign w:val="center"/>
          </w:tcPr>
          <w:p w14:paraId="65B84A53">
            <w:pPr>
              <w:widowControl/>
              <w:ind w:firstLine="0" w:firstLineChars="0"/>
              <w:jc w:val="left"/>
              <w:rPr>
                <w:rFonts w:ascii="Times New Roman" w:hAnsi="Times New Roman" w:eastAsia="宋体" w:cs="Times New Roman"/>
                <w:kern w:val="0"/>
                <w:sz w:val="22"/>
              </w:rPr>
            </w:pPr>
            <w:r>
              <w:rPr>
                <w:rFonts w:hint="eastAsia" w:ascii="Times New Roman" w:hAnsi="Times New Roman" w:eastAsia="宋体" w:cs="Times New Roman"/>
                <w:kern w:val="0"/>
                <w:sz w:val="22"/>
              </w:rPr>
              <w:t>项目实施所产生的效益。</w:t>
            </w:r>
          </w:p>
        </w:tc>
        <w:tc>
          <w:tcPr>
            <w:tcW w:w="7341" w:type="dxa"/>
            <w:shd w:val="clear" w:color="auto" w:fill="FFFFFF"/>
            <w:vAlign w:val="center"/>
          </w:tcPr>
          <w:p w14:paraId="44676F6D">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项目实施所产生的社会效益、经济效益、生态效益、可持续影响等。可根据项目实际情况有选择地设置和细化。</w:t>
            </w:r>
          </w:p>
        </w:tc>
      </w:tr>
      <w:tr w14:paraId="501194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vMerge w:val="continue"/>
            <w:shd w:val="clear" w:color="auto" w:fill="FFFFFF"/>
            <w:vAlign w:val="center"/>
          </w:tcPr>
          <w:p w14:paraId="47D40FCD">
            <w:pPr>
              <w:widowControl/>
              <w:ind w:firstLine="0" w:firstLineChars="0"/>
              <w:jc w:val="center"/>
              <w:rPr>
                <w:rFonts w:ascii="Times New Roman" w:hAnsi="Times New Roman" w:eastAsia="宋体" w:cs="Times New Roman"/>
                <w:kern w:val="0"/>
                <w:sz w:val="22"/>
              </w:rPr>
            </w:pPr>
          </w:p>
        </w:tc>
        <w:tc>
          <w:tcPr>
            <w:tcW w:w="1199" w:type="dxa"/>
            <w:shd w:val="clear" w:color="auto" w:fill="FFFFFF"/>
            <w:vAlign w:val="center"/>
          </w:tcPr>
          <w:p w14:paraId="0D3EDC6F">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生态效益指标</w:t>
            </w:r>
          </w:p>
        </w:tc>
        <w:tc>
          <w:tcPr>
            <w:tcW w:w="1411" w:type="dxa"/>
            <w:shd w:val="clear" w:color="auto" w:fill="FFFFFF"/>
            <w:vAlign w:val="center"/>
          </w:tcPr>
          <w:p w14:paraId="2F75123B">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重大林业有害生物防控能力</w:t>
            </w:r>
          </w:p>
        </w:tc>
        <w:tc>
          <w:tcPr>
            <w:tcW w:w="2789" w:type="dxa"/>
            <w:vMerge w:val="continue"/>
            <w:shd w:val="clear" w:color="000000" w:fill="FFFFFF"/>
            <w:vAlign w:val="center"/>
          </w:tcPr>
          <w:p w14:paraId="16C78301">
            <w:pPr>
              <w:widowControl/>
              <w:ind w:firstLine="0" w:firstLineChars="0"/>
              <w:rPr>
                <w:rFonts w:ascii="Times New Roman" w:hAnsi="Times New Roman" w:eastAsia="宋体" w:cs="Times New Roman"/>
                <w:kern w:val="0"/>
                <w:sz w:val="22"/>
              </w:rPr>
            </w:pPr>
          </w:p>
        </w:tc>
        <w:tc>
          <w:tcPr>
            <w:tcW w:w="7341" w:type="dxa"/>
            <w:shd w:val="clear" w:color="000000" w:fill="FFFFFF"/>
            <w:vAlign w:val="center"/>
          </w:tcPr>
          <w:p w14:paraId="664DB98C">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社会公众或服务对象是指因该项目实施而受到影响的部门（单位）、群体或个人。一般采取社会调查的方式。</w:t>
            </w:r>
          </w:p>
        </w:tc>
      </w:tr>
      <w:tr w14:paraId="007266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shd w:val="clear" w:color="auto" w:fill="FFFFFF"/>
            <w:vAlign w:val="center"/>
          </w:tcPr>
          <w:p w14:paraId="5ECB5D16">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满意度指标完成情况分析</w:t>
            </w:r>
          </w:p>
        </w:tc>
        <w:tc>
          <w:tcPr>
            <w:tcW w:w="1199" w:type="dxa"/>
            <w:shd w:val="clear" w:color="auto" w:fill="FFFFFF"/>
            <w:vAlign w:val="center"/>
          </w:tcPr>
          <w:p w14:paraId="1D4D9AB2">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满意度指标</w:t>
            </w:r>
          </w:p>
        </w:tc>
        <w:tc>
          <w:tcPr>
            <w:tcW w:w="1411" w:type="dxa"/>
            <w:shd w:val="clear" w:color="auto" w:fill="FFFFFF"/>
            <w:vAlign w:val="center"/>
          </w:tcPr>
          <w:p w14:paraId="0DD3B116">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项目参与人员满意度</w:t>
            </w:r>
          </w:p>
        </w:tc>
        <w:tc>
          <w:tcPr>
            <w:tcW w:w="2789" w:type="dxa"/>
            <w:shd w:val="clear" w:color="000000" w:fill="FFFFFF"/>
            <w:vAlign w:val="center"/>
          </w:tcPr>
          <w:p w14:paraId="58E21404">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社会公众或服务对象对项目实施效果的满意程度。</w:t>
            </w:r>
          </w:p>
        </w:tc>
        <w:tc>
          <w:tcPr>
            <w:tcW w:w="7341" w:type="dxa"/>
            <w:shd w:val="clear" w:color="000000" w:fill="FFFFFF"/>
            <w:vAlign w:val="center"/>
          </w:tcPr>
          <w:p w14:paraId="718C561C">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社会公众或服务对象是指因该项目实施而受到影响的部门（单位）、群体或个人。一般采取社会调查的方式。</w:t>
            </w:r>
          </w:p>
        </w:tc>
      </w:tr>
    </w:tbl>
    <w:p w14:paraId="0B4CB736">
      <w:pPr>
        <w:ind w:firstLine="0" w:firstLineChars="0"/>
        <w:jc w:val="center"/>
        <w:rPr>
          <w:rFonts w:ascii="Times New Roman" w:hAnsi="Times New Roman" w:cs="Times New Roman"/>
        </w:rPr>
      </w:pPr>
    </w:p>
    <w:p w14:paraId="662B19FD">
      <w:pPr>
        <w:ind w:firstLine="0" w:firstLineChars="0"/>
        <w:jc w:val="center"/>
        <w:rPr>
          <w:rFonts w:ascii="Times New Roman" w:hAnsi="Times New Roman" w:cs="Times New Roman"/>
        </w:rPr>
      </w:pPr>
    </w:p>
    <w:p w14:paraId="6AE4C4F6">
      <w:pPr>
        <w:ind w:firstLine="0" w:firstLineChars="0"/>
        <w:jc w:val="center"/>
        <w:rPr>
          <w:rFonts w:ascii="Times New Roman" w:hAnsi="Times New Roman" w:cs="Times New Roman"/>
        </w:rPr>
      </w:pPr>
    </w:p>
    <w:p w14:paraId="0BBEA18F">
      <w:pPr>
        <w:ind w:firstLine="0" w:firstLineChars="0"/>
        <w:jc w:val="center"/>
        <w:rPr>
          <w:rFonts w:ascii="Times New Roman" w:hAnsi="Times New Roman" w:cs="Times New Roman"/>
        </w:rPr>
      </w:pPr>
    </w:p>
    <w:p w14:paraId="7A755BE1">
      <w:pPr>
        <w:ind w:firstLine="0" w:firstLineChars="0"/>
        <w:jc w:val="center"/>
        <w:rPr>
          <w:rFonts w:ascii="Times New Roman" w:hAnsi="Times New Roman" w:cs="Times New Roman"/>
        </w:rPr>
      </w:pPr>
    </w:p>
    <w:p w14:paraId="06ED6095">
      <w:pPr>
        <w:ind w:firstLine="0" w:firstLineChars="0"/>
        <w:jc w:val="center"/>
        <w:rPr>
          <w:rFonts w:ascii="Times New Roman" w:hAnsi="Times New Roman" w:cs="Times New Roman"/>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14:paraId="52A02C77">
      <w:pPr>
        <w:pStyle w:val="4"/>
        <w:spacing w:before="0" w:after="0" w:line="560" w:lineRule="exact"/>
        <w:ind w:firstLine="643"/>
        <w:rPr>
          <w:rFonts w:ascii="Times New Roman" w:hAnsi="Times New Roman" w:cs="Times New Roman"/>
        </w:rPr>
      </w:pPr>
      <w:bookmarkStart w:id="21" w:name="_Toc165277234"/>
      <w:bookmarkStart w:id="22" w:name="_Hlk67586038"/>
      <w:r>
        <w:rPr>
          <w:rFonts w:ascii="Times New Roman" w:hAnsi="Times New Roman" w:cs="Times New Roman"/>
        </w:rPr>
        <w:t>3.</w:t>
      </w:r>
      <w:r>
        <w:rPr>
          <w:rFonts w:hint="eastAsia" w:ascii="Times New Roman" w:hAnsi="Times New Roman" w:cs="Times New Roman"/>
        </w:rPr>
        <w:t>评价方法</w:t>
      </w:r>
      <w:bookmarkEnd w:id="21"/>
    </w:p>
    <w:bookmarkEnd w:id="22"/>
    <w:p w14:paraId="6A5A0629">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《关于印发</w:t>
      </w:r>
      <w:r>
        <w:rPr>
          <w:rFonts w:ascii="Times New Roman" w:hAnsi="Times New Roman" w:cs="Times New Roman"/>
          <w:sz w:val="32"/>
          <w:szCs w:val="32"/>
        </w:rPr>
        <w:t>&lt;</w:t>
      </w:r>
      <w:r>
        <w:rPr>
          <w:rFonts w:hint="eastAsia" w:ascii="Times New Roman" w:hAnsi="Times New Roman" w:cs="Times New Roman"/>
          <w:sz w:val="32"/>
          <w:szCs w:val="32"/>
        </w:rPr>
        <w:t>项目支出绩效评价管理办法</w:t>
      </w:r>
      <w:r>
        <w:rPr>
          <w:rFonts w:ascii="Times New Roman" w:hAnsi="Times New Roman" w:cs="Times New Roman"/>
          <w:sz w:val="32"/>
          <w:szCs w:val="32"/>
        </w:rPr>
        <w:t>&gt;</w:t>
      </w:r>
      <w:r>
        <w:rPr>
          <w:rFonts w:hint="eastAsia" w:ascii="Times New Roman" w:hAnsi="Times New Roman" w:cs="Times New Roman"/>
          <w:sz w:val="32"/>
          <w:szCs w:val="32"/>
        </w:rPr>
        <w:t>的通知》（财预〔</w:t>
      </w:r>
      <w:r>
        <w:rPr>
          <w:rFonts w:ascii="Times New Roman" w:hAnsi="Times New Roman" w:cs="Times New Roman"/>
          <w:sz w:val="32"/>
          <w:szCs w:val="32"/>
        </w:rPr>
        <w:t>2020</w:t>
      </w:r>
      <w:r>
        <w:rPr>
          <w:rFonts w:hint="eastAsia" w:ascii="Times New Roman" w:hAnsi="Times New Roman" w:cs="Times New Roman"/>
          <w:sz w:val="32"/>
          <w:szCs w:val="32"/>
        </w:rPr>
        <w:t>〕</w:t>
      </w:r>
      <w:r>
        <w:rPr>
          <w:rFonts w:ascii="Times New Roman" w:hAnsi="Times New Roman" w:cs="Times New Roman"/>
          <w:sz w:val="32"/>
          <w:szCs w:val="32"/>
        </w:rPr>
        <w:t>10</w:t>
      </w:r>
      <w:r>
        <w:rPr>
          <w:rFonts w:hint="eastAsia" w:ascii="Times New Roman" w:hAnsi="Times New Roman" w:cs="Times New Roman"/>
          <w:sz w:val="32"/>
          <w:szCs w:val="32"/>
        </w:rPr>
        <w:t>号）文件指出部门评价的方法主要包括成本效益分析法、比较法、因素分析法、最低成本法、公众评判法、标杆管理法等。</w:t>
      </w:r>
    </w:p>
    <w:p w14:paraId="2AE04895">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1</w:t>
      </w:r>
      <w:r>
        <w:rPr>
          <w:rFonts w:hint="eastAsia" w:ascii="Times New Roman" w:hAnsi="Times New Roman" w:cs="Times New Roman"/>
          <w:sz w:val="32"/>
          <w:szCs w:val="32"/>
        </w:rPr>
        <w:t>）成本效益分析法。是指将投入与产出、效益进行关联性分析的方法。</w:t>
      </w:r>
    </w:p>
    <w:p w14:paraId="7B820D0B">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2</w:t>
      </w:r>
      <w:r>
        <w:rPr>
          <w:rFonts w:hint="eastAsia" w:ascii="Times New Roman" w:hAnsi="Times New Roman" w:cs="Times New Roman"/>
          <w:sz w:val="32"/>
          <w:szCs w:val="32"/>
        </w:rPr>
        <w:t>）比较法。是指将实施情况与绩效目标、历史情况、不同部门和地区同类支出情况进行比较的方法。</w:t>
      </w:r>
    </w:p>
    <w:p w14:paraId="6F81D24C">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3</w:t>
      </w:r>
      <w:r>
        <w:rPr>
          <w:rFonts w:hint="eastAsia" w:ascii="Times New Roman" w:hAnsi="Times New Roman" w:cs="Times New Roman"/>
          <w:sz w:val="32"/>
          <w:szCs w:val="32"/>
        </w:rPr>
        <w:t>）因素分析法。是指综合分析影响绩效目标实现、实施效果的内外部因素的方法。</w:t>
      </w:r>
    </w:p>
    <w:p w14:paraId="36E31300">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4</w:t>
      </w:r>
      <w:r>
        <w:rPr>
          <w:rFonts w:hint="eastAsia" w:ascii="Times New Roman" w:hAnsi="Times New Roman" w:cs="Times New Roman"/>
          <w:sz w:val="32"/>
          <w:szCs w:val="32"/>
        </w:rPr>
        <w:t>）最低成本法。是指在绩效目标确定的前提下，成本最小者为优的方法。</w:t>
      </w:r>
    </w:p>
    <w:p w14:paraId="5A53930D">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5</w:t>
      </w:r>
      <w:r>
        <w:rPr>
          <w:rFonts w:hint="eastAsia" w:ascii="Times New Roman" w:hAnsi="Times New Roman" w:cs="Times New Roman"/>
          <w:sz w:val="32"/>
          <w:szCs w:val="32"/>
        </w:rPr>
        <w:t>）公众评判法。是指通过专家评估、公众问卷及抽样调查等方式进行评判的方法。</w:t>
      </w:r>
    </w:p>
    <w:p w14:paraId="60E3556F">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6</w:t>
      </w:r>
      <w:r>
        <w:rPr>
          <w:rFonts w:hint="eastAsia" w:ascii="Times New Roman" w:hAnsi="Times New Roman" w:cs="Times New Roman"/>
          <w:sz w:val="32"/>
          <w:szCs w:val="32"/>
        </w:rPr>
        <w:t>）标杆管理法。是指以国内外同行业中较高的绩效水平为标杆进行评判的方法。</w:t>
      </w:r>
    </w:p>
    <w:p w14:paraId="04C4CA66">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7</w:t>
      </w:r>
      <w:r>
        <w:rPr>
          <w:rFonts w:hint="eastAsia" w:ascii="Times New Roman" w:hAnsi="Times New Roman" w:cs="Times New Roman"/>
          <w:sz w:val="32"/>
          <w:szCs w:val="32"/>
        </w:rPr>
        <w:t>）其他评价方法。</w:t>
      </w:r>
    </w:p>
    <w:p w14:paraId="5E68631C">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根据本项目（乌鲁木齐市松材线虫病等重大林业有害生物防治能力提升工程建设项目）的特点，本次评价主要采用因素分析法和公众评判法，对项目总预算和明细预算的内容、标准、计划是否经济合理进行深入分析，以考察实际产出和效益是否达到预期。</w:t>
      </w:r>
    </w:p>
    <w:p w14:paraId="6B7B6E8E">
      <w:pPr>
        <w:pStyle w:val="4"/>
        <w:spacing w:before="0" w:after="0" w:line="560" w:lineRule="exact"/>
        <w:ind w:firstLine="643"/>
        <w:rPr>
          <w:rFonts w:ascii="Times New Roman" w:hAnsi="Times New Roman" w:cs="Times New Roman"/>
        </w:rPr>
      </w:pPr>
      <w:bookmarkStart w:id="23" w:name="_Toc165277235"/>
      <w:r>
        <w:rPr>
          <w:rFonts w:ascii="Times New Roman" w:hAnsi="Times New Roman" w:cs="Times New Roman"/>
        </w:rPr>
        <w:t>4.</w:t>
      </w:r>
      <w:r>
        <w:rPr>
          <w:rFonts w:hint="eastAsia" w:ascii="Times New Roman" w:hAnsi="Times New Roman" w:cs="Times New Roman"/>
        </w:rPr>
        <w:t>评价标准</w:t>
      </w:r>
      <w:bookmarkEnd w:id="23"/>
    </w:p>
    <w:p w14:paraId="5A0351C6">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绩效评价标准主要包括计划标准、行业标准、历史标准等，用于对绩效指标完成情况进行比较。</w:t>
      </w:r>
    </w:p>
    <w:p w14:paraId="269F9487">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1</w:t>
      </w:r>
      <w:r>
        <w:rPr>
          <w:rFonts w:hint="eastAsia" w:ascii="Times New Roman" w:hAnsi="Times New Roman" w:cs="Times New Roman"/>
          <w:sz w:val="32"/>
          <w:szCs w:val="32"/>
        </w:rPr>
        <w:t>）计划标准。指以预先制定的目标、计划、预算、定额等作为评价标准。</w:t>
      </w:r>
    </w:p>
    <w:p w14:paraId="06C737C6">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2</w:t>
      </w:r>
      <w:r>
        <w:rPr>
          <w:rFonts w:hint="eastAsia" w:ascii="Times New Roman" w:hAnsi="Times New Roman" w:cs="Times New Roman"/>
          <w:sz w:val="32"/>
          <w:szCs w:val="32"/>
        </w:rPr>
        <w:t>）行业标准。指参照国家公布的行业指标数据制定的评价标准。</w:t>
      </w:r>
    </w:p>
    <w:p w14:paraId="42B7057A">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3</w:t>
      </w:r>
      <w:r>
        <w:rPr>
          <w:rFonts w:hint="eastAsia" w:ascii="Times New Roman" w:hAnsi="Times New Roman" w:cs="Times New Roman"/>
          <w:sz w:val="32"/>
          <w:szCs w:val="32"/>
        </w:rPr>
        <w:t>）历史标准。指参照历史数据制定的评价标准，为体现绩效改进的原则，在可实现的条件下应当确定相对较高的评价标准。</w:t>
      </w:r>
    </w:p>
    <w:p w14:paraId="10E2909B">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在上述评价标准的基础上，本次评价依据以下文件为重要指导和准绳：</w:t>
      </w:r>
    </w:p>
    <w:p w14:paraId="0207104F">
      <w:pPr>
        <w:spacing w:line="560" w:lineRule="exact"/>
        <w:ind w:firstLine="640"/>
        <w:rPr>
          <w:rFonts w:ascii="Times New Roman" w:hAnsi="Times New Roman" w:cs="Times New Roman"/>
          <w:sz w:val="32"/>
          <w:szCs w:val="32"/>
        </w:rPr>
      </w:pPr>
      <w:r>
        <w:rPr>
          <w:rFonts w:ascii="Times New Roman" w:hAnsi="Times New Roman" w:eastAsia="黑体" w:cs="Times New Roman"/>
          <w:sz w:val="32"/>
          <w:szCs w:val="32"/>
        </w:rPr>
        <w:t>·</w:t>
      </w:r>
      <w:r>
        <w:rPr>
          <w:rFonts w:hint="eastAsia" w:ascii="Times New Roman" w:hAnsi="Times New Roman" w:cs="Times New Roman"/>
          <w:sz w:val="32"/>
          <w:szCs w:val="32"/>
        </w:rPr>
        <w:t>《中共中央国务院关于全面实施预算绩效管理的意见》（中发〔</w:t>
      </w:r>
      <w:r>
        <w:rPr>
          <w:rFonts w:ascii="Times New Roman" w:hAnsi="Times New Roman" w:cs="Times New Roman"/>
          <w:sz w:val="32"/>
          <w:szCs w:val="32"/>
        </w:rPr>
        <w:t>2018</w:t>
      </w:r>
      <w:r>
        <w:rPr>
          <w:rFonts w:hint="eastAsia" w:ascii="Times New Roman" w:hAnsi="Times New Roman" w:cs="Times New Roman"/>
          <w:sz w:val="32"/>
          <w:szCs w:val="32"/>
        </w:rPr>
        <w:t>〕</w:t>
      </w:r>
      <w:r>
        <w:rPr>
          <w:rFonts w:ascii="Times New Roman" w:hAnsi="Times New Roman" w:cs="Times New Roman"/>
          <w:sz w:val="32"/>
          <w:szCs w:val="32"/>
        </w:rPr>
        <w:t>34</w:t>
      </w:r>
      <w:r>
        <w:rPr>
          <w:rFonts w:hint="eastAsia" w:ascii="Times New Roman" w:hAnsi="Times New Roman" w:cs="Times New Roman"/>
          <w:sz w:val="32"/>
          <w:szCs w:val="32"/>
        </w:rPr>
        <w:t>号）</w:t>
      </w:r>
    </w:p>
    <w:p w14:paraId="7E56DD24">
      <w:pPr>
        <w:spacing w:line="560" w:lineRule="exact"/>
        <w:ind w:firstLine="640"/>
        <w:rPr>
          <w:rFonts w:ascii="Times New Roman" w:hAnsi="Times New Roman" w:cs="Times New Roman"/>
          <w:sz w:val="32"/>
          <w:szCs w:val="32"/>
        </w:rPr>
      </w:pPr>
      <w:r>
        <w:rPr>
          <w:rFonts w:ascii="Times New Roman" w:hAnsi="Times New Roman" w:eastAsia="黑体" w:cs="Times New Roman"/>
          <w:sz w:val="32"/>
          <w:szCs w:val="32"/>
        </w:rPr>
        <w:t>·</w:t>
      </w:r>
      <w:r>
        <w:rPr>
          <w:rFonts w:hint="eastAsia" w:ascii="Times New Roman" w:hAnsi="Times New Roman" w:cs="Times New Roman"/>
          <w:sz w:val="32"/>
          <w:szCs w:val="32"/>
        </w:rPr>
        <w:t>《关于印发</w:t>
      </w:r>
      <w:r>
        <w:rPr>
          <w:rFonts w:ascii="Times New Roman" w:hAnsi="Times New Roman" w:cs="Times New Roman"/>
          <w:sz w:val="32"/>
          <w:szCs w:val="32"/>
        </w:rPr>
        <w:t>&lt;</w:t>
      </w:r>
      <w:r>
        <w:rPr>
          <w:rFonts w:hint="eastAsia" w:ascii="Times New Roman" w:hAnsi="Times New Roman" w:cs="Times New Roman"/>
          <w:sz w:val="32"/>
          <w:szCs w:val="32"/>
        </w:rPr>
        <w:t>乌鲁木齐市本级部门预算绩效目标管理暂行办法</w:t>
      </w:r>
      <w:r>
        <w:rPr>
          <w:rFonts w:ascii="Times New Roman" w:hAnsi="Times New Roman" w:cs="Times New Roman"/>
          <w:sz w:val="32"/>
          <w:szCs w:val="32"/>
        </w:rPr>
        <w:t>&gt;</w:t>
      </w:r>
      <w:r>
        <w:rPr>
          <w:rFonts w:hint="eastAsia" w:ascii="Times New Roman" w:hAnsi="Times New Roman" w:cs="Times New Roman"/>
          <w:sz w:val="32"/>
          <w:szCs w:val="32"/>
        </w:rPr>
        <w:t>的通知》（乌财预〔</w:t>
      </w:r>
      <w:r>
        <w:rPr>
          <w:rFonts w:ascii="Times New Roman" w:hAnsi="Times New Roman" w:cs="Times New Roman"/>
          <w:sz w:val="32"/>
          <w:szCs w:val="32"/>
        </w:rPr>
        <w:t>2018</w:t>
      </w:r>
      <w:r>
        <w:rPr>
          <w:rFonts w:hint="eastAsia" w:ascii="Times New Roman" w:hAnsi="Times New Roman" w:cs="Times New Roman"/>
          <w:sz w:val="32"/>
          <w:szCs w:val="32"/>
        </w:rPr>
        <w:t>〕</w:t>
      </w:r>
      <w:r>
        <w:rPr>
          <w:rFonts w:ascii="Times New Roman" w:hAnsi="Times New Roman" w:cs="Times New Roman"/>
          <w:sz w:val="32"/>
          <w:szCs w:val="32"/>
        </w:rPr>
        <w:t>56</w:t>
      </w:r>
      <w:r>
        <w:rPr>
          <w:rFonts w:hint="eastAsia" w:ascii="Times New Roman" w:hAnsi="Times New Roman" w:cs="Times New Roman"/>
          <w:sz w:val="32"/>
          <w:szCs w:val="32"/>
        </w:rPr>
        <w:t>号）</w:t>
      </w:r>
    </w:p>
    <w:p w14:paraId="7D2A8E3A">
      <w:pPr>
        <w:spacing w:line="560" w:lineRule="exact"/>
        <w:ind w:firstLine="560" w:firstLineChars="0"/>
        <w:rPr>
          <w:rFonts w:ascii="Times New Roman" w:hAnsi="Times New Roman" w:cs="Times New Roman"/>
          <w:sz w:val="32"/>
          <w:szCs w:val="32"/>
        </w:rPr>
      </w:pPr>
      <w:r>
        <w:rPr>
          <w:rFonts w:ascii="Times New Roman" w:hAnsi="Times New Roman" w:eastAsia="黑体" w:cs="Times New Roman"/>
          <w:sz w:val="32"/>
          <w:szCs w:val="32"/>
        </w:rPr>
        <w:t>·</w:t>
      </w:r>
      <w:r>
        <w:rPr>
          <w:rFonts w:hint="eastAsia" w:ascii="Times New Roman" w:hAnsi="Times New Roman" w:cs="Times New Roman"/>
          <w:sz w:val="32"/>
          <w:szCs w:val="32"/>
        </w:rPr>
        <w:t>《关于做好</w:t>
      </w:r>
      <w:r>
        <w:rPr>
          <w:rFonts w:ascii="Times New Roman" w:hAnsi="Times New Roman" w:cs="Times New Roman"/>
          <w:sz w:val="32"/>
          <w:szCs w:val="32"/>
        </w:rPr>
        <w:t>2019</w:t>
      </w:r>
      <w:r>
        <w:rPr>
          <w:rFonts w:hint="eastAsia" w:ascii="Times New Roman" w:hAnsi="Times New Roman" w:cs="Times New Roman"/>
          <w:sz w:val="32"/>
          <w:szCs w:val="32"/>
        </w:rPr>
        <w:t>年部门预算项目支出绩效目标管理有关事宜的通知》（乌财预〔</w:t>
      </w:r>
      <w:r>
        <w:rPr>
          <w:rFonts w:ascii="Times New Roman" w:hAnsi="Times New Roman" w:cs="Times New Roman"/>
          <w:sz w:val="32"/>
          <w:szCs w:val="32"/>
        </w:rPr>
        <w:t>2018</w:t>
      </w:r>
      <w:r>
        <w:rPr>
          <w:rFonts w:hint="eastAsia" w:ascii="Times New Roman" w:hAnsi="Times New Roman" w:cs="Times New Roman"/>
          <w:sz w:val="32"/>
          <w:szCs w:val="32"/>
        </w:rPr>
        <w:t>〕</w:t>
      </w:r>
      <w:r>
        <w:rPr>
          <w:rFonts w:ascii="Times New Roman" w:hAnsi="Times New Roman" w:cs="Times New Roman"/>
          <w:sz w:val="32"/>
          <w:szCs w:val="32"/>
        </w:rPr>
        <w:t>76</w:t>
      </w:r>
      <w:r>
        <w:rPr>
          <w:rFonts w:hint="eastAsia" w:ascii="Times New Roman" w:hAnsi="Times New Roman" w:cs="Times New Roman"/>
          <w:sz w:val="32"/>
          <w:szCs w:val="32"/>
        </w:rPr>
        <w:t>号）</w:t>
      </w:r>
    </w:p>
    <w:p w14:paraId="6050EB68">
      <w:pPr>
        <w:spacing w:line="560" w:lineRule="exact"/>
        <w:ind w:firstLine="640"/>
        <w:rPr>
          <w:rFonts w:ascii="Times New Roman" w:hAnsi="Times New Roman" w:cs="Times New Roman"/>
          <w:sz w:val="32"/>
          <w:szCs w:val="32"/>
        </w:rPr>
      </w:pPr>
      <w:r>
        <w:rPr>
          <w:rFonts w:ascii="Times New Roman" w:hAnsi="Times New Roman" w:eastAsia="黑体" w:cs="Times New Roman"/>
          <w:sz w:val="32"/>
          <w:szCs w:val="32"/>
        </w:rPr>
        <w:t>·</w:t>
      </w:r>
      <w:r>
        <w:rPr>
          <w:rFonts w:hint="eastAsia" w:ascii="Times New Roman" w:hAnsi="Times New Roman" w:cs="Times New Roman"/>
          <w:sz w:val="32"/>
          <w:szCs w:val="32"/>
        </w:rPr>
        <w:t>《项目支出绩效评价管理办法》（财预〔</w:t>
      </w:r>
      <w:r>
        <w:rPr>
          <w:rFonts w:ascii="Times New Roman" w:hAnsi="Times New Roman" w:cs="Times New Roman"/>
          <w:sz w:val="32"/>
          <w:szCs w:val="32"/>
        </w:rPr>
        <w:t>2020</w:t>
      </w:r>
      <w:r>
        <w:rPr>
          <w:rFonts w:hint="eastAsia" w:ascii="Times New Roman" w:hAnsi="Times New Roman" w:cs="Times New Roman"/>
          <w:sz w:val="32"/>
          <w:szCs w:val="32"/>
        </w:rPr>
        <w:t>〕</w:t>
      </w:r>
      <w:r>
        <w:rPr>
          <w:rFonts w:ascii="Times New Roman" w:hAnsi="Times New Roman" w:cs="Times New Roman"/>
          <w:sz w:val="32"/>
          <w:szCs w:val="32"/>
        </w:rPr>
        <w:t>10</w:t>
      </w:r>
      <w:r>
        <w:rPr>
          <w:rFonts w:hint="eastAsia" w:ascii="Times New Roman" w:hAnsi="Times New Roman" w:cs="Times New Roman"/>
          <w:sz w:val="32"/>
          <w:szCs w:val="32"/>
        </w:rPr>
        <w:t>号）</w:t>
      </w:r>
    </w:p>
    <w:p w14:paraId="12980827">
      <w:pPr>
        <w:spacing w:line="560" w:lineRule="exact"/>
        <w:ind w:firstLine="560" w:firstLineChars="0"/>
        <w:rPr>
          <w:rFonts w:ascii="Times New Roman" w:hAnsi="Times New Roman" w:cs="Times New Roman"/>
          <w:sz w:val="32"/>
          <w:szCs w:val="32"/>
        </w:rPr>
      </w:pPr>
      <w:r>
        <w:rPr>
          <w:rFonts w:ascii="Times New Roman" w:hAnsi="Times New Roman" w:eastAsia="黑体" w:cs="Times New Roman"/>
          <w:sz w:val="32"/>
          <w:szCs w:val="32"/>
        </w:rPr>
        <w:t>·</w:t>
      </w:r>
      <w:r>
        <w:rPr>
          <w:rFonts w:hint="eastAsia" w:ascii="Times New Roman" w:hAnsi="Times New Roman" w:cs="Times New Roman"/>
          <w:sz w:val="32"/>
          <w:szCs w:val="32"/>
        </w:rPr>
        <w:t>《自治区发展改革委</w:t>
      </w:r>
      <w:r>
        <w:rPr>
          <w:rFonts w:ascii="Times New Roman" w:hAnsi="Times New Roman" w:cs="Times New Roman"/>
          <w:sz w:val="32"/>
          <w:szCs w:val="32"/>
        </w:rPr>
        <w:t xml:space="preserve"> </w:t>
      </w:r>
      <w:r>
        <w:rPr>
          <w:rFonts w:hint="eastAsia" w:ascii="Times New Roman" w:hAnsi="Times New Roman" w:cs="Times New Roman"/>
          <w:sz w:val="32"/>
          <w:szCs w:val="32"/>
        </w:rPr>
        <w:t>林草局关于下达藏粮于地藏粮于技专项（林业草原有害生物防治能力建设项目）</w:t>
      </w:r>
      <w:r>
        <w:rPr>
          <w:rFonts w:ascii="Times New Roman" w:hAnsi="Times New Roman" w:cs="Times New Roman"/>
          <w:sz w:val="32"/>
          <w:szCs w:val="32"/>
        </w:rPr>
        <w:t>2022</w:t>
      </w:r>
      <w:r>
        <w:rPr>
          <w:rFonts w:hint="eastAsia" w:ascii="Times New Roman" w:hAnsi="Times New Roman" w:cs="Times New Roman"/>
          <w:sz w:val="32"/>
          <w:szCs w:val="32"/>
        </w:rPr>
        <w:t>年中央预算内投资计划的通知》（新发改投资〔</w:t>
      </w:r>
      <w:r>
        <w:rPr>
          <w:rFonts w:ascii="Times New Roman" w:hAnsi="Times New Roman" w:cs="Times New Roman"/>
          <w:sz w:val="32"/>
          <w:szCs w:val="32"/>
        </w:rPr>
        <w:t>2022</w:t>
      </w:r>
      <w:r>
        <w:rPr>
          <w:rFonts w:hint="eastAsia" w:ascii="Times New Roman" w:hAnsi="Times New Roman" w:cs="Times New Roman"/>
          <w:sz w:val="32"/>
          <w:szCs w:val="32"/>
        </w:rPr>
        <w:t>〕</w:t>
      </w:r>
      <w:r>
        <w:rPr>
          <w:rFonts w:ascii="Times New Roman" w:hAnsi="Times New Roman" w:cs="Times New Roman"/>
          <w:sz w:val="32"/>
          <w:szCs w:val="32"/>
        </w:rPr>
        <w:t xml:space="preserve">276 </w:t>
      </w:r>
      <w:r>
        <w:rPr>
          <w:rFonts w:hint="eastAsia" w:ascii="Times New Roman" w:hAnsi="Times New Roman" w:cs="Times New Roman"/>
          <w:sz w:val="32"/>
          <w:szCs w:val="32"/>
        </w:rPr>
        <w:t>号）</w:t>
      </w:r>
    </w:p>
    <w:p w14:paraId="5DAAFD8F">
      <w:pPr>
        <w:spacing w:line="560" w:lineRule="exact"/>
        <w:ind w:firstLine="560" w:firstLineChars="0"/>
        <w:rPr>
          <w:rFonts w:ascii="Times New Roman" w:hAnsi="Times New Roman" w:cs="Times New Roman"/>
          <w:sz w:val="32"/>
          <w:szCs w:val="32"/>
        </w:rPr>
      </w:pPr>
      <w:r>
        <w:rPr>
          <w:rFonts w:ascii="Times New Roman" w:hAnsi="Times New Roman" w:eastAsia="黑体" w:cs="Times New Roman"/>
          <w:sz w:val="32"/>
          <w:szCs w:val="32"/>
        </w:rPr>
        <w:t>·</w:t>
      </w:r>
      <w:r>
        <w:rPr>
          <w:rFonts w:hint="eastAsia" w:ascii="Times New Roman" w:hAnsi="Times New Roman" w:cs="Times New Roman"/>
          <w:sz w:val="32"/>
          <w:szCs w:val="32"/>
        </w:rPr>
        <w:t>《关于下达</w:t>
      </w:r>
      <w:r>
        <w:rPr>
          <w:rFonts w:ascii="Times New Roman" w:hAnsi="Times New Roman" w:cs="Times New Roman"/>
          <w:sz w:val="32"/>
          <w:szCs w:val="32"/>
        </w:rPr>
        <w:t>2022</w:t>
      </w:r>
      <w:r>
        <w:rPr>
          <w:rFonts w:hint="eastAsia" w:ascii="Times New Roman" w:hAnsi="Times New Roman" w:cs="Times New Roman"/>
          <w:sz w:val="32"/>
          <w:szCs w:val="32"/>
        </w:rPr>
        <w:t>年藏粮于地藏粮于技专项（林业草原有害生物防治能力建设项目）中央预算内投资计划的通知》（乌财建〔</w:t>
      </w:r>
      <w:r>
        <w:rPr>
          <w:rFonts w:ascii="Times New Roman" w:hAnsi="Times New Roman" w:cs="Times New Roman"/>
          <w:sz w:val="32"/>
          <w:szCs w:val="32"/>
        </w:rPr>
        <w:t>2022</w:t>
      </w:r>
      <w:r>
        <w:rPr>
          <w:rFonts w:hint="eastAsia" w:ascii="Times New Roman" w:hAnsi="Times New Roman" w:cs="Times New Roman"/>
          <w:sz w:val="32"/>
          <w:szCs w:val="32"/>
        </w:rPr>
        <w:t>〕</w:t>
      </w:r>
      <w:r>
        <w:rPr>
          <w:rFonts w:ascii="Times New Roman" w:hAnsi="Times New Roman" w:cs="Times New Roman"/>
          <w:sz w:val="32"/>
          <w:szCs w:val="32"/>
        </w:rPr>
        <w:t xml:space="preserve">194 </w:t>
      </w:r>
      <w:r>
        <w:rPr>
          <w:rFonts w:hint="eastAsia" w:ascii="Times New Roman" w:hAnsi="Times New Roman" w:cs="Times New Roman"/>
          <w:sz w:val="32"/>
          <w:szCs w:val="32"/>
        </w:rPr>
        <w:t>号）</w:t>
      </w:r>
    </w:p>
    <w:p w14:paraId="1EEB83CB">
      <w:pPr>
        <w:spacing w:line="560" w:lineRule="exact"/>
        <w:ind w:firstLine="560" w:firstLineChars="0"/>
        <w:rPr>
          <w:rFonts w:ascii="Times New Roman" w:hAnsi="Times New Roman" w:cs="Times New Roman"/>
          <w:sz w:val="32"/>
          <w:szCs w:val="32"/>
        </w:rPr>
      </w:pPr>
      <w:r>
        <w:rPr>
          <w:rFonts w:ascii="Times New Roman" w:hAnsi="Times New Roman" w:eastAsia="黑体" w:cs="Times New Roman"/>
          <w:sz w:val="32"/>
          <w:szCs w:val="32"/>
        </w:rPr>
        <w:t>·</w:t>
      </w:r>
      <w:r>
        <w:rPr>
          <w:rFonts w:hint="eastAsia" w:ascii="Times New Roman" w:hAnsi="Times New Roman" w:cs="Times New Roman"/>
          <w:sz w:val="32"/>
          <w:szCs w:val="32"/>
        </w:rPr>
        <w:t>《关于印发</w:t>
      </w:r>
      <w:r>
        <w:rPr>
          <w:rFonts w:ascii="Times New Roman" w:hAnsi="Times New Roman" w:cs="Times New Roman"/>
          <w:sz w:val="32"/>
          <w:szCs w:val="32"/>
        </w:rPr>
        <w:t>&lt;</w:t>
      </w:r>
      <w:r>
        <w:rPr>
          <w:rFonts w:hint="eastAsia" w:ascii="Times New Roman" w:hAnsi="Times New Roman" w:cs="Times New Roman"/>
          <w:sz w:val="32"/>
          <w:szCs w:val="32"/>
        </w:rPr>
        <w:t>乌鲁木齐市财政专项资金使用跟踪反馈管理暂行办法</w:t>
      </w:r>
      <w:r>
        <w:rPr>
          <w:rFonts w:ascii="Times New Roman" w:hAnsi="Times New Roman" w:cs="Times New Roman"/>
          <w:sz w:val="32"/>
          <w:szCs w:val="32"/>
        </w:rPr>
        <w:t>&gt;</w:t>
      </w:r>
      <w:r>
        <w:rPr>
          <w:rFonts w:hint="eastAsia" w:ascii="Times New Roman" w:hAnsi="Times New Roman" w:cs="Times New Roman"/>
          <w:sz w:val="32"/>
          <w:szCs w:val="32"/>
        </w:rPr>
        <w:t>的通知》（乌财预〔</w:t>
      </w:r>
      <w:r>
        <w:rPr>
          <w:rFonts w:ascii="Times New Roman" w:hAnsi="Times New Roman" w:cs="Times New Roman"/>
          <w:sz w:val="32"/>
          <w:szCs w:val="32"/>
        </w:rPr>
        <w:t>2018</w:t>
      </w:r>
      <w:r>
        <w:rPr>
          <w:rFonts w:hint="eastAsia" w:ascii="Times New Roman" w:hAnsi="Times New Roman" w:cs="Times New Roman"/>
          <w:sz w:val="32"/>
          <w:szCs w:val="32"/>
        </w:rPr>
        <w:t>〕</w:t>
      </w:r>
      <w:r>
        <w:rPr>
          <w:rFonts w:ascii="Times New Roman" w:hAnsi="Times New Roman" w:cs="Times New Roman"/>
          <w:sz w:val="32"/>
          <w:szCs w:val="32"/>
        </w:rPr>
        <w:t>41</w:t>
      </w:r>
      <w:r>
        <w:rPr>
          <w:rFonts w:hint="eastAsia" w:ascii="Times New Roman" w:hAnsi="Times New Roman" w:cs="Times New Roman"/>
          <w:sz w:val="32"/>
          <w:szCs w:val="32"/>
        </w:rPr>
        <w:t>号）</w:t>
      </w:r>
    </w:p>
    <w:p w14:paraId="18A42511">
      <w:pPr>
        <w:spacing w:line="560" w:lineRule="exact"/>
        <w:ind w:firstLine="560" w:firstLineChars="0"/>
        <w:rPr>
          <w:rFonts w:ascii="Times New Roman" w:hAnsi="Times New Roman" w:cs="Times New Roman"/>
          <w:sz w:val="32"/>
          <w:szCs w:val="32"/>
        </w:rPr>
      </w:pPr>
      <w:r>
        <w:rPr>
          <w:rFonts w:hint="eastAsia" w:ascii="Times New Roman" w:hAnsi="Times New Roman" w:cs="Times New Roman"/>
          <w:sz w:val="32"/>
          <w:szCs w:val="32"/>
        </w:rPr>
        <w:t>《关于印发农业领域相关专项中央预算内投资管理办法的通知》发改农经规（</w:t>
      </w:r>
      <w:r>
        <w:rPr>
          <w:rFonts w:ascii="Times New Roman" w:hAnsi="Times New Roman" w:cs="Times New Roman"/>
          <w:sz w:val="32"/>
          <w:szCs w:val="32"/>
        </w:rPr>
        <w:t>2021</w:t>
      </w:r>
      <w:r>
        <w:rPr>
          <w:rFonts w:hint="eastAsia" w:ascii="Times New Roman" w:hAnsi="Times New Roman" w:cs="Times New Roman"/>
          <w:sz w:val="32"/>
          <w:szCs w:val="32"/>
        </w:rPr>
        <w:t>）</w:t>
      </w:r>
      <w:r>
        <w:rPr>
          <w:rFonts w:ascii="Times New Roman" w:hAnsi="Times New Roman" w:cs="Times New Roman"/>
          <w:sz w:val="32"/>
          <w:szCs w:val="32"/>
        </w:rPr>
        <w:t>1273</w:t>
      </w:r>
      <w:r>
        <w:rPr>
          <w:rFonts w:hint="eastAsia" w:ascii="Times New Roman" w:hAnsi="Times New Roman" w:cs="Times New Roman"/>
          <w:sz w:val="32"/>
          <w:szCs w:val="32"/>
        </w:rPr>
        <w:t>号</w:t>
      </w:r>
    </w:p>
    <w:p w14:paraId="25792E6D">
      <w:pPr>
        <w:pStyle w:val="3"/>
        <w:spacing w:before="0" w:after="0" w:line="560" w:lineRule="exact"/>
        <w:ind w:firstLine="643"/>
        <w:rPr>
          <w:rFonts w:ascii="Times New Roman" w:hAnsi="Times New Roman" w:eastAsia="仿宋"/>
        </w:rPr>
      </w:pPr>
      <w:bookmarkStart w:id="24" w:name="_Toc67911607"/>
      <w:bookmarkStart w:id="25" w:name="_Toc165277236"/>
      <w:r>
        <w:rPr>
          <w:rFonts w:hint="eastAsia" w:ascii="Times New Roman" w:hAnsi="Times New Roman" w:eastAsia="仿宋"/>
        </w:rPr>
        <w:t>（三）绩效评价工作过程</w:t>
      </w:r>
      <w:bookmarkEnd w:id="24"/>
      <w:bookmarkEnd w:id="25"/>
    </w:p>
    <w:p w14:paraId="4EE9404C">
      <w:pPr>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17"/>
          <w:rFonts w:ascii="Times New Roman" w:hAnsi="Times New Roman"/>
          <w:sz w:val="32"/>
          <w:szCs w:val="32"/>
        </w:rPr>
        <w:footnoteReference w:id="0"/>
      </w:r>
      <w:r>
        <w:rPr>
          <w:rFonts w:hint="eastAsia" w:ascii="Times New Roman" w:hAnsi="Times New Roman" w:cs="Times New Roman"/>
          <w:sz w:val="32"/>
          <w:szCs w:val="32"/>
        </w:rPr>
        <w:t>、材料审核分析、现场核查评价、综合分析评价及报告撰写，评价项目实施情况，展现资金使用效益。</w:t>
      </w:r>
    </w:p>
    <w:p w14:paraId="564A15A2">
      <w:pPr>
        <w:pStyle w:val="2"/>
        <w:snapToGrid w:val="0"/>
        <w:spacing w:before="0" w:after="0" w:line="560" w:lineRule="exact"/>
        <w:ind w:firstLine="0" w:firstLineChars="0"/>
        <w:jc w:val="left"/>
        <w:rPr>
          <w:rFonts w:ascii="Times New Roman" w:hAnsi="Times New Roman" w:eastAsia="仿宋" w:cs="Times New Roman"/>
          <w:sz w:val="36"/>
          <w:szCs w:val="36"/>
        </w:rPr>
      </w:pPr>
      <w:bookmarkStart w:id="26" w:name="_Toc165277237"/>
      <w:bookmarkStart w:id="27" w:name="_Toc67911608"/>
      <w:r>
        <w:rPr>
          <w:rFonts w:hint="eastAsia" w:ascii="Times New Roman" w:hAnsi="Times New Roman" w:eastAsia="仿宋" w:cs="Times New Roman"/>
          <w:sz w:val="36"/>
          <w:szCs w:val="36"/>
        </w:rPr>
        <w:t>三、综合评价情况及评价结论</w:t>
      </w:r>
      <w:bookmarkEnd w:id="26"/>
      <w:bookmarkEnd w:id="27"/>
    </w:p>
    <w:p w14:paraId="7E6A771C">
      <w:pPr>
        <w:pStyle w:val="3"/>
        <w:snapToGrid w:val="0"/>
        <w:spacing w:before="0" w:after="0" w:line="560" w:lineRule="exact"/>
        <w:ind w:firstLine="643"/>
        <w:rPr>
          <w:rFonts w:ascii="Times New Roman" w:hAnsi="Times New Roman" w:eastAsia="仿宋"/>
        </w:rPr>
      </w:pPr>
      <w:bookmarkStart w:id="28" w:name="_Toc67911609"/>
      <w:bookmarkStart w:id="29" w:name="_Toc165277238"/>
      <w:r>
        <w:rPr>
          <w:rFonts w:hint="eastAsia" w:ascii="Times New Roman" w:hAnsi="Times New Roman" w:eastAsia="仿宋"/>
        </w:rPr>
        <w:t>（一）评价结论</w:t>
      </w:r>
      <w:bookmarkEnd w:id="28"/>
      <w:bookmarkEnd w:id="29"/>
    </w:p>
    <w:p w14:paraId="2213B3AF">
      <w:pPr>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结合项目特点，制定符合项目实际的绩效评价指标体系及评分标准，通过数据采集、问卷调查及访谈等形式，对</w:t>
      </w:r>
      <w:r>
        <w:rPr>
          <w:rFonts w:ascii="Times New Roman" w:hAnsi="Times New Roman" w:cs="Times New Roman"/>
          <w:sz w:val="32"/>
          <w:szCs w:val="32"/>
        </w:rPr>
        <w:t>2023</w:t>
      </w:r>
      <w:r>
        <w:rPr>
          <w:rFonts w:hint="eastAsia" w:ascii="Times New Roman" w:hAnsi="Times New Roman" w:cs="Times New Roman"/>
          <w:sz w:val="32"/>
          <w:szCs w:val="32"/>
        </w:rPr>
        <w:t>年乌鲁木齐市松材线虫病等重大林业有害生物防治能力提升工程建设项目进行客观评价，最终评分结果为：总分为</w:t>
      </w:r>
      <w:r>
        <w:rPr>
          <w:rFonts w:ascii="Times New Roman" w:hAnsi="Times New Roman" w:cs="Times New Roman"/>
          <w:sz w:val="32"/>
          <w:szCs w:val="32"/>
        </w:rPr>
        <w:t>100</w:t>
      </w:r>
      <w:r>
        <w:rPr>
          <w:rFonts w:hint="eastAsia" w:ascii="Times New Roman" w:hAnsi="Times New Roman" w:cs="Times New Roman"/>
          <w:sz w:val="32"/>
          <w:szCs w:val="32"/>
        </w:rPr>
        <w:t>分，绩效评级为“优”。</w:t>
      </w:r>
    </w:p>
    <w:p w14:paraId="603EDEFD">
      <w:pPr>
        <w:spacing w:line="360" w:lineRule="auto"/>
        <w:ind w:firstLine="640"/>
        <w:rPr>
          <w:rFonts w:ascii="Times New Roman" w:hAnsi="Times New Roman" w:cs="Times New Roman"/>
          <w:sz w:val="32"/>
          <w:szCs w:val="32"/>
        </w:rPr>
      </w:pPr>
      <w:r>
        <w:rPr>
          <w:rFonts w:hint="eastAsia" w:ascii="Times New Roman" w:hAnsi="Times New Roman" w:cs="Times New Roman"/>
          <w:sz w:val="32"/>
          <w:szCs w:val="32"/>
        </w:rPr>
        <w:t>项目各部分权重和绩效分值如附表所示：</w:t>
      </w:r>
    </w:p>
    <w:p w14:paraId="02C56F2A">
      <w:pPr>
        <w:spacing w:line="360" w:lineRule="auto"/>
        <w:ind w:firstLine="0" w:firstLineChars="0"/>
        <w:jc w:val="center"/>
        <w:rPr>
          <w:rFonts w:ascii="Times New Roman" w:hAnsi="Times New Roman" w:cs="Times New Roman"/>
          <w:b/>
          <w:bCs/>
          <w:szCs w:val="28"/>
        </w:rPr>
      </w:pPr>
      <w:r>
        <w:rPr>
          <w:rFonts w:ascii="Times New Roman" w:hAnsi="Times New Roman" w:cs="Times New Roman"/>
          <w:b/>
          <w:bCs/>
          <w:szCs w:val="28"/>
        </w:rPr>
        <w:t xml:space="preserve">  </w:t>
      </w:r>
      <w:r>
        <w:rPr>
          <w:rFonts w:hint="eastAsia" w:ascii="Times New Roman" w:hAnsi="Times New Roman" w:cs="Times New Roman"/>
          <w:b/>
          <w:bCs/>
          <w:szCs w:val="28"/>
        </w:rPr>
        <w:t>项目各部分权重和绩效分值</w:t>
      </w:r>
    </w:p>
    <w:tbl>
      <w:tblPr>
        <w:tblStyle w:val="13"/>
        <w:tblW w:w="906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898"/>
        <w:gridCol w:w="898"/>
        <w:gridCol w:w="1039"/>
      </w:tblGrid>
      <w:tr w14:paraId="35EA5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550" w:type="dxa"/>
            <w:shd w:val="clear" w:color="auto" w:fill="D0CECE"/>
            <w:vAlign w:val="center"/>
          </w:tcPr>
          <w:p w14:paraId="44EB987A">
            <w:pPr>
              <w:widowControl/>
              <w:ind w:firstLine="0" w:firstLineChars="0"/>
              <w:jc w:val="center"/>
              <w:rPr>
                <w:rFonts w:ascii="Times New Roman" w:hAnsi="Times New Roman" w:cs="Times New Roman"/>
                <w:b/>
                <w:bCs/>
                <w:kern w:val="0"/>
                <w:sz w:val="24"/>
                <w:szCs w:val="24"/>
              </w:rPr>
            </w:pPr>
            <w:r>
              <w:rPr>
                <w:rFonts w:hint="eastAsia" w:ascii="Times New Roman" w:hAnsi="Times New Roman" w:cs="Times New Roman"/>
                <w:b/>
                <w:bCs/>
                <w:kern w:val="0"/>
                <w:sz w:val="24"/>
                <w:szCs w:val="24"/>
              </w:rPr>
              <w:t>一级指标</w:t>
            </w:r>
          </w:p>
        </w:tc>
        <w:tc>
          <w:tcPr>
            <w:tcW w:w="1984" w:type="dxa"/>
            <w:shd w:val="clear" w:color="auto" w:fill="D0CECE"/>
            <w:vAlign w:val="center"/>
          </w:tcPr>
          <w:p w14:paraId="44FE446E">
            <w:pPr>
              <w:widowControl/>
              <w:ind w:firstLine="0" w:firstLineChars="0"/>
              <w:jc w:val="center"/>
              <w:rPr>
                <w:rFonts w:ascii="Times New Roman" w:hAnsi="Times New Roman" w:cs="Times New Roman"/>
                <w:b/>
                <w:bCs/>
                <w:kern w:val="0"/>
                <w:sz w:val="24"/>
                <w:szCs w:val="24"/>
              </w:rPr>
            </w:pPr>
            <w:r>
              <w:rPr>
                <w:rFonts w:hint="eastAsia" w:ascii="Times New Roman" w:hAnsi="Times New Roman" w:cs="Times New Roman"/>
                <w:b/>
                <w:bCs/>
                <w:kern w:val="0"/>
                <w:sz w:val="24"/>
                <w:szCs w:val="24"/>
              </w:rPr>
              <w:t>二级指标</w:t>
            </w:r>
          </w:p>
        </w:tc>
        <w:tc>
          <w:tcPr>
            <w:tcW w:w="2693" w:type="dxa"/>
            <w:shd w:val="clear" w:color="auto" w:fill="D0CECE"/>
            <w:vAlign w:val="center"/>
          </w:tcPr>
          <w:p w14:paraId="6BCEC272">
            <w:pPr>
              <w:widowControl/>
              <w:ind w:firstLine="0" w:firstLineChars="0"/>
              <w:jc w:val="center"/>
              <w:rPr>
                <w:rFonts w:ascii="Times New Roman" w:hAnsi="Times New Roman" w:cs="Times New Roman"/>
                <w:b/>
                <w:bCs/>
                <w:kern w:val="0"/>
                <w:sz w:val="24"/>
                <w:szCs w:val="24"/>
              </w:rPr>
            </w:pPr>
            <w:r>
              <w:rPr>
                <w:rFonts w:hint="eastAsia" w:ascii="Times New Roman" w:hAnsi="Times New Roman" w:cs="Times New Roman"/>
                <w:b/>
                <w:bCs/>
                <w:kern w:val="0"/>
                <w:sz w:val="24"/>
                <w:szCs w:val="24"/>
              </w:rPr>
              <w:t>三级指标</w:t>
            </w:r>
          </w:p>
        </w:tc>
        <w:tc>
          <w:tcPr>
            <w:tcW w:w="898" w:type="dxa"/>
            <w:shd w:val="clear" w:color="auto" w:fill="D0CECE"/>
            <w:vAlign w:val="center"/>
          </w:tcPr>
          <w:p w14:paraId="50A29047">
            <w:pPr>
              <w:widowControl/>
              <w:ind w:firstLine="0" w:firstLineChars="0"/>
              <w:jc w:val="center"/>
              <w:rPr>
                <w:rFonts w:ascii="Times New Roman" w:hAnsi="Times New Roman" w:cs="Times New Roman"/>
                <w:b/>
                <w:bCs/>
                <w:kern w:val="0"/>
                <w:sz w:val="24"/>
                <w:szCs w:val="24"/>
              </w:rPr>
            </w:pPr>
            <w:r>
              <w:rPr>
                <w:rFonts w:hint="eastAsia" w:ascii="Times New Roman" w:hAnsi="Times New Roman" w:cs="Times New Roman"/>
                <w:b/>
                <w:bCs/>
                <w:kern w:val="0"/>
                <w:sz w:val="24"/>
                <w:szCs w:val="24"/>
              </w:rPr>
              <w:t>分值</w:t>
            </w:r>
          </w:p>
        </w:tc>
        <w:tc>
          <w:tcPr>
            <w:tcW w:w="898" w:type="dxa"/>
            <w:shd w:val="clear" w:color="auto" w:fill="D0CECE"/>
            <w:vAlign w:val="center"/>
          </w:tcPr>
          <w:p w14:paraId="03D80F08">
            <w:pPr>
              <w:widowControl/>
              <w:ind w:firstLine="0" w:firstLineChars="0"/>
              <w:jc w:val="center"/>
              <w:rPr>
                <w:rFonts w:ascii="Times New Roman" w:hAnsi="Times New Roman" w:cs="Times New Roman"/>
                <w:b/>
                <w:bCs/>
                <w:kern w:val="0"/>
                <w:sz w:val="24"/>
                <w:szCs w:val="24"/>
              </w:rPr>
            </w:pPr>
            <w:r>
              <w:rPr>
                <w:rFonts w:hint="eastAsia" w:ascii="Times New Roman" w:hAnsi="Times New Roman" w:cs="Times New Roman"/>
                <w:b/>
                <w:bCs/>
                <w:kern w:val="0"/>
                <w:sz w:val="24"/>
                <w:szCs w:val="24"/>
              </w:rPr>
              <w:t>得分</w:t>
            </w:r>
          </w:p>
        </w:tc>
        <w:tc>
          <w:tcPr>
            <w:tcW w:w="1039" w:type="dxa"/>
            <w:shd w:val="clear" w:color="auto" w:fill="D0CECE"/>
            <w:vAlign w:val="center"/>
          </w:tcPr>
          <w:p w14:paraId="5C4463AB">
            <w:pPr>
              <w:widowControl/>
              <w:ind w:firstLine="0" w:firstLineChars="0"/>
              <w:jc w:val="center"/>
              <w:rPr>
                <w:rFonts w:ascii="Times New Roman" w:hAnsi="Times New Roman" w:cs="Times New Roman"/>
                <w:b/>
                <w:bCs/>
                <w:kern w:val="0"/>
                <w:sz w:val="24"/>
                <w:szCs w:val="24"/>
              </w:rPr>
            </w:pPr>
            <w:r>
              <w:rPr>
                <w:rFonts w:hint="eastAsia" w:ascii="Times New Roman" w:hAnsi="Times New Roman" w:cs="Times New Roman"/>
                <w:b/>
                <w:bCs/>
                <w:kern w:val="0"/>
                <w:sz w:val="24"/>
                <w:szCs w:val="24"/>
              </w:rPr>
              <w:t>得分率</w:t>
            </w:r>
          </w:p>
        </w:tc>
      </w:tr>
      <w:tr w14:paraId="45C4A2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shd w:val="clear" w:color="auto" w:fill="FFFFFF"/>
            <w:vAlign w:val="center"/>
          </w:tcPr>
          <w:p w14:paraId="7BAE1007">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决策</w:t>
            </w:r>
          </w:p>
        </w:tc>
        <w:tc>
          <w:tcPr>
            <w:tcW w:w="1984" w:type="dxa"/>
            <w:vMerge w:val="restart"/>
            <w:shd w:val="clear" w:color="auto" w:fill="FFFFFF"/>
            <w:vAlign w:val="center"/>
          </w:tcPr>
          <w:p w14:paraId="7F856286">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项目立项</w:t>
            </w:r>
          </w:p>
        </w:tc>
        <w:tc>
          <w:tcPr>
            <w:tcW w:w="2693" w:type="dxa"/>
            <w:shd w:val="clear" w:color="auto" w:fill="FFFFFF"/>
            <w:vAlign w:val="center"/>
          </w:tcPr>
          <w:p w14:paraId="672B0B7D">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立项依据充分性</w:t>
            </w:r>
          </w:p>
        </w:tc>
        <w:tc>
          <w:tcPr>
            <w:tcW w:w="898" w:type="dxa"/>
            <w:shd w:val="clear" w:color="auto" w:fill="FFFFFF"/>
            <w:vAlign w:val="center"/>
          </w:tcPr>
          <w:p w14:paraId="255D1515">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898" w:type="dxa"/>
            <w:shd w:val="clear" w:color="auto" w:fill="FFFFFF"/>
            <w:vAlign w:val="center"/>
          </w:tcPr>
          <w:p w14:paraId="2134B6E7">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1039" w:type="dxa"/>
            <w:shd w:val="clear" w:color="auto" w:fill="FFFFFF"/>
            <w:vAlign w:val="center"/>
          </w:tcPr>
          <w:p w14:paraId="4D97481D">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0E281D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77C3399B">
            <w:pPr>
              <w:ind w:firstLine="480"/>
              <w:jc w:val="center"/>
              <w:rPr>
                <w:rFonts w:ascii="Times New Roman" w:hAnsi="Times New Roman" w:cs="Times New Roman"/>
                <w:kern w:val="0"/>
                <w:sz w:val="24"/>
                <w:szCs w:val="24"/>
              </w:rPr>
            </w:pPr>
          </w:p>
        </w:tc>
        <w:tc>
          <w:tcPr>
            <w:tcW w:w="1984" w:type="dxa"/>
            <w:vMerge w:val="continue"/>
            <w:shd w:val="clear" w:color="auto" w:fill="FFFFFF"/>
            <w:vAlign w:val="center"/>
          </w:tcPr>
          <w:p w14:paraId="2747EF99">
            <w:pPr>
              <w:widowControl/>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27B77A5F">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立项程序规范性</w:t>
            </w:r>
          </w:p>
        </w:tc>
        <w:tc>
          <w:tcPr>
            <w:tcW w:w="898" w:type="dxa"/>
            <w:shd w:val="clear" w:color="auto" w:fill="FFFFFF"/>
            <w:vAlign w:val="center"/>
          </w:tcPr>
          <w:p w14:paraId="08F1437F">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898" w:type="dxa"/>
            <w:shd w:val="clear" w:color="auto" w:fill="FFFFFF"/>
            <w:vAlign w:val="center"/>
          </w:tcPr>
          <w:p w14:paraId="52C67A72">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1039" w:type="dxa"/>
            <w:shd w:val="clear" w:color="auto" w:fill="FFFFFF"/>
          </w:tcPr>
          <w:p w14:paraId="5AA55E4B">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4C34A7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7ADC5D0A">
            <w:pPr>
              <w:ind w:firstLine="480"/>
              <w:jc w:val="center"/>
              <w:rPr>
                <w:rFonts w:ascii="Times New Roman" w:hAnsi="Times New Roman" w:cs="Times New Roman"/>
                <w:kern w:val="0"/>
                <w:sz w:val="24"/>
                <w:szCs w:val="24"/>
              </w:rPr>
            </w:pPr>
          </w:p>
        </w:tc>
        <w:tc>
          <w:tcPr>
            <w:tcW w:w="1984" w:type="dxa"/>
            <w:vMerge w:val="restart"/>
            <w:shd w:val="clear" w:color="auto" w:fill="FFFFFF"/>
            <w:vAlign w:val="center"/>
          </w:tcPr>
          <w:p w14:paraId="38217F6D">
            <w:pPr>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绩效目标</w:t>
            </w:r>
          </w:p>
        </w:tc>
        <w:tc>
          <w:tcPr>
            <w:tcW w:w="2693" w:type="dxa"/>
            <w:shd w:val="clear" w:color="auto" w:fill="FFFFFF"/>
            <w:vAlign w:val="center"/>
          </w:tcPr>
          <w:p w14:paraId="5ACDBAD3">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绩效目标合理性</w:t>
            </w:r>
          </w:p>
        </w:tc>
        <w:tc>
          <w:tcPr>
            <w:tcW w:w="898" w:type="dxa"/>
            <w:shd w:val="clear" w:color="000000" w:fill="FFFFFF"/>
            <w:vAlign w:val="center"/>
          </w:tcPr>
          <w:p w14:paraId="6674296A">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000000" w:fill="FFFFFF"/>
            <w:vAlign w:val="center"/>
          </w:tcPr>
          <w:p w14:paraId="70842894">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000000" w:fill="FFFFFF"/>
          </w:tcPr>
          <w:p w14:paraId="4883760D">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502DB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367E3E53">
            <w:pPr>
              <w:widowControl/>
              <w:ind w:firstLine="0" w:firstLineChars="0"/>
              <w:jc w:val="center"/>
              <w:rPr>
                <w:rFonts w:ascii="Times New Roman" w:hAnsi="Times New Roman" w:cs="Times New Roman"/>
                <w:kern w:val="0"/>
                <w:sz w:val="24"/>
                <w:szCs w:val="24"/>
              </w:rPr>
            </w:pPr>
          </w:p>
        </w:tc>
        <w:tc>
          <w:tcPr>
            <w:tcW w:w="1984" w:type="dxa"/>
            <w:vMerge w:val="continue"/>
            <w:shd w:val="clear" w:color="auto" w:fill="FFFFFF"/>
            <w:vAlign w:val="center"/>
          </w:tcPr>
          <w:p w14:paraId="5E281006">
            <w:pPr>
              <w:widowControl/>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4BE59A6E">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绩效指标明确性</w:t>
            </w:r>
          </w:p>
        </w:tc>
        <w:tc>
          <w:tcPr>
            <w:tcW w:w="898" w:type="dxa"/>
            <w:shd w:val="clear" w:color="000000" w:fill="FFFFFF"/>
            <w:vAlign w:val="center"/>
          </w:tcPr>
          <w:p w14:paraId="12F20CDC">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000000" w:fill="FFFFFF"/>
            <w:vAlign w:val="center"/>
          </w:tcPr>
          <w:p w14:paraId="2F1DDE33">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000000" w:fill="FFFFFF"/>
          </w:tcPr>
          <w:p w14:paraId="69939C8D">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1EEDE6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5F6CEBD1">
            <w:pPr>
              <w:ind w:firstLine="0" w:firstLineChars="0"/>
              <w:jc w:val="center"/>
              <w:rPr>
                <w:rFonts w:ascii="Times New Roman" w:hAnsi="Times New Roman" w:cs="Times New Roman"/>
                <w:kern w:val="0"/>
                <w:sz w:val="24"/>
                <w:szCs w:val="24"/>
              </w:rPr>
            </w:pPr>
          </w:p>
        </w:tc>
        <w:tc>
          <w:tcPr>
            <w:tcW w:w="1984" w:type="dxa"/>
            <w:vMerge w:val="restart"/>
            <w:shd w:val="clear" w:color="auto" w:fill="FFFFFF"/>
            <w:vAlign w:val="center"/>
          </w:tcPr>
          <w:p w14:paraId="48761767">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资金投入</w:t>
            </w:r>
          </w:p>
        </w:tc>
        <w:tc>
          <w:tcPr>
            <w:tcW w:w="2693" w:type="dxa"/>
            <w:shd w:val="clear" w:color="auto" w:fill="FFFFFF"/>
            <w:vAlign w:val="center"/>
          </w:tcPr>
          <w:p w14:paraId="5D61E1D5">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预算编制科学性</w:t>
            </w:r>
          </w:p>
        </w:tc>
        <w:tc>
          <w:tcPr>
            <w:tcW w:w="898" w:type="dxa"/>
            <w:shd w:val="clear" w:color="auto" w:fill="FFFFFF"/>
            <w:vAlign w:val="center"/>
          </w:tcPr>
          <w:p w14:paraId="2AB0D79C">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auto" w:fill="FFFFFF"/>
            <w:vAlign w:val="center"/>
          </w:tcPr>
          <w:p w14:paraId="04CF6C21">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auto" w:fill="FFFFFF"/>
          </w:tcPr>
          <w:p w14:paraId="06A97EF6">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69494E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0FA73965">
            <w:pPr>
              <w:widowControl/>
              <w:ind w:firstLine="0" w:firstLineChars="0"/>
              <w:jc w:val="center"/>
              <w:rPr>
                <w:rFonts w:ascii="Times New Roman" w:hAnsi="Times New Roman" w:cs="Times New Roman"/>
                <w:kern w:val="0"/>
                <w:sz w:val="24"/>
                <w:szCs w:val="24"/>
              </w:rPr>
            </w:pPr>
          </w:p>
        </w:tc>
        <w:tc>
          <w:tcPr>
            <w:tcW w:w="1984" w:type="dxa"/>
            <w:vMerge w:val="continue"/>
            <w:shd w:val="clear" w:color="auto" w:fill="FFFFFF"/>
            <w:vAlign w:val="center"/>
          </w:tcPr>
          <w:p w14:paraId="6DA0B7E9">
            <w:pPr>
              <w:widowControl/>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4CDA75C6">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资金分配合理性</w:t>
            </w:r>
          </w:p>
        </w:tc>
        <w:tc>
          <w:tcPr>
            <w:tcW w:w="898" w:type="dxa"/>
            <w:shd w:val="clear" w:color="auto" w:fill="FFFFFF"/>
            <w:vAlign w:val="center"/>
          </w:tcPr>
          <w:p w14:paraId="2CE83ADF">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auto" w:fill="FFFFFF"/>
            <w:vAlign w:val="center"/>
          </w:tcPr>
          <w:p w14:paraId="21A75DE0">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auto" w:fill="FFFFFF"/>
          </w:tcPr>
          <w:p w14:paraId="003E2881">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28BD40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shd w:val="clear" w:color="auto" w:fill="FFFFFF"/>
            <w:vAlign w:val="center"/>
          </w:tcPr>
          <w:p w14:paraId="7508C349">
            <w:pPr>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过程</w:t>
            </w:r>
          </w:p>
        </w:tc>
        <w:tc>
          <w:tcPr>
            <w:tcW w:w="1984" w:type="dxa"/>
            <w:vMerge w:val="restart"/>
            <w:shd w:val="clear" w:color="auto" w:fill="FFFFFF"/>
            <w:vAlign w:val="center"/>
          </w:tcPr>
          <w:p w14:paraId="48C7CE2B">
            <w:pPr>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资金管理</w:t>
            </w:r>
          </w:p>
        </w:tc>
        <w:tc>
          <w:tcPr>
            <w:tcW w:w="2693" w:type="dxa"/>
            <w:shd w:val="clear" w:color="auto" w:fill="FFFFFF"/>
            <w:vAlign w:val="center"/>
          </w:tcPr>
          <w:p w14:paraId="53EC5008">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资金到位率</w:t>
            </w:r>
          </w:p>
        </w:tc>
        <w:tc>
          <w:tcPr>
            <w:tcW w:w="898" w:type="dxa"/>
            <w:shd w:val="clear" w:color="000000" w:fill="FFFFFF"/>
            <w:vAlign w:val="center"/>
          </w:tcPr>
          <w:p w14:paraId="797DAC2E">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14:paraId="76A70308">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000000" w:fill="FFFFFF"/>
          </w:tcPr>
          <w:p w14:paraId="47EAE44C">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07B655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78709C9C">
            <w:pPr>
              <w:ind w:firstLine="480"/>
              <w:jc w:val="center"/>
              <w:rPr>
                <w:rFonts w:ascii="Times New Roman" w:hAnsi="Times New Roman" w:cs="Times New Roman"/>
                <w:kern w:val="0"/>
                <w:sz w:val="24"/>
                <w:szCs w:val="24"/>
              </w:rPr>
            </w:pPr>
          </w:p>
        </w:tc>
        <w:tc>
          <w:tcPr>
            <w:tcW w:w="1984" w:type="dxa"/>
            <w:vMerge w:val="continue"/>
            <w:shd w:val="clear" w:color="auto" w:fill="FFFFFF"/>
            <w:vAlign w:val="center"/>
          </w:tcPr>
          <w:p w14:paraId="2F4B5D6A">
            <w:pPr>
              <w:ind w:firstLine="480"/>
              <w:jc w:val="center"/>
              <w:rPr>
                <w:rFonts w:ascii="Times New Roman" w:hAnsi="Times New Roman" w:cs="Times New Roman"/>
                <w:kern w:val="0"/>
                <w:sz w:val="24"/>
                <w:szCs w:val="24"/>
              </w:rPr>
            </w:pPr>
          </w:p>
        </w:tc>
        <w:tc>
          <w:tcPr>
            <w:tcW w:w="2693" w:type="dxa"/>
            <w:shd w:val="clear" w:color="auto" w:fill="FFFFFF"/>
            <w:vAlign w:val="center"/>
          </w:tcPr>
          <w:p w14:paraId="5C3B5192">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预算执行率</w:t>
            </w:r>
          </w:p>
        </w:tc>
        <w:tc>
          <w:tcPr>
            <w:tcW w:w="898" w:type="dxa"/>
            <w:shd w:val="clear" w:color="auto" w:fill="FFFFFF"/>
            <w:vAlign w:val="center"/>
          </w:tcPr>
          <w:p w14:paraId="46AB86B7">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auto" w:fill="FFFFFF"/>
            <w:vAlign w:val="center"/>
          </w:tcPr>
          <w:p w14:paraId="27C08759">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auto" w:fill="FFFFFF"/>
          </w:tcPr>
          <w:p w14:paraId="097939AA">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39A547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58FCA5A8">
            <w:pPr>
              <w:ind w:firstLine="0" w:firstLineChars="0"/>
              <w:jc w:val="center"/>
              <w:rPr>
                <w:rFonts w:ascii="Times New Roman" w:hAnsi="Times New Roman" w:cs="Times New Roman"/>
                <w:kern w:val="0"/>
                <w:sz w:val="24"/>
                <w:szCs w:val="24"/>
              </w:rPr>
            </w:pPr>
          </w:p>
        </w:tc>
        <w:tc>
          <w:tcPr>
            <w:tcW w:w="1984" w:type="dxa"/>
            <w:vMerge w:val="continue"/>
            <w:shd w:val="clear" w:color="auto" w:fill="FFFFFF"/>
            <w:vAlign w:val="center"/>
          </w:tcPr>
          <w:p w14:paraId="18BA9886">
            <w:pPr>
              <w:widowControl/>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60E85793">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资金使用合规性</w:t>
            </w:r>
          </w:p>
        </w:tc>
        <w:tc>
          <w:tcPr>
            <w:tcW w:w="898" w:type="dxa"/>
            <w:shd w:val="clear" w:color="000000" w:fill="FFFFFF"/>
            <w:vAlign w:val="center"/>
          </w:tcPr>
          <w:p w14:paraId="5ADF82CF">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000000" w:fill="FFFFFF"/>
            <w:vAlign w:val="center"/>
          </w:tcPr>
          <w:p w14:paraId="0F16E622">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000000" w:fill="FFFFFF"/>
          </w:tcPr>
          <w:p w14:paraId="2484B377">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327563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789286EB">
            <w:pPr>
              <w:ind w:firstLine="0" w:firstLineChars="0"/>
              <w:jc w:val="center"/>
              <w:rPr>
                <w:rFonts w:ascii="Times New Roman" w:hAnsi="Times New Roman" w:cs="Times New Roman"/>
                <w:kern w:val="0"/>
                <w:sz w:val="24"/>
                <w:szCs w:val="24"/>
              </w:rPr>
            </w:pPr>
          </w:p>
        </w:tc>
        <w:tc>
          <w:tcPr>
            <w:tcW w:w="1984" w:type="dxa"/>
            <w:vMerge w:val="restart"/>
            <w:shd w:val="clear" w:color="auto" w:fill="FFFFFF"/>
            <w:vAlign w:val="center"/>
          </w:tcPr>
          <w:p w14:paraId="7FECB311">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组织实施</w:t>
            </w:r>
          </w:p>
        </w:tc>
        <w:tc>
          <w:tcPr>
            <w:tcW w:w="2693" w:type="dxa"/>
            <w:shd w:val="clear" w:color="auto" w:fill="FFFFFF"/>
            <w:vAlign w:val="center"/>
          </w:tcPr>
          <w:p w14:paraId="567C5FEE">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管理制度健全性</w:t>
            </w:r>
          </w:p>
        </w:tc>
        <w:tc>
          <w:tcPr>
            <w:tcW w:w="898" w:type="dxa"/>
            <w:shd w:val="clear" w:color="000000" w:fill="FFFFFF"/>
            <w:vAlign w:val="center"/>
          </w:tcPr>
          <w:p w14:paraId="1E433C73">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000000" w:fill="FFFFFF"/>
            <w:vAlign w:val="center"/>
          </w:tcPr>
          <w:p w14:paraId="21A14D01">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000000" w:fill="FFFFFF"/>
          </w:tcPr>
          <w:p w14:paraId="557B9FA8">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68AD31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0A473970">
            <w:pPr>
              <w:widowControl/>
              <w:ind w:firstLine="0" w:firstLineChars="0"/>
              <w:jc w:val="center"/>
              <w:rPr>
                <w:rFonts w:ascii="Times New Roman" w:hAnsi="Times New Roman" w:cs="Times New Roman"/>
                <w:kern w:val="0"/>
                <w:sz w:val="24"/>
                <w:szCs w:val="24"/>
              </w:rPr>
            </w:pPr>
          </w:p>
        </w:tc>
        <w:tc>
          <w:tcPr>
            <w:tcW w:w="1984" w:type="dxa"/>
            <w:vMerge w:val="continue"/>
            <w:shd w:val="clear" w:color="auto" w:fill="FFFFFF"/>
            <w:vAlign w:val="center"/>
          </w:tcPr>
          <w:p w14:paraId="0A0D6819">
            <w:pPr>
              <w:widowControl/>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4A67838C">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制度执行有效性</w:t>
            </w:r>
          </w:p>
        </w:tc>
        <w:tc>
          <w:tcPr>
            <w:tcW w:w="898" w:type="dxa"/>
            <w:shd w:val="clear" w:color="000000" w:fill="FFFFFF"/>
            <w:vAlign w:val="center"/>
          </w:tcPr>
          <w:p w14:paraId="579454B9">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898" w:type="dxa"/>
            <w:shd w:val="clear" w:color="000000" w:fill="FFFFFF"/>
            <w:vAlign w:val="center"/>
          </w:tcPr>
          <w:p w14:paraId="6C20E7DD">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1039" w:type="dxa"/>
            <w:shd w:val="clear" w:color="000000" w:fill="FFFFFF"/>
          </w:tcPr>
          <w:p w14:paraId="2F720347">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457CB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1550" w:type="dxa"/>
            <w:vMerge w:val="restart"/>
            <w:shd w:val="clear" w:color="auto" w:fill="FFFFFF"/>
            <w:vAlign w:val="center"/>
          </w:tcPr>
          <w:p w14:paraId="33A460F1">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产出</w:t>
            </w:r>
          </w:p>
        </w:tc>
        <w:tc>
          <w:tcPr>
            <w:tcW w:w="1984" w:type="dxa"/>
            <w:shd w:val="clear" w:color="auto" w:fill="FFFFFF"/>
            <w:vAlign w:val="center"/>
          </w:tcPr>
          <w:p w14:paraId="67430EE5">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产出数量</w:t>
            </w:r>
          </w:p>
        </w:tc>
        <w:tc>
          <w:tcPr>
            <w:tcW w:w="2693" w:type="dxa"/>
            <w:shd w:val="clear" w:color="auto" w:fill="FFFFFF"/>
          </w:tcPr>
          <w:p w14:paraId="79A96B71">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支持项目数量</w:t>
            </w:r>
          </w:p>
        </w:tc>
        <w:tc>
          <w:tcPr>
            <w:tcW w:w="898" w:type="dxa"/>
            <w:shd w:val="clear" w:color="000000" w:fill="FFFFFF"/>
            <w:vAlign w:val="center"/>
          </w:tcPr>
          <w:p w14:paraId="0B70F894">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14:paraId="7DA69B60">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000000" w:fill="FFFFFF"/>
          </w:tcPr>
          <w:p w14:paraId="4185C99A">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1B06E8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1C3F7CFD">
            <w:pPr>
              <w:widowControl/>
              <w:ind w:firstLine="0" w:firstLineChars="0"/>
              <w:jc w:val="center"/>
              <w:rPr>
                <w:rFonts w:ascii="Times New Roman" w:hAnsi="Times New Roman" w:cs="Times New Roman"/>
                <w:kern w:val="0"/>
                <w:sz w:val="24"/>
                <w:szCs w:val="24"/>
              </w:rPr>
            </w:pPr>
          </w:p>
        </w:tc>
        <w:tc>
          <w:tcPr>
            <w:tcW w:w="1984" w:type="dxa"/>
            <w:vMerge w:val="restart"/>
            <w:shd w:val="clear" w:color="auto" w:fill="FFFFFF"/>
            <w:vAlign w:val="center"/>
          </w:tcPr>
          <w:p w14:paraId="616F90DD">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产出质量</w:t>
            </w:r>
          </w:p>
        </w:tc>
        <w:tc>
          <w:tcPr>
            <w:tcW w:w="2693" w:type="dxa"/>
            <w:shd w:val="clear" w:color="auto" w:fill="FFFFFF"/>
            <w:vAlign w:val="center"/>
          </w:tcPr>
          <w:p w14:paraId="7BC7601D">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采购设备合格率（</w:t>
            </w:r>
            <w:r>
              <w:rPr>
                <w:rFonts w:ascii="Times New Roman" w:hAnsi="Times New Roman" w:eastAsia="宋体" w:cs="Times New Roman"/>
                <w:color w:val="000000"/>
                <w:kern w:val="0"/>
                <w:sz w:val="22"/>
              </w:rPr>
              <w:t>%</w:t>
            </w:r>
            <w:r>
              <w:rPr>
                <w:rFonts w:hint="eastAsia" w:ascii="Times New Roman" w:hAnsi="Times New Roman" w:eastAsia="宋体" w:cs="Times New Roman"/>
                <w:color w:val="000000"/>
                <w:kern w:val="0"/>
                <w:sz w:val="22"/>
              </w:rPr>
              <w:t>）</w:t>
            </w:r>
          </w:p>
        </w:tc>
        <w:tc>
          <w:tcPr>
            <w:tcW w:w="898" w:type="dxa"/>
            <w:shd w:val="clear" w:color="000000" w:fill="FFFFFF"/>
            <w:vAlign w:val="center"/>
          </w:tcPr>
          <w:p w14:paraId="5C35597B">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898" w:type="dxa"/>
            <w:shd w:val="clear" w:color="000000" w:fill="FFFFFF"/>
            <w:vAlign w:val="center"/>
          </w:tcPr>
          <w:p w14:paraId="4EDACAD9">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1039" w:type="dxa"/>
            <w:shd w:val="clear" w:color="000000" w:fill="FFFFFF"/>
          </w:tcPr>
          <w:p w14:paraId="57D7AE7B">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7FD261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02C928FB">
            <w:pPr>
              <w:widowControl/>
              <w:ind w:firstLine="0" w:firstLineChars="0"/>
              <w:jc w:val="center"/>
              <w:rPr>
                <w:rFonts w:ascii="Times New Roman" w:hAnsi="Times New Roman" w:cs="Times New Roman"/>
                <w:kern w:val="0"/>
                <w:sz w:val="24"/>
                <w:szCs w:val="24"/>
              </w:rPr>
            </w:pPr>
          </w:p>
        </w:tc>
        <w:tc>
          <w:tcPr>
            <w:tcW w:w="1984" w:type="dxa"/>
            <w:vMerge w:val="continue"/>
            <w:shd w:val="clear" w:color="auto" w:fill="FFFFFF"/>
            <w:vAlign w:val="center"/>
          </w:tcPr>
          <w:p w14:paraId="35FE80D5">
            <w:pPr>
              <w:widowControl/>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2F4C39B5">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建设项目验收合格率</w:t>
            </w:r>
          </w:p>
        </w:tc>
        <w:tc>
          <w:tcPr>
            <w:tcW w:w="898" w:type="dxa"/>
            <w:shd w:val="clear" w:color="000000" w:fill="FFFFFF"/>
            <w:vAlign w:val="center"/>
          </w:tcPr>
          <w:p w14:paraId="225AE535">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898" w:type="dxa"/>
            <w:shd w:val="clear" w:color="000000" w:fill="FFFFFF"/>
            <w:vAlign w:val="center"/>
          </w:tcPr>
          <w:p w14:paraId="095ADAD1">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1039" w:type="dxa"/>
            <w:shd w:val="clear" w:color="000000" w:fill="FFFFFF"/>
          </w:tcPr>
          <w:p w14:paraId="19BCB264">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4E16DE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0" w:hRule="atLeast"/>
          <w:jc w:val="center"/>
        </w:trPr>
        <w:tc>
          <w:tcPr>
            <w:tcW w:w="1550" w:type="dxa"/>
            <w:vMerge w:val="continue"/>
            <w:shd w:val="clear" w:color="auto" w:fill="FFFFFF"/>
            <w:vAlign w:val="center"/>
          </w:tcPr>
          <w:p w14:paraId="4C68AED0">
            <w:pPr>
              <w:ind w:firstLine="0" w:firstLineChars="0"/>
              <w:jc w:val="center"/>
              <w:rPr>
                <w:rFonts w:ascii="Times New Roman" w:hAnsi="Times New Roman" w:cs="Times New Roman"/>
                <w:kern w:val="0"/>
                <w:sz w:val="24"/>
                <w:szCs w:val="24"/>
              </w:rPr>
            </w:pPr>
          </w:p>
        </w:tc>
        <w:tc>
          <w:tcPr>
            <w:tcW w:w="1984" w:type="dxa"/>
            <w:vMerge w:val="restart"/>
            <w:shd w:val="clear" w:color="auto" w:fill="FFFFFF"/>
            <w:vAlign w:val="center"/>
          </w:tcPr>
          <w:p w14:paraId="2B081EFF">
            <w:pPr>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产出时效</w:t>
            </w:r>
          </w:p>
        </w:tc>
        <w:tc>
          <w:tcPr>
            <w:tcW w:w="2693" w:type="dxa"/>
            <w:shd w:val="clear" w:color="auto" w:fill="FFFFFF"/>
            <w:vAlign w:val="center"/>
          </w:tcPr>
          <w:p w14:paraId="2903EA8B">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项目建设期限</w:t>
            </w:r>
          </w:p>
        </w:tc>
        <w:tc>
          <w:tcPr>
            <w:tcW w:w="898" w:type="dxa"/>
            <w:shd w:val="clear" w:color="000000" w:fill="FFFFFF"/>
            <w:vAlign w:val="center"/>
          </w:tcPr>
          <w:p w14:paraId="66F0E903">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14:paraId="2F51A75F">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vMerge w:val="restart"/>
            <w:shd w:val="clear" w:color="000000" w:fill="FFFFFF"/>
          </w:tcPr>
          <w:p w14:paraId="71909600">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6C3598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0" w:hRule="atLeast"/>
          <w:jc w:val="center"/>
        </w:trPr>
        <w:tc>
          <w:tcPr>
            <w:tcW w:w="1550" w:type="dxa"/>
            <w:vMerge w:val="continue"/>
            <w:shd w:val="clear" w:color="auto" w:fill="FFFFFF"/>
            <w:vAlign w:val="center"/>
          </w:tcPr>
          <w:p w14:paraId="580F250E">
            <w:pPr>
              <w:ind w:firstLine="0" w:firstLineChars="0"/>
              <w:jc w:val="center"/>
              <w:rPr>
                <w:rFonts w:ascii="Times New Roman" w:hAnsi="Times New Roman" w:cs="Times New Roman"/>
                <w:kern w:val="0"/>
                <w:sz w:val="24"/>
                <w:szCs w:val="24"/>
              </w:rPr>
            </w:pPr>
          </w:p>
        </w:tc>
        <w:tc>
          <w:tcPr>
            <w:tcW w:w="1984" w:type="dxa"/>
            <w:vMerge w:val="continue"/>
            <w:shd w:val="clear" w:color="auto" w:fill="FFFFFF"/>
            <w:vAlign w:val="center"/>
          </w:tcPr>
          <w:p w14:paraId="16E6B4F5">
            <w:pPr>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3EEB90E1">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项目建设按期完成率</w:t>
            </w:r>
          </w:p>
        </w:tc>
        <w:tc>
          <w:tcPr>
            <w:tcW w:w="898" w:type="dxa"/>
            <w:shd w:val="clear" w:color="000000" w:fill="FFFFFF"/>
            <w:vAlign w:val="center"/>
          </w:tcPr>
          <w:p w14:paraId="2D2986B9">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898" w:type="dxa"/>
            <w:shd w:val="clear" w:color="000000" w:fill="FFFFFF"/>
            <w:vAlign w:val="center"/>
          </w:tcPr>
          <w:p w14:paraId="791EFEBC">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1039" w:type="dxa"/>
            <w:vMerge w:val="continue"/>
            <w:shd w:val="clear" w:color="000000" w:fill="FFFFFF"/>
          </w:tcPr>
          <w:p w14:paraId="3A845F5F">
            <w:pPr>
              <w:widowControl/>
              <w:ind w:firstLine="0" w:firstLineChars="0"/>
              <w:jc w:val="center"/>
              <w:rPr>
                <w:rFonts w:ascii="Times New Roman" w:hAnsi="Times New Roman" w:cs="Times New Roman"/>
                <w:kern w:val="0"/>
                <w:sz w:val="24"/>
                <w:szCs w:val="24"/>
              </w:rPr>
            </w:pPr>
          </w:p>
        </w:tc>
      </w:tr>
      <w:tr w14:paraId="2E5F6E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shd w:val="clear" w:color="auto" w:fill="FFFFFF"/>
            <w:vAlign w:val="center"/>
          </w:tcPr>
          <w:p w14:paraId="7C168F9E">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效益</w:t>
            </w:r>
          </w:p>
        </w:tc>
        <w:tc>
          <w:tcPr>
            <w:tcW w:w="1984" w:type="dxa"/>
            <w:vMerge w:val="restart"/>
            <w:shd w:val="clear" w:color="auto" w:fill="FFFFFF"/>
            <w:vAlign w:val="center"/>
          </w:tcPr>
          <w:p w14:paraId="72247156">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项目效益</w:t>
            </w:r>
          </w:p>
        </w:tc>
        <w:tc>
          <w:tcPr>
            <w:tcW w:w="2693" w:type="dxa"/>
            <w:shd w:val="clear" w:color="auto" w:fill="FFFFFF"/>
            <w:vAlign w:val="center"/>
          </w:tcPr>
          <w:p w14:paraId="2AD709F1">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社会效益指标</w:t>
            </w:r>
          </w:p>
        </w:tc>
        <w:tc>
          <w:tcPr>
            <w:tcW w:w="898" w:type="dxa"/>
            <w:shd w:val="clear" w:color="auto" w:fill="FFFFFF"/>
            <w:vAlign w:val="center"/>
          </w:tcPr>
          <w:p w14:paraId="65F56F52">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898" w:type="dxa"/>
            <w:shd w:val="clear" w:color="auto" w:fill="FFFFFF"/>
            <w:vAlign w:val="center"/>
          </w:tcPr>
          <w:p w14:paraId="71D93656">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1039" w:type="dxa"/>
            <w:shd w:val="clear" w:color="auto" w:fill="FFFFFF"/>
          </w:tcPr>
          <w:p w14:paraId="4EEA6B19">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2522DF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7658796A">
            <w:pPr>
              <w:widowControl/>
              <w:ind w:firstLine="0" w:firstLineChars="0"/>
              <w:jc w:val="center"/>
              <w:rPr>
                <w:rFonts w:ascii="Times New Roman" w:hAnsi="Times New Roman" w:cs="Times New Roman"/>
                <w:kern w:val="0"/>
                <w:sz w:val="24"/>
                <w:szCs w:val="24"/>
              </w:rPr>
            </w:pPr>
          </w:p>
        </w:tc>
        <w:tc>
          <w:tcPr>
            <w:tcW w:w="1984" w:type="dxa"/>
            <w:vMerge w:val="continue"/>
            <w:shd w:val="clear" w:color="auto" w:fill="FFFFFF"/>
            <w:vAlign w:val="center"/>
          </w:tcPr>
          <w:p w14:paraId="5457503E">
            <w:pPr>
              <w:widowControl/>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68029EFD">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生态效益指标</w:t>
            </w:r>
          </w:p>
        </w:tc>
        <w:tc>
          <w:tcPr>
            <w:tcW w:w="898" w:type="dxa"/>
            <w:shd w:val="clear" w:color="000000" w:fill="FFFFFF"/>
            <w:vAlign w:val="center"/>
          </w:tcPr>
          <w:p w14:paraId="54A85FDA">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14:paraId="5F5E55BF">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000000" w:fill="FFFFFF"/>
          </w:tcPr>
          <w:p w14:paraId="64F89AC6">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5954CB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shd w:val="clear" w:color="auto" w:fill="FFFFFF"/>
            <w:vAlign w:val="center"/>
          </w:tcPr>
          <w:p w14:paraId="0E62E7B0">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满意度指标完成情况分析</w:t>
            </w:r>
          </w:p>
        </w:tc>
        <w:tc>
          <w:tcPr>
            <w:tcW w:w="1984" w:type="dxa"/>
            <w:shd w:val="clear" w:color="auto" w:fill="FFFFFF"/>
            <w:vAlign w:val="center"/>
          </w:tcPr>
          <w:p w14:paraId="346D892C">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满意度指标</w:t>
            </w:r>
          </w:p>
        </w:tc>
        <w:tc>
          <w:tcPr>
            <w:tcW w:w="2693" w:type="dxa"/>
            <w:shd w:val="clear" w:color="auto" w:fill="FFFFFF"/>
            <w:vAlign w:val="center"/>
          </w:tcPr>
          <w:p w14:paraId="139F68D2">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项目参与人员满意度</w:t>
            </w:r>
          </w:p>
        </w:tc>
        <w:tc>
          <w:tcPr>
            <w:tcW w:w="898" w:type="dxa"/>
            <w:shd w:val="clear" w:color="000000" w:fill="FFFFFF"/>
            <w:vAlign w:val="center"/>
          </w:tcPr>
          <w:p w14:paraId="74BF8E3D">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14:paraId="6A63E212">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000000" w:fill="FFFFFF"/>
          </w:tcPr>
          <w:p w14:paraId="38456E61">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bl>
    <w:p w14:paraId="35B29C4B">
      <w:pPr>
        <w:pStyle w:val="3"/>
        <w:spacing w:before="0" w:after="0" w:line="560" w:lineRule="exact"/>
        <w:ind w:firstLine="643"/>
        <w:rPr>
          <w:rFonts w:ascii="Times New Roman" w:hAnsi="Times New Roman" w:eastAsia="仿宋"/>
        </w:rPr>
      </w:pPr>
      <w:bookmarkStart w:id="30" w:name="_Toc67911610"/>
      <w:bookmarkStart w:id="31" w:name="_Toc165277239"/>
      <w:r>
        <w:rPr>
          <w:rFonts w:hint="eastAsia" w:ascii="Times New Roman" w:hAnsi="Times New Roman" w:eastAsia="仿宋"/>
        </w:rPr>
        <w:t>（二）主要绩效</w:t>
      </w:r>
      <w:bookmarkEnd w:id="30"/>
      <w:bookmarkEnd w:id="31"/>
    </w:p>
    <w:p w14:paraId="34CA2DF2">
      <w:pPr>
        <w:spacing w:line="560" w:lineRule="exact"/>
        <w:ind w:firstLine="648"/>
        <w:rPr>
          <w:rFonts w:ascii="Times New Roman" w:hAnsi="Times New Roman" w:eastAsia="方正仿宋_GBK" w:cs="Times New Roman"/>
          <w:snapToGrid w:val="0"/>
          <w:color w:val="000000"/>
          <w:spacing w:val="2"/>
          <w:sz w:val="32"/>
          <w:szCs w:val="32"/>
        </w:rPr>
      </w:pPr>
      <w:bookmarkStart w:id="32" w:name="_Toc67911611"/>
      <w:bookmarkStart w:id="33" w:name="_Toc165277240"/>
      <w:r>
        <w:rPr>
          <w:rFonts w:hint="eastAsia" w:ascii="Times New Roman" w:hAnsi="Times New Roman" w:eastAsia="方正仿宋_GBK" w:cs="Times New Roman"/>
          <w:snapToGrid w:val="0"/>
          <w:color w:val="000000"/>
          <w:spacing w:val="2"/>
          <w:sz w:val="32"/>
          <w:szCs w:val="32"/>
        </w:rPr>
        <w:t>该项目资金市财政及时拨付，单位在此次评价期间内，有序完成设定目标的部分工作任务，设备采购完成、实验室等改造基本完成，为发展我市重大林业有害生物应对能力，防范外来有害生物灾害提供强有力的支撑。</w:t>
      </w:r>
    </w:p>
    <w:p w14:paraId="1445EF19">
      <w:pPr>
        <w:pStyle w:val="2"/>
        <w:spacing w:before="0" w:after="0" w:line="560" w:lineRule="exact"/>
        <w:ind w:firstLine="0" w:firstLineChars="0"/>
        <w:jc w:val="left"/>
        <w:rPr>
          <w:rFonts w:ascii="Times New Roman" w:hAnsi="Times New Roman" w:eastAsia="仿宋" w:cs="Times New Roman"/>
          <w:sz w:val="36"/>
          <w:szCs w:val="36"/>
        </w:rPr>
      </w:pPr>
      <w:r>
        <w:rPr>
          <w:rFonts w:hint="eastAsia" w:ascii="Times New Roman" w:hAnsi="Times New Roman" w:eastAsia="仿宋" w:cs="Times New Roman"/>
          <w:sz w:val="36"/>
          <w:szCs w:val="36"/>
        </w:rPr>
        <w:t>四、绩效评价指标分析</w:t>
      </w:r>
      <w:bookmarkEnd w:id="32"/>
      <w:bookmarkEnd w:id="33"/>
    </w:p>
    <w:p w14:paraId="2BDFBE0D">
      <w:pPr>
        <w:pStyle w:val="3"/>
        <w:spacing w:before="0" w:after="0" w:line="560" w:lineRule="exact"/>
        <w:ind w:firstLine="643"/>
        <w:rPr>
          <w:rFonts w:ascii="Times New Roman" w:hAnsi="Times New Roman" w:eastAsia="仿宋"/>
        </w:rPr>
      </w:pPr>
      <w:bookmarkStart w:id="34" w:name="_Toc67911612"/>
      <w:bookmarkStart w:id="35" w:name="_Toc165277241"/>
      <w:r>
        <w:rPr>
          <w:rFonts w:hint="eastAsia" w:ascii="Times New Roman" w:hAnsi="Times New Roman" w:eastAsia="仿宋"/>
        </w:rPr>
        <w:t>（一）项目决策情况</w:t>
      </w:r>
      <w:bookmarkEnd w:id="34"/>
      <w:bookmarkEnd w:id="35"/>
    </w:p>
    <w:p w14:paraId="48A89669">
      <w:pPr>
        <w:spacing w:line="560" w:lineRule="exact"/>
        <w:ind w:firstLine="640"/>
        <w:rPr>
          <w:rFonts w:ascii="Times New Roman" w:hAnsi="Times New Roman" w:cs="Times New Roman"/>
          <w:color w:val="FF0000"/>
          <w:sz w:val="32"/>
          <w:szCs w:val="32"/>
        </w:rPr>
      </w:pPr>
      <w:r>
        <w:rPr>
          <w:rFonts w:hint="eastAsia" w:ascii="Times New Roman" w:hAnsi="Times New Roman" w:cs="Times New Roman"/>
          <w:sz w:val="32"/>
          <w:szCs w:val="32"/>
        </w:rPr>
        <w:t>项目决算指标由</w:t>
      </w:r>
      <w:r>
        <w:rPr>
          <w:rFonts w:ascii="Times New Roman" w:hAnsi="Times New Roman" w:cs="Times New Roman"/>
          <w:sz w:val="32"/>
          <w:szCs w:val="32"/>
        </w:rPr>
        <w:t>3</w:t>
      </w:r>
      <w:r>
        <w:rPr>
          <w:rFonts w:hint="eastAsia" w:ascii="Times New Roman" w:hAnsi="Times New Roman" w:cs="Times New Roman"/>
          <w:sz w:val="32"/>
          <w:szCs w:val="32"/>
        </w:rPr>
        <w:t>个二级指标和</w:t>
      </w:r>
      <w:r>
        <w:rPr>
          <w:rFonts w:ascii="Times New Roman" w:hAnsi="Times New Roman" w:cs="Times New Roman"/>
          <w:sz w:val="32"/>
          <w:szCs w:val="32"/>
        </w:rPr>
        <w:t>6</w:t>
      </w:r>
      <w:r>
        <w:rPr>
          <w:rFonts w:hint="eastAsia" w:ascii="Times New Roman" w:hAnsi="Times New Roman" w:cs="Times New Roman"/>
          <w:sz w:val="32"/>
          <w:szCs w:val="32"/>
        </w:rPr>
        <w:t>个三级指标构成，权重为</w:t>
      </w:r>
      <w:r>
        <w:rPr>
          <w:rFonts w:ascii="Times New Roman" w:hAnsi="Times New Roman" w:cs="Times New Roman"/>
          <w:sz w:val="32"/>
          <w:szCs w:val="32"/>
        </w:rPr>
        <w:t>20</w:t>
      </w:r>
      <w:r>
        <w:rPr>
          <w:rFonts w:hint="eastAsia" w:ascii="Times New Roman" w:hAnsi="Times New Roman" w:cs="Times New Roman"/>
          <w:sz w:val="32"/>
          <w:szCs w:val="32"/>
        </w:rPr>
        <w:t>分，实际得分</w:t>
      </w:r>
      <w:r>
        <w:rPr>
          <w:rFonts w:ascii="Times New Roman" w:hAnsi="Times New Roman" w:cs="Times New Roman"/>
          <w:sz w:val="32"/>
          <w:szCs w:val="32"/>
        </w:rPr>
        <w:t>20</w:t>
      </w:r>
      <w:r>
        <w:rPr>
          <w:rFonts w:hint="eastAsia" w:ascii="Times New Roman" w:hAnsi="Times New Roman" w:cs="Times New Roman"/>
          <w:sz w:val="32"/>
          <w:szCs w:val="32"/>
        </w:rPr>
        <w:t>分。</w:t>
      </w:r>
    </w:p>
    <w:p w14:paraId="6224A417">
      <w:pPr>
        <w:pStyle w:val="4"/>
        <w:spacing w:before="0" w:after="0" w:line="560" w:lineRule="exact"/>
        <w:ind w:firstLine="643"/>
        <w:rPr>
          <w:rFonts w:ascii="Times New Roman" w:hAnsi="Times New Roman" w:cs="Times New Roman"/>
        </w:rPr>
      </w:pPr>
      <w:bookmarkStart w:id="36" w:name="_Toc165277242"/>
      <w:r>
        <w:rPr>
          <w:rFonts w:ascii="Times New Roman" w:hAnsi="Times New Roman" w:cs="Times New Roman"/>
        </w:rPr>
        <w:t>1.</w:t>
      </w:r>
      <w:r>
        <w:rPr>
          <w:rFonts w:hint="eastAsia" w:ascii="Times New Roman" w:hAnsi="Times New Roman" w:cs="Times New Roman"/>
        </w:rPr>
        <w:t>项目立项</w:t>
      </w:r>
      <w:bookmarkEnd w:id="36"/>
    </w:p>
    <w:p w14:paraId="4ADE84D9">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立项依据充分性：</w:t>
      </w:r>
      <w:r>
        <w:rPr>
          <w:rFonts w:hint="eastAsia" w:ascii="Times New Roman" w:hAnsi="Times New Roman" w:cs="Times New Roman"/>
          <w:sz w:val="32"/>
          <w:szCs w:val="32"/>
        </w:rPr>
        <w:t>本项目属于中央预算内项目，项目由发改委立项，符合中央、地方事权支出责任划分原则。因此，立项依据充分，得</w:t>
      </w:r>
      <w:r>
        <w:rPr>
          <w:rFonts w:ascii="Times New Roman" w:hAnsi="Times New Roman" w:cs="Times New Roman"/>
          <w:sz w:val="32"/>
          <w:szCs w:val="32"/>
        </w:rPr>
        <w:t>4</w:t>
      </w:r>
      <w:r>
        <w:rPr>
          <w:rFonts w:hint="eastAsia" w:ascii="Times New Roman" w:hAnsi="Times New Roman" w:cs="Times New Roman"/>
          <w:sz w:val="32"/>
          <w:szCs w:val="32"/>
        </w:rPr>
        <w:t>分。</w:t>
      </w:r>
    </w:p>
    <w:p w14:paraId="4527AD54">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立项程序规范性</w:t>
      </w:r>
      <w:r>
        <w:rPr>
          <w:rFonts w:ascii="Times New Roman" w:hAnsi="Times New Roman" w:cs="Times New Roman"/>
          <w:b/>
          <w:bCs/>
          <w:sz w:val="32"/>
          <w:szCs w:val="32"/>
        </w:rPr>
        <w:t>:</w:t>
      </w:r>
      <w:r>
        <w:rPr>
          <w:rFonts w:ascii="Times New Roman" w:hAnsi="Times New Roman" w:cs="Times New Roman"/>
          <w:sz w:val="32"/>
          <w:szCs w:val="32"/>
        </w:rPr>
        <w:t xml:space="preserve"> </w:t>
      </w:r>
      <w:r>
        <w:rPr>
          <w:rFonts w:hint="eastAsia" w:ascii="Times New Roman" w:hAnsi="Times New Roman" w:cs="Times New Roman"/>
          <w:sz w:val="32"/>
          <w:szCs w:val="32"/>
        </w:rPr>
        <w:t>项目于2022年1月12日取得市发改委立项批复：《关于乌鲁木齐市松材线虫病等重大林业有害生物防治能力提升工程建项目立项的批复》（乌发改函[2022]8号）；2022年1月17日市发改委下达可行性研究报告批复：《关于乌鲁木齐市松材线虫病等重大林业有害生物防治能力提升工程建项目可行性研究报告的批复》（乌发改函[2022]20号）；2022年12月21日市发改委下达初步设计批复：《关于乌鲁木齐市松材线虫病等重大林业有害生物防治能力提升工程建项目初步设计的批复》（乌发改函[2022]431号）。按照规定的程序向市发改委申请设立本项目，审批文件、材料符合相关要求，故立项程序规范，得</w:t>
      </w:r>
      <w:r>
        <w:rPr>
          <w:rFonts w:ascii="Times New Roman" w:hAnsi="Times New Roman" w:cs="Times New Roman"/>
          <w:sz w:val="32"/>
          <w:szCs w:val="32"/>
        </w:rPr>
        <w:t>4</w:t>
      </w:r>
      <w:r>
        <w:rPr>
          <w:rFonts w:hint="eastAsia" w:ascii="Times New Roman" w:hAnsi="Times New Roman" w:cs="Times New Roman"/>
          <w:sz w:val="32"/>
          <w:szCs w:val="32"/>
        </w:rPr>
        <w:t>分。</w:t>
      </w:r>
    </w:p>
    <w:p w14:paraId="1946D5EE">
      <w:pPr>
        <w:autoSpaceDE w:val="0"/>
        <w:spacing w:line="560" w:lineRule="exact"/>
        <w:ind w:firstLine="643"/>
        <w:rPr>
          <w:rFonts w:ascii="Times New Roman" w:hAnsi="Times New Roman" w:cs="Times New Roman"/>
          <w:b/>
          <w:kern w:val="0"/>
          <w:sz w:val="32"/>
          <w:szCs w:val="32"/>
        </w:rPr>
      </w:pPr>
      <w:r>
        <w:rPr>
          <w:rFonts w:hint="eastAsia" w:ascii="Times New Roman" w:hAnsi="Times New Roman" w:cs="Times New Roman"/>
          <w:b/>
          <w:kern w:val="0"/>
          <w:sz w:val="32"/>
          <w:szCs w:val="32"/>
        </w:rPr>
        <w:t>综上，该指标满分</w:t>
      </w:r>
      <w:r>
        <w:rPr>
          <w:rFonts w:ascii="Times New Roman" w:hAnsi="Times New Roman" w:cs="Times New Roman"/>
          <w:b/>
          <w:kern w:val="0"/>
          <w:sz w:val="32"/>
          <w:szCs w:val="32"/>
        </w:rPr>
        <w:t>8</w:t>
      </w:r>
      <w:r>
        <w:rPr>
          <w:rFonts w:hint="eastAsia" w:ascii="Times New Roman" w:hAnsi="Times New Roman" w:cs="Times New Roman"/>
          <w:b/>
          <w:kern w:val="0"/>
          <w:sz w:val="32"/>
          <w:szCs w:val="32"/>
        </w:rPr>
        <w:t>分，得分</w:t>
      </w:r>
      <w:r>
        <w:rPr>
          <w:rFonts w:ascii="Times New Roman" w:hAnsi="Times New Roman" w:cs="Times New Roman"/>
          <w:b/>
          <w:kern w:val="0"/>
          <w:sz w:val="32"/>
          <w:szCs w:val="32"/>
        </w:rPr>
        <w:t>8</w:t>
      </w:r>
      <w:r>
        <w:rPr>
          <w:rFonts w:hint="eastAsia" w:ascii="Times New Roman" w:hAnsi="Times New Roman" w:cs="Times New Roman"/>
          <w:b/>
          <w:kern w:val="0"/>
          <w:sz w:val="32"/>
          <w:szCs w:val="32"/>
        </w:rPr>
        <w:t>分。</w:t>
      </w:r>
    </w:p>
    <w:p w14:paraId="3F657792">
      <w:pPr>
        <w:pStyle w:val="4"/>
        <w:spacing w:before="0" w:after="0" w:line="560" w:lineRule="exact"/>
        <w:ind w:firstLine="643"/>
        <w:rPr>
          <w:rFonts w:ascii="Times New Roman" w:hAnsi="Times New Roman" w:cs="Times New Roman"/>
        </w:rPr>
      </w:pPr>
      <w:bookmarkStart w:id="37" w:name="_Toc165277243"/>
      <w:r>
        <w:rPr>
          <w:rFonts w:ascii="Times New Roman" w:hAnsi="Times New Roman" w:cs="Times New Roman"/>
        </w:rPr>
        <w:t>2.</w:t>
      </w:r>
      <w:r>
        <w:rPr>
          <w:rFonts w:hint="eastAsia" w:ascii="Times New Roman" w:hAnsi="Times New Roman" w:cs="Times New Roman"/>
        </w:rPr>
        <w:t>绩效目标</w:t>
      </w:r>
      <w:bookmarkEnd w:id="37"/>
    </w:p>
    <w:p w14:paraId="69FD37E9">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绩效目标合理性：</w:t>
      </w:r>
      <w:r>
        <w:rPr>
          <w:rFonts w:hint="eastAsia" w:ascii="Times New Roman" w:hAnsi="Times New Roman" w:cs="Times New Roman"/>
          <w:sz w:val="32"/>
          <w:szCs w:val="32"/>
        </w:rPr>
        <w:t>本项目的绩效目标按照产出、效益和满意度构建绩效评价指标，且具有明确性、可衡量性、可实现性、相关性和时限性等特点，能较为全面地反映本项目的产出和效益，故绩效目标合理性指标得分</w:t>
      </w:r>
      <w:r>
        <w:rPr>
          <w:rFonts w:ascii="Times New Roman" w:hAnsi="Times New Roman" w:cs="Times New Roman"/>
          <w:sz w:val="32"/>
          <w:szCs w:val="32"/>
        </w:rPr>
        <w:t>3</w:t>
      </w:r>
      <w:r>
        <w:rPr>
          <w:rFonts w:hint="eastAsia" w:ascii="Times New Roman" w:hAnsi="Times New Roman" w:cs="Times New Roman"/>
          <w:sz w:val="32"/>
          <w:szCs w:val="32"/>
        </w:rPr>
        <w:t>分。</w:t>
      </w:r>
    </w:p>
    <w:p w14:paraId="1D579127">
      <w:pPr>
        <w:autoSpaceDE w:val="0"/>
        <w:spacing w:line="560" w:lineRule="exact"/>
        <w:ind w:firstLine="643"/>
        <w:rPr>
          <w:rFonts w:ascii="Times New Roman" w:hAnsi="Times New Roman" w:cs="Times New Roman"/>
          <w:kern w:val="0"/>
          <w:sz w:val="32"/>
          <w:szCs w:val="32"/>
        </w:rPr>
      </w:pPr>
      <w:r>
        <w:rPr>
          <w:rFonts w:hint="eastAsia" w:ascii="Times New Roman" w:hAnsi="Times New Roman" w:cs="Times New Roman"/>
          <w:b/>
          <w:kern w:val="0"/>
          <w:sz w:val="32"/>
          <w:szCs w:val="32"/>
        </w:rPr>
        <w:t>绩效目标明确性：</w:t>
      </w:r>
      <w:r>
        <w:rPr>
          <w:rFonts w:hint="eastAsia" w:ascii="Times New Roman" w:hAnsi="Times New Roman" w:cs="Times New Roman"/>
          <w:kern w:val="0"/>
          <w:sz w:val="32"/>
          <w:szCs w:val="32"/>
        </w:rPr>
        <w:t>其中，目标已细化为具体的绩效指标，可通过1个数量指标、2个质量指标和2个时效指标，通过验收合格率、项目完成期限、建设按期完成率等指标进行评价，并具有确切的评价标准，且指标设定均与目标相关。各项指标均能在现实条件下收集到相关数据进行佐证，可通过调取项目资料，查看验收报告、支付凭证确认。并与当年项目年度计划相对应，故绩效目标明确性指标得分</w:t>
      </w:r>
      <w:r>
        <w:rPr>
          <w:rFonts w:ascii="Times New Roman" w:hAnsi="Times New Roman" w:cs="Times New Roman"/>
          <w:kern w:val="0"/>
          <w:sz w:val="32"/>
          <w:szCs w:val="32"/>
        </w:rPr>
        <w:t>3</w:t>
      </w:r>
      <w:r>
        <w:rPr>
          <w:rFonts w:hint="eastAsia" w:ascii="Times New Roman" w:hAnsi="Times New Roman" w:cs="Times New Roman"/>
          <w:kern w:val="0"/>
          <w:sz w:val="32"/>
          <w:szCs w:val="32"/>
        </w:rPr>
        <w:t>分。</w:t>
      </w:r>
    </w:p>
    <w:p w14:paraId="697151FB">
      <w:pPr>
        <w:autoSpaceDE w:val="0"/>
        <w:spacing w:line="560" w:lineRule="exact"/>
        <w:ind w:firstLine="643"/>
        <w:rPr>
          <w:rFonts w:ascii="Times New Roman" w:hAnsi="Times New Roman" w:cs="Times New Roman"/>
          <w:b/>
          <w:kern w:val="0"/>
          <w:sz w:val="32"/>
          <w:szCs w:val="32"/>
        </w:rPr>
      </w:pPr>
      <w:r>
        <w:rPr>
          <w:rFonts w:hint="eastAsia" w:ascii="Times New Roman" w:hAnsi="Times New Roman" w:cs="Times New Roman"/>
          <w:b/>
          <w:kern w:val="0"/>
          <w:sz w:val="32"/>
          <w:szCs w:val="32"/>
        </w:rPr>
        <w:t>综上，该指标满分</w:t>
      </w:r>
      <w:r>
        <w:rPr>
          <w:rFonts w:ascii="Times New Roman" w:hAnsi="Times New Roman" w:cs="Times New Roman"/>
          <w:b/>
          <w:kern w:val="0"/>
          <w:sz w:val="32"/>
          <w:szCs w:val="32"/>
        </w:rPr>
        <w:t>6</w:t>
      </w:r>
      <w:r>
        <w:rPr>
          <w:rFonts w:hint="eastAsia" w:ascii="Times New Roman" w:hAnsi="Times New Roman" w:cs="Times New Roman"/>
          <w:b/>
          <w:kern w:val="0"/>
          <w:sz w:val="32"/>
          <w:szCs w:val="32"/>
        </w:rPr>
        <w:t>分，得分</w:t>
      </w:r>
      <w:r>
        <w:rPr>
          <w:rFonts w:ascii="Times New Roman" w:hAnsi="Times New Roman" w:cs="Times New Roman"/>
          <w:b/>
          <w:kern w:val="0"/>
          <w:sz w:val="32"/>
          <w:szCs w:val="32"/>
        </w:rPr>
        <w:t>6</w:t>
      </w:r>
      <w:r>
        <w:rPr>
          <w:rFonts w:hint="eastAsia" w:ascii="Times New Roman" w:hAnsi="Times New Roman" w:cs="Times New Roman"/>
          <w:b/>
          <w:kern w:val="0"/>
          <w:sz w:val="32"/>
          <w:szCs w:val="32"/>
        </w:rPr>
        <w:t>分。</w:t>
      </w:r>
    </w:p>
    <w:p w14:paraId="1995372D">
      <w:pPr>
        <w:pStyle w:val="4"/>
        <w:spacing w:before="0" w:after="0" w:line="560" w:lineRule="exact"/>
        <w:ind w:firstLine="643"/>
        <w:rPr>
          <w:rFonts w:ascii="Times New Roman" w:hAnsi="Times New Roman" w:cs="Times New Roman"/>
        </w:rPr>
      </w:pPr>
      <w:bookmarkStart w:id="38" w:name="_Toc165277244"/>
      <w:r>
        <w:rPr>
          <w:rFonts w:ascii="Times New Roman" w:hAnsi="Times New Roman" w:cs="Times New Roman"/>
        </w:rPr>
        <w:t>3.</w:t>
      </w:r>
      <w:r>
        <w:rPr>
          <w:rFonts w:hint="eastAsia" w:ascii="Times New Roman" w:hAnsi="Times New Roman" w:cs="Times New Roman"/>
        </w:rPr>
        <w:t>资金投入</w:t>
      </w:r>
      <w:bookmarkEnd w:id="38"/>
    </w:p>
    <w:p w14:paraId="4854C9DF">
      <w:pPr>
        <w:spacing w:line="560" w:lineRule="exact"/>
        <w:ind w:firstLine="643"/>
        <w:rPr>
          <w:rFonts w:ascii="Times New Roman" w:hAnsi="Times New Roman" w:cs="Times New Roman"/>
          <w:kern w:val="0"/>
          <w:szCs w:val="28"/>
        </w:rPr>
      </w:pPr>
      <w:r>
        <w:rPr>
          <w:rFonts w:hint="eastAsia" w:ascii="Times New Roman" w:hAnsi="Times New Roman" w:cs="Times New Roman"/>
          <w:b/>
          <w:kern w:val="0"/>
          <w:sz w:val="32"/>
          <w:szCs w:val="32"/>
        </w:rPr>
        <w:t>预算编制科学性：</w:t>
      </w:r>
      <w:r>
        <w:rPr>
          <w:rFonts w:hint="eastAsia" w:ascii="Times New Roman" w:hAnsi="Times New Roman" w:eastAsia="方正仿宋_GBK" w:cs="Times New Roman"/>
          <w:snapToGrid w:val="0"/>
          <w:spacing w:val="2"/>
          <w:sz w:val="32"/>
          <w:szCs w:val="32"/>
        </w:rPr>
        <w:t>乌鲁木齐市松材线虫病等重大林业有害生物防治能力提升工程建设项目预算编制经过专家评审，预算内容与项目内容匹配。同时，预算额度测算依据充分，按照标准编制，预算确定的项目投资额与工作任务相匹配。故预算编制科学性指标得分</w:t>
      </w:r>
      <w:r>
        <w:rPr>
          <w:rFonts w:ascii="Times New Roman" w:hAnsi="Times New Roman" w:eastAsia="方正仿宋_GBK" w:cs="Times New Roman"/>
          <w:snapToGrid w:val="0"/>
          <w:spacing w:val="2"/>
          <w:sz w:val="32"/>
          <w:szCs w:val="32"/>
        </w:rPr>
        <w:t>3</w:t>
      </w:r>
      <w:r>
        <w:rPr>
          <w:rFonts w:hint="eastAsia" w:ascii="Times New Roman" w:hAnsi="Times New Roman" w:eastAsia="方正仿宋_GBK" w:cs="Times New Roman"/>
          <w:snapToGrid w:val="0"/>
          <w:spacing w:val="2"/>
          <w:sz w:val="32"/>
          <w:szCs w:val="32"/>
        </w:rPr>
        <w:t>分。</w:t>
      </w:r>
    </w:p>
    <w:p w14:paraId="75ABAD41">
      <w:pPr>
        <w:spacing w:line="560" w:lineRule="exact"/>
        <w:ind w:firstLine="643"/>
        <w:rPr>
          <w:rFonts w:ascii="Times New Roman" w:hAnsi="Times New Roman" w:cs="Times New Roman"/>
        </w:rPr>
      </w:pPr>
      <w:r>
        <w:rPr>
          <w:rFonts w:hint="eastAsia" w:ascii="Times New Roman" w:hAnsi="Times New Roman" w:cs="Times New Roman"/>
          <w:b/>
          <w:bCs/>
          <w:sz w:val="32"/>
          <w:szCs w:val="32"/>
        </w:rPr>
        <w:t>资金分配合理性</w:t>
      </w:r>
      <w:r>
        <w:rPr>
          <w:rFonts w:hint="eastAsia" w:ascii="Times New Roman" w:hAnsi="Times New Roman" w:cs="Times New Roman"/>
          <w:sz w:val="32"/>
          <w:szCs w:val="32"/>
        </w:rPr>
        <w:t>：</w:t>
      </w:r>
      <w:r>
        <w:rPr>
          <w:rFonts w:hint="eastAsia" w:ascii="Times New Roman" w:hAnsi="Times New Roman" w:eastAsia="方正仿宋_GBK" w:cs="Times New Roman"/>
          <w:snapToGrid w:val="0"/>
          <w:spacing w:val="2"/>
          <w:sz w:val="32"/>
          <w:szCs w:val="32"/>
        </w:rPr>
        <w:t>乌鲁木齐市松材线虫病等重大林业有害生物防治能力提升工程建设项目预算资金分配依据充分，根据项目初步设计、项目预算表，资金分配额度合理，设备金额、建设预算与地方实际相适应。故资金分配合理性指标得分</w:t>
      </w:r>
      <w:r>
        <w:rPr>
          <w:rFonts w:ascii="Times New Roman" w:hAnsi="Times New Roman" w:eastAsia="方正仿宋_GBK" w:cs="Times New Roman"/>
          <w:snapToGrid w:val="0"/>
          <w:spacing w:val="2"/>
          <w:sz w:val="32"/>
          <w:szCs w:val="32"/>
        </w:rPr>
        <w:t>3</w:t>
      </w:r>
      <w:r>
        <w:rPr>
          <w:rFonts w:hint="eastAsia" w:ascii="Times New Roman" w:hAnsi="Times New Roman" w:eastAsia="方正仿宋_GBK" w:cs="Times New Roman"/>
          <w:snapToGrid w:val="0"/>
          <w:spacing w:val="2"/>
          <w:sz w:val="32"/>
          <w:szCs w:val="32"/>
        </w:rPr>
        <w:t>分。</w:t>
      </w:r>
    </w:p>
    <w:p w14:paraId="7E0A1F6C">
      <w:pPr>
        <w:autoSpaceDE w:val="0"/>
        <w:spacing w:line="560" w:lineRule="exact"/>
        <w:ind w:firstLine="643"/>
        <w:rPr>
          <w:rFonts w:ascii="Times New Roman" w:hAnsi="Times New Roman" w:cs="Times New Roman"/>
          <w:b/>
          <w:color w:val="FF0000"/>
          <w:kern w:val="0"/>
          <w:sz w:val="32"/>
          <w:szCs w:val="32"/>
        </w:rPr>
      </w:pPr>
      <w:r>
        <w:rPr>
          <w:rFonts w:hint="eastAsia" w:ascii="Times New Roman" w:hAnsi="Times New Roman" w:cs="Times New Roman"/>
          <w:b/>
          <w:kern w:val="0"/>
          <w:sz w:val="32"/>
          <w:szCs w:val="32"/>
        </w:rPr>
        <w:t>综上，该指标满分</w:t>
      </w:r>
      <w:r>
        <w:rPr>
          <w:rFonts w:ascii="Times New Roman" w:hAnsi="Times New Roman" w:cs="Times New Roman"/>
          <w:b/>
          <w:kern w:val="0"/>
          <w:sz w:val="32"/>
          <w:szCs w:val="32"/>
        </w:rPr>
        <w:t>6</w:t>
      </w:r>
      <w:r>
        <w:rPr>
          <w:rFonts w:hint="eastAsia" w:ascii="Times New Roman" w:hAnsi="Times New Roman" w:cs="Times New Roman"/>
          <w:b/>
          <w:kern w:val="0"/>
          <w:sz w:val="32"/>
          <w:szCs w:val="32"/>
        </w:rPr>
        <w:t>分，得分</w:t>
      </w:r>
      <w:r>
        <w:rPr>
          <w:rFonts w:ascii="Times New Roman" w:hAnsi="Times New Roman" w:cs="Times New Roman"/>
          <w:b/>
          <w:kern w:val="0"/>
          <w:sz w:val="32"/>
          <w:szCs w:val="32"/>
        </w:rPr>
        <w:t>6</w:t>
      </w:r>
      <w:r>
        <w:rPr>
          <w:rFonts w:hint="eastAsia" w:ascii="Times New Roman" w:hAnsi="Times New Roman" w:cs="Times New Roman"/>
          <w:b/>
          <w:kern w:val="0"/>
          <w:sz w:val="32"/>
          <w:szCs w:val="32"/>
        </w:rPr>
        <w:t>分。</w:t>
      </w:r>
    </w:p>
    <w:p w14:paraId="21657407">
      <w:pPr>
        <w:pStyle w:val="3"/>
        <w:spacing w:before="0" w:after="0" w:line="560" w:lineRule="exact"/>
        <w:ind w:firstLine="643"/>
        <w:rPr>
          <w:rFonts w:ascii="Times New Roman" w:hAnsi="Times New Roman" w:eastAsia="仿宋"/>
        </w:rPr>
      </w:pPr>
      <w:bookmarkStart w:id="39" w:name="_Toc165277245"/>
      <w:bookmarkStart w:id="40" w:name="_Toc67911613"/>
      <w:r>
        <w:rPr>
          <w:rFonts w:hint="eastAsia" w:ascii="Times New Roman" w:hAnsi="Times New Roman" w:eastAsia="仿宋"/>
        </w:rPr>
        <w:t>（二）项目过程情况</w:t>
      </w:r>
      <w:bookmarkEnd w:id="39"/>
      <w:bookmarkEnd w:id="40"/>
    </w:p>
    <w:p w14:paraId="72C656E4">
      <w:pPr>
        <w:spacing w:line="560" w:lineRule="exact"/>
        <w:ind w:firstLine="640"/>
        <w:rPr>
          <w:rFonts w:ascii="Times New Roman" w:hAnsi="Times New Roman" w:cs="Times New Roman"/>
          <w:color w:val="FF0000"/>
          <w:szCs w:val="28"/>
        </w:rPr>
      </w:pPr>
      <w:r>
        <w:rPr>
          <w:rFonts w:hint="eastAsia" w:ascii="Times New Roman" w:hAnsi="Times New Roman" w:cs="Times New Roman"/>
          <w:sz w:val="32"/>
          <w:szCs w:val="32"/>
        </w:rPr>
        <w:t>项目过程指标由</w:t>
      </w:r>
      <w:r>
        <w:rPr>
          <w:rFonts w:ascii="Times New Roman" w:hAnsi="Times New Roman" w:cs="Times New Roman"/>
          <w:sz w:val="32"/>
          <w:szCs w:val="32"/>
        </w:rPr>
        <w:t>2</w:t>
      </w:r>
      <w:r>
        <w:rPr>
          <w:rFonts w:hint="eastAsia" w:ascii="Times New Roman" w:hAnsi="Times New Roman" w:cs="Times New Roman"/>
          <w:sz w:val="32"/>
          <w:szCs w:val="32"/>
        </w:rPr>
        <w:t>个二级指标和</w:t>
      </w:r>
      <w:r>
        <w:rPr>
          <w:rFonts w:ascii="Times New Roman" w:hAnsi="Times New Roman" w:cs="Times New Roman"/>
          <w:sz w:val="32"/>
          <w:szCs w:val="32"/>
        </w:rPr>
        <w:t>5</w:t>
      </w:r>
      <w:r>
        <w:rPr>
          <w:rFonts w:hint="eastAsia" w:ascii="Times New Roman" w:hAnsi="Times New Roman" w:cs="Times New Roman"/>
          <w:sz w:val="32"/>
          <w:szCs w:val="32"/>
        </w:rPr>
        <w:t>个三级指标构成，权重为</w:t>
      </w:r>
      <w:r>
        <w:rPr>
          <w:rFonts w:ascii="Times New Roman" w:hAnsi="Times New Roman" w:cs="Times New Roman"/>
          <w:sz w:val="32"/>
          <w:szCs w:val="32"/>
        </w:rPr>
        <w:t>20</w:t>
      </w:r>
      <w:r>
        <w:rPr>
          <w:rFonts w:hint="eastAsia" w:ascii="Times New Roman" w:hAnsi="Times New Roman" w:cs="Times New Roman"/>
          <w:sz w:val="32"/>
          <w:szCs w:val="32"/>
        </w:rPr>
        <w:t>分，实际得分</w:t>
      </w:r>
      <w:r>
        <w:rPr>
          <w:rFonts w:ascii="Times New Roman" w:hAnsi="Times New Roman" w:cs="Times New Roman"/>
          <w:sz w:val="32"/>
          <w:szCs w:val="32"/>
        </w:rPr>
        <w:t>20</w:t>
      </w:r>
      <w:r>
        <w:rPr>
          <w:rFonts w:hint="eastAsia" w:ascii="Times New Roman" w:hAnsi="Times New Roman" w:cs="Times New Roman"/>
          <w:sz w:val="32"/>
          <w:szCs w:val="32"/>
        </w:rPr>
        <w:t>分。</w:t>
      </w:r>
    </w:p>
    <w:p w14:paraId="0D1DAAF1">
      <w:pPr>
        <w:pStyle w:val="4"/>
        <w:spacing w:before="0" w:after="0" w:line="560" w:lineRule="exact"/>
        <w:ind w:firstLine="643"/>
        <w:rPr>
          <w:rFonts w:ascii="Times New Roman" w:hAnsi="Times New Roman" w:cs="Times New Roman"/>
        </w:rPr>
      </w:pPr>
      <w:bookmarkStart w:id="41" w:name="_Toc165277246"/>
      <w:r>
        <w:rPr>
          <w:rFonts w:ascii="Times New Roman" w:hAnsi="Times New Roman" w:cs="Times New Roman"/>
        </w:rPr>
        <w:t>1.</w:t>
      </w:r>
      <w:r>
        <w:rPr>
          <w:rFonts w:hint="eastAsia" w:ascii="Times New Roman" w:hAnsi="Times New Roman" w:cs="Times New Roman"/>
        </w:rPr>
        <w:t>资金管理</w:t>
      </w:r>
      <w:bookmarkEnd w:id="41"/>
    </w:p>
    <w:p w14:paraId="6C41FA40">
      <w:pPr>
        <w:pStyle w:val="5"/>
        <w:adjustRightInd w:val="0"/>
        <w:snapToGrid w:val="0"/>
        <w:spacing w:line="560" w:lineRule="exact"/>
        <w:ind w:firstLine="643"/>
        <w:jc w:val="both"/>
        <w:rPr>
          <w:rFonts w:ascii="Times New Roman" w:hAnsi="Times New Roman" w:cs="Times New Roman"/>
          <w:sz w:val="32"/>
          <w:szCs w:val="32"/>
        </w:rPr>
      </w:pPr>
      <w:r>
        <w:rPr>
          <w:rFonts w:hint="eastAsia" w:ascii="Times New Roman" w:hAnsi="Times New Roman" w:cs="Times New Roman"/>
          <w:b/>
          <w:bCs/>
          <w:sz w:val="32"/>
          <w:szCs w:val="32"/>
        </w:rPr>
        <w:t>资金到位率：</w:t>
      </w:r>
      <w:r>
        <w:rPr>
          <w:rFonts w:hint="eastAsia" w:ascii="Times New Roman" w:hAnsi="Times New Roman" w:eastAsia="方正仿宋_GBK" w:cs="Times New Roman"/>
          <w:snapToGrid w:val="0"/>
          <w:spacing w:val="2"/>
          <w:sz w:val="32"/>
          <w:szCs w:val="32"/>
        </w:rPr>
        <w:t>乌鲁木齐市松材线虫病等重大林业有害生物防治能力提升工程建设项目资金1359万元由财政拨付，</w:t>
      </w:r>
      <w:r>
        <w:rPr>
          <w:rFonts w:hint="eastAsia" w:ascii="Times New Roman" w:hAnsi="Times New Roman" w:eastAsia="方正仿宋_GBK"/>
          <w:sz w:val="32"/>
        </w:rPr>
        <w:t>在2023年5月11日到位450.56万元、5月30日到位354.46万元、6月20日到位421.59万元、6月20日到位132.39万元，</w:t>
      </w:r>
      <w:r>
        <w:rPr>
          <w:rFonts w:hint="eastAsia" w:ascii="Times New Roman" w:hAnsi="Times New Roman" w:eastAsia="方正仿宋_GBK" w:cs="Times New Roman"/>
          <w:snapToGrid w:val="0"/>
          <w:spacing w:val="2"/>
          <w:sz w:val="32"/>
          <w:szCs w:val="32"/>
        </w:rPr>
        <w:t>资金及时到位。</w:t>
      </w:r>
    </w:p>
    <w:p w14:paraId="05429AE0">
      <w:pPr>
        <w:spacing w:line="560" w:lineRule="exact"/>
        <w:ind w:firstLine="648"/>
        <w:rPr>
          <w:rFonts w:ascii="Times New Roman" w:hAnsi="Times New Roman" w:cs="Times New Roman"/>
          <w:sz w:val="32"/>
          <w:szCs w:val="32"/>
        </w:rPr>
      </w:pPr>
      <w:r>
        <w:rPr>
          <w:rFonts w:hint="eastAsia" w:ascii="Times New Roman" w:hAnsi="Times New Roman" w:eastAsia="方正仿宋_GBK" w:cs="Times New Roman"/>
          <w:snapToGrid w:val="0"/>
          <w:spacing w:val="2"/>
          <w:sz w:val="32"/>
          <w:szCs w:val="32"/>
        </w:rPr>
        <w:t>项目预算资金为</w:t>
      </w:r>
      <w:r>
        <w:rPr>
          <w:rFonts w:ascii="Times New Roman" w:hAnsi="Times New Roman" w:eastAsia="方正仿宋_GBK" w:cs="Times New Roman"/>
          <w:snapToGrid w:val="0"/>
          <w:spacing w:val="2"/>
          <w:sz w:val="32"/>
          <w:szCs w:val="32"/>
        </w:rPr>
        <w:t>1359</w:t>
      </w:r>
      <w:r>
        <w:rPr>
          <w:rFonts w:hint="eastAsia" w:ascii="Times New Roman" w:hAnsi="Times New Roman" w:eastAsia="方正仿宋_GBK" w:cs="Times New Roman"/>
          <w:snapToGrid w:val="0"/>
          <w:spacing w:val="2"/>
          <w:sz w:val="32"/>
          <w:szCs w:val="32"/>
        </w:rPr>
        <w:t>万元，项目实际到位资金为</w:t>
      </w:r>
      <w:r>
        <w:rPr>
          <w:rFonts w:ascii="Times New Roman" w:hAnsi="Times New Roman" w:eastAsia="方正仿宋_GBK" w:cs="Times New Roman"/>
          <w:snapToGrid w:val="0"/>
          <w:spacing w:val="2"/>
          <w:sz w:val="32"/>
          <w:szCs w:val="32"/>
        </w:rPr>
        <w:t>1359</w:t>
      </w:r>
      <w:r>
        <w:rPr>
          <w:rFonts w:hint="eastAsia" w:ascii="Times New Roman" w:hAnsi="Times New Roman" w:eastAsia="方正仿宋_GBK" w:cs="Times New Roman"/>
          <w:snapToGrid w:val="0"/>
          <w:spacing w:val="2"/>
          <w:sz w:val="32"/>
          <w:szCs w:val="32"/>
        </w:rPr>
        <w:t>万元，因此资金到位率</w:t>
      </w:r>
      <w:r>
        <w:rPr>
          <w:rFonts w:ascii="Times New Roman" w:hAnsi="Times New Roman" w:eastAsia="方正仿宋_GBK" w:cs="Times New Roman"/>
          <w:snapToGrid w:val="0"/>
          <w:spacing w:val="2"/>
          <w:sz w:val="32"/>
          <w:szCs w:val="32"/>
        </w:rPr>
        <w:t>=</w:t>
      </w:r>
      <w:r>
        <w:rPr>
          <w:rFonts w:hint="eastAsia" w:ascii="Times New Roman" w:hAnsi="Times New Roman" w:eastAsia="方正仿宋_GBK" w:cs="Times New Roman"/>
          <w:snapToGrid w:val="0"/>
          <w:spacing w:val="2"/>
          <w:sz w:val="32"/>
          <w:szCs w:val="32"/>
        </w:rPr>
        <w:t>（实际到位资金</w:t>
      </w:r>
      <w:r>
        <w:rPr>
          <w:rFonts w:ascii="Times New Roman" w:hAnsi="Times New Roman" w:eastAsia="方正仿宋_GBK" w:cs="Times New Roman"/>
          <w:snapToGrid w:val="0"/>
          <w:spacing w:val="2"/>
          <w:sz w:val="32"/>
          <w:szCs w:val="32"/>
        </w:rPr>
        <w:t>/</w:t>
      </w:r>
      <w:r>
        <w:rPr>
          <w:rFonts w:hint="eastAsia" w:ascii="Times New Roman" w:hAnsi="Times New Roman" w:eastAsia="方正仿宋_GBK" w:cs="Times New Roman"/>
          <w:snapToGrid w:val="0"/>
          <w:spacing w:val="2"/>
          <w:sz w:val="32"/>
          <w:szCs w:val="32"/>
        </w:rPr>
        <w:t>预算资金）</w:t>
      </w:r>
      <w:r>
        <w:rPr>
          <w:rFonts w:ascii="Times New Roman" w:hAnsi="Times New Roman" w:eastAsia="方正仿宋_GBK" w:cs="Times New Roman"/>
          <w:snapToGrid w:val="0"/>
          <w:spacing w:val="2"/>
          <w:sz w:val="32"/>
          <w:szCs w:val="32"/>
        </w:rPr>
        <w:t>×100%=1359/1359×100%=100%</w:t>
      </w:r>
      <w:r>
        <w:rPr>
          <w:rFonts w:hint="eastAsia" w:ascii="Times New Roman" w:hAnsi="Times New Roman" w:eastAsia="方正仿宋_GBK" w:cs="Times New Roman"/>
          <w:snapToGrid w:val="0"/>
          <w:spacing w:val="2"/>
          <w:sz w:val="32"/>
          <w:szCs w:val="32"/>
        </w:rPr>
        <w:t>。故资金到位率指标得分</w:t>
      </w:r>
      <w:r>
        <w:rPr>
          <w:rFonts w:ascii="Times New Roman" w:hAnsi="Times New Roman" w:eastAsia="方正仿宋_GBK" w:cs="Times New Roman"/>
          <w:snapToGrid w:val="0"/>
          <w:spacing w:val="2"/>
          <w:sz w:val="32"/>
          <w:szCs w:val="32"/>
        </w:rPr>
        <w:t>5</w:t>
      </w:r>
      <w:r>
        <w:rPr>
          <w:rFonts w:hint="eastAsia" w:ascii="Times New Roman" w:hAnsi="Times New Roman" w:eastAsia="方正仿宋_GBK" w:cs="Times New Roman"/>
          <w:snapToGrid w:val="0"/>
          <w:spacing w:val="2"/>
          <w:sz w:val="32"/>
          <w:szCs w:val="32"/>
        </w:rPr>
        <w:t>分。</w:t>
      </w:r>
    </w:p>
    <w:p w14:paraId="4B1217BC">
      <w:pPr>
        <w:spacing w:line="560" w:lineRule="exact"/>
        <w:ind w:firstLine="643"/>
        <w:rPr>
          <w:rFonts w:ascii="Times New Roman" w:hAnsi="Times New Roman" w:eastAsia="方正仿宋_GBK" w:cs="Times New Roman"/>
          <w:snapToGrid w:val="0"/>
          <w:spacing w:val="2"/>
          <w:sz w:val="32"/>
          <w:szCs w:val="32"/>
        </w:rPr>
      </w:pPr>
      <w:r>
        <w:rPr>
          <w:rFonts w:hint="eastAsia" w:ascii="Times New Roman" w:hAnsi="Times New Roman" w:cs="Times New Roman"/>
          <w:b/>
          <w:bCs/>
          <w:sz w:val="32"/>
          <w:szCs w:val="32"/>
        </w:rPr>
        <w:t>预算执行率：</w:t>
      </w:r>
      <w:r>
        <w:rPr>
          <w:rFonts w:hint="eastAsia" w:ascii="Times New Roman" w:hAnsi="Times New Roman" w:eastAsia="方正仿宋_GBK" w:cs="Times New Roman"/>
          <w:snapToGrid w:val="0"/>
          <w:spacing w:val="2"/>
          <w:sz w:val="32"/>
          <w:szCs w:val="32"/>
        </w:rPr>
        <w:t>项目实际到位资金为</w:t>
      </w:r>
      <w:r>
        <w:rPr>
          <w:rFonts w:ascii="Times New Roman" w:hAnsi="Times New Roman" w:eastAsia="方正仿宋_GBK" w:cs="Times New Roman"/>
          <w:snapToGrid w:val="0"/>
          <w:spacing w:val="2"/>
          <w:sz w:val="32"/>
          <w:szCs w:val="32"/>
        </w:rPr>
        <w:t>1359</w:t>
      </w:r>
      <w:r>
        <w:rPr>
          <w:rFonts w:hint="eastAsia" w:ascii="Times New Roman" w:hAnsi="Times New Roman" w:eastAsia="方正仿宋_GBK" w:cs="Times New Roman"/>
          <w:snapToGrid w:val="0"/>
          <w:spacing w:val="2"/>
          <w:sz w:val="32"/>
          <w:szCs w:val="32"/>
        </w:rPr>
        <w:t>万元，项目实际支出资金为</w:t>
      </w:r>
      <w:r>
        <w:rPr>
          <w:rFonts w:ascii="Times New Roman" w:hAnsi="Times New Roman" w:eastAsia="方正仿宋_GBK" w:cs="Times New Roman"/>
          <w:snapToGrid w:val="0"/>
          <w:spacing w:val="2"/>
          <w:sz w:val="32"/>
          <w:szCs w:val="32"/>
        </w:rPr>
        <w:t>1359</w:t>
      </w:r>
      <w:r>
        <w:rPr>
          <w:rFonts w:hint="eastAsia" w:ascii="Times New Roman" w:hAnsi="Times New Roman" w:eastAsia="方正仿宋_GBK" w:cs="Times New Roman"/>
          <w:snapToGrid w:val="0"/>
          <w:spacing w:val="2"/>
          <w:sz w:val="32"/>
          <w:szCs w:val="32"/>
        </w:rPr>
        <w:t>万元，预算执行率</w:t>
      </w:r>
      <w:r>
        <w:rPr>
          <w:rFonts w:ascii="Times New Roman" w:hAnsi="Times New Roman" w:eastAsia="方正仿宋_GBK" w:cs="Times New Roman"/>
          <w:snapToGrid w:val="0"/>
          <w:spacing w:val="2"/>
          <w:sz w:val="32"/>
          <w:szCs w:val="32"/>
        </w:rPr>
        <w:t>=</w:t>
      </w:r>
      <w:r>
        <w:rPr>
          <w:rFonts w:hint="eastAsia" w:ascii="Times New Roman" w:hAnsi="Times New Roman" w:eastAsia="方正仿宋_GBK" w:cs="Times New Roman"/>
          <w:snapToGrid w:val="0"/>
          <w:spacing w:val="2"/>
          <w:sz w:val="32"/>
          <w:szCs w:val="32"/>
        </w:rPr>
        <w:t>（实际支出资金</w:t>
      </w:r>
      <w:r>
        <w:rPr>
          <w:rFonts w:ascii="Times New Roman" w:hAnsi="Times New Roman" w:eastAsia="方正仿宋_GBK" w:cs="Times New Roman"/>
          <w:snapToGrid w:val="0"/>
          <w:spacing w:val="2"/>
          <w:sz w:val="32"/>
          <w:szCs w:val="32"/>
        </w:rPr>
        <w:t>/</w:t>
      </w:r>
      <w:r>
        <w:rPr>
          <w:rFonts w:hint="eastAsia" w:ascii="Times New Roman" w:hAnsi="Times New Roman" w:eastAsia="方正仿宋_GBK" w:cs="Times New Roman"/>
          <w:snapToGrid w:val="0"/>
          <w:spacing w:val="2"/>
          <w:sz w:val="32"/>
          <w:szCs w:val="32"/>
        </w:rPr>
        <w:t>实际到位资金）</w:t>
      </w:r>
      <w:r>
        <w:rPr>
          <w:rFonts w:ascii="Times New Roman" w:hAnsi="Times New Roman" w:eastAsia="方正仿宋_GBK" w:cs="Times New Roman"/>
          <w:snapToGrid w:val="0"/>
          <w:spacing w:val="2"/>
          <w:sz w:val="32"/>
          <w:szCs w:val="32"/>
        </w:rPr>
        <w:t>×100%=1359/1359×100%=100%</w:t>
      </w:r>
      <w:r>
        <w:rPr>
          <w:rFonts w:hint="eastAsia" w:ascii="Times New Roman" w:hAnsi="Times New Roman" w:eastAsia="方正仿宋_GBK" w:cs="Times New Roman"/>
          <w:snapToGrid w:val="0"/>
          <w:spacing w:val="2"/>
          <w:sz w:val="32"/>
          <w:szCs w:val="32"/>
        </w:rPr>
        <w:t>。故预算执行率得分为</w:t>
      </w:r>
      <w:r>
        <w:rPr>
          <w:rFonts w:ascii="Times New Roman" w:hAnsi="Times New Roman" w:eastAsia="方正仿宋_GBK" w:cs="Times New Roman"/>
          <w:snapToGrid w:val="0"/>
          <w:spacing w:val="2"/>
          <w:sz w:val="32"/>
          <w:szCs w:val="32"/>
        </w:rPr>
        <w:t>5</w:t>
      </w:r>
      <w:r>
        <w:rPr>
          <w:rFonts w:hint="eastAsia" w:ascii="Times New Roman" w:hAnsi="Times New Roman" w:eastAsia="方正仿宋_GBK" w:cs="Times New Roman"/>
          <w:snapToGrid w:val="0"/>
          <w:spacing w:val="2"/>
          <w:sz w:val="32"/>
          <w:szCs w:val="32"/>
        </w:rPr>
        <w:t>分。</w:t>
      </w:r>
    </w:p>
    <w:p w14:paraId="198397BA">
      <w:pPr>
        <w:spacing w:line="560" w:lineRule="exact"/>
        <w:ind w:firstLine="643"/>
        <w:rPr>
          <w:rFonts w:ascii="Times New Roman" w:hAnsi="Times New Roman" w:eastAsia="方正仿宋_GBK" w:cs="Times New Roman"/>
          <w:snapToGrid w:val="0"/>
          <w:spacing w:val="2"/>
          <w:sz w:val="32"/>
          <w:szCs w:val="32"/>
          <w:highlight w:val="yellow"/>
        </w:rPr>
      </w:pPr>
      <w:r>
        <w:rPr>
          <w:rFonts w:hint="eastAsia" w:ascii="Times New Roman" w:hAnsi="Times New Roman" w:cs="Times New Roman"/>
          <w:b/>
          <w:bCs/>
          <w:sz w:val="32"/>
          <w:szCs w:val="32"/>
        </w:rPr>
        <w:t>资金使用合规性：</w:t>
      </w:r>
      <w:r>
        <w:rPr>
          <w:rFonts w:hint="eastAsia" w:ascii="Times New Roman" w:hAnsi="Times New Roman" w:eastAsia="方正仿宋_GBK" w:cs="Times New Roman"/>
          <w:snapToGrid w:val="0"/>
          <w:spacing w:val="2"/>
          <w:sz w:val="32"/>
          <w:szCs w:val="32"/>
        </w:rPr>
        <w:t>本项目资金的使用符合《关于印发＜乌鲁木齐市财政专项资金使用跟踪反馈管理暂行办法＞的通知》（乌财预[2018]41号）的规定。同时，资金的拨付先通过单位内部组织召开会议，根据项目实施方案讨论项目实施进度申请资金支付，单位内部会议通过后，上报局党组会议，会议通过后将会议纪要传达至综合科室，财务相关负责人员提交用款计划，财政层层审核，财政资金下达后进行支付申请。以上流程有大额资金批复、签批单、会议纪要等审批程序及其他必需相对应的手续。符合项目预算批复或合同规定的用途，不存在截留、挤占、挪用、虚列支出等情况。故资金使用合规性得分为</w:t>
      </w:r>
      <w:r>
        <w:rPr>
          <w:rFonts w:ascii="Times New Roman" w:hAnsi="Times New Roman" w:eastAsia="方正仿宋_GBK" w:cs="Times New Roman"/>
          <w:snapToGrid w:val="0"/>
          <w:spacing w:val="2"/>
          <w:sz w:val="32"/>
          <w:szCs w:val="32"/>
        </w:rPr>
        <w:t>3</w:t>
      </w:r>
      <w:r>
        <w:rPr>
          <w:rFonts w:hint="eastAsia" w:ascii="Times New Roman" w:hAnsi="Times New Roman" w:eastAsia="方正仿宋_GBK" w:cs="Times New Roman"/>
          <w:snapToGrid w:val="0"/>
          <w:spacing w:val="2"/>
          <w:sz w:val="32"/>
          <w:szCs w:val="32"/>
        </w:rPr>
        <w:t>分。</w:t>
      </w:r>
    </w:p>
    <w:p w14:paraId="140E54DB">
      <w:pPr>
        <w:autoSpaceDE w:val="0"/>
        <w:spacing w:line="560" w:lineRule="exact"/>
        <w:ind w:firstLine="643"/>
        <w:rPr>
          <w:rFonts w:ascii="Times New Roman" w:hAnsi="Times New Roman" w:cs="Times New Roman"/>
          <w:b/>
          <w:kern w:val="0"/>
          <w:sz w:val="32"/>
          <w:szCs w:val="32"/>
        </w:rPr>
      </w:pPr>
      <w:r>
        <w:rPr>
          <w:rFonts w:hint="eastAsia" w:ascii="Times New Roman" w:hAnsi="Times New Roman" w:cs="Times New Roman"/>
          <w:b/>
          <w:kern w:val="0"/>
          <w:sz w:val="32"/>
          <w:szCs w:val="32"/>
        </w:rPr>
        <w:t>综上，该指标满分</w:t>
      </w:r>
      <w:r>
        <w:rPr>
          <w:rFonts w:ascii="Times New Roman" w:hAnsi="Times New Roman" w:cs="Times New Roman"/>
          <w:b/>
          <w:kern w:val="0"/>
          <w:sz w:val="32"/>
          <w:szCs w:val="32"/>
        </w:rPr>
        <w:t>13</w:t>
      </w:r>
      <w:r>
        <w:rPr>
          <w:rFonts w:hint="eastAsia" w:ascii="Times New Roman" w:hAnsi="Times New Roman" w:cs="Times New Roman"/>
          <w:b/>
          <w:kern w:val="0"/>
          <w:sz w:val="32"/>
          <w:szCs w:val="32"/>
        </w:rPr>
        <w:t>分，得分</w:t>
      </w:r>
      <w:r>
        <w:rPr>
          <w:rFonts w:ascii="Times New Roman" w:hAnsi="Times New Roman" w:cs="Times New Roman"/>
          <w:b/>
          <w:kern w:val="0"/>
          <w:sz w:val="32"/>
          <w:szCs w:val="32"/>
        </w:rPr>
        <w:t>13</w:t>
      </w:r>
      <w:r>
        <w:rPr>
          <w:rFonts w:hint="eastAsia" w:ascii="Times New Roman" w:hAnsi="Times New Roman" w:cs="Times New Roman"/>
          <w:b/>
          <w:kern w:val="0"/>
          <w:sz w:val="32"/>
          <w:szCs w:val="32"/>
        </w:rPr>
        <w:t>分。</w:t>
      </w:r>
    </w:p>
    <w:p w14:paraId="14FA3C5E">
      <w:pPr>
        <w:pStyle w:val="4"/>
        <w:spacing w:before="0" w:after="0" w:line="560" w:lineRule="exact"/>
        <w:ind w:firstLine="643"/>
        <w:rPr>
          <w:rFonts w:ascii="Times New Roman" w:hAnsi="Times New Roman" w:cs="Times New Roman"/>
        </w:rPr>
      </w:pPr>
      <w:bookmarkStart w:id="42" w:name="_Toc165277247"/>
      <w:r>
        <w:rPr>
          <w:rFonts w:ascii="Times New Roman" w:hAnsi="Times New Roman" w:cs="Times New Roman"/>
        </w:rPr>
        <w:t>2.</w:t>
      </w:r>
      <w:r>
        <w:rPr>
          <w:rFonts w:hint="eastAsia" w:ascii="Times New Roman" w:hAnsi="Times New Roman" w:cs="Times New Roman"/>
        </w:rPr>
        <w:t>组织实施</w:t>
      </w:r>
      <w:bookmarkEnd w:id="42"/>
    </w:p>
    <w:p w14:paraId="49C2F066">
      <w:pPr>
        <w:spacing w:line="560" w:lineRule="exact"/>
        <w:ind w:firstLine="643"/>
        <w:rPr>
          <w:rFonts w:ascii="Times New Roman" w:hAnsi="Times New Roman" w:eastAsia="方正仿宋_GBK" w:cs="Times New Roman"/>
          <w:snapToGrid w:val="0"/>
          <w:color w:val="FF0000"/>
          <w:spacing w:val="2"/>
          <w:sz w:val="32"/>
          <w:szCs w:val="32"/>
        </w:rPr>
      </w:pPr>
      <w:r>
        <w:rPr>
          <w:rFonts w:hint="eastAsia" w:ascii="Times New Roman" w:hAnsi="Times New Roman" w:cs="Times New Roman"/>
          <w:b/>
          <w:bCs/>
          <w:sz w:val="32"/>
          <w:szCs w:val="32"/>
        </w:rPr>
        <w:t>管理制度健全性：</w:t>
      </w:r>
      <w:r>
        <w:rPr>
          <w:rFonts w:hint="eastAsia" w:ascii="Times New Roman" w:hAnsi="Times New Roman" w:eastAsia="方正仿宋_GBK" w:cs="Times New Roman"/>
          <w:snapToGrid w:val="0"/>
          <w:spacing w:val="2"/>
          <w:sz w:val="32"/>
          <w:szCs w:val="32"/>
        </w:rPr>
        <w:t>乌鲁木齐市松材线虫病等重大林业有害生物防治能力提升工程建设项目已制定行政事业单位内部控制报告，且制度合法、合规、完整，为项目顺利实施提供重要保障。故管理制度健全性得分为</w:t>
      </w:r>
      <w:r>
        <w:rPr>
          <w:rFonts w:ascii="Times New Roman" w:hAnsi="Times New Roman" w:eastAsia="方正仿宋_GBK" w:cs="Times New Roman"/>
          <w:snapToGrid w:val="0"/>
          <w:spacing w:val="2"/>
          <w:sz w:val="32"/>
          <w:szCs w:val="32"/>
        </w:rPr>
        <w:t>3</w:t>
      </w:r>
      <w:r>
        <w:rPr>
          <w:rFonts w:hint="eastAsia" w:ascii="Times New Roman" w:hAnsi="Times New Roman" w:eastAsia="方正仿宋_GBK" w:cs="Times New Roman"/>
          <w:snapToGrid w:val="0"/>
          <w:spacing w:val="2"/>
          <w:sz w:val="32"/>
          <w:szCs w:val="32"/>
        </w:rPr>
        <w:t>分。</w:t>
      </w:r>
    </w:p>
    <w:p w14:paraId="41936B5F">
      <w:pPr>
        <w:spacing w:line="560" w:lineRule="exact"/>
        <w:ind w:firstLine="643"/>
        <w:rPr>
          <w:rFonts w:ascii="Times New Roman" w:hAnsi="Times New Roman" w:eastAsia="方正仿宋_GBK" w:cs="Times New Roman"/>
          <w:snapToGrid w:val="0"/>
          <w:spacing w:val="2"/>
          <w:sz w:val="32"/>
          <w:szCs w:val="32"/>
        </w:rPr>
      </w:pPr>
      <w:r>
        <w:rPr>
          <w:rFonts w:hint="eastAsia" w:ascii="Times New Roman" w:hAnsi="Times New Roman" w:cs="Times New Roman"/>
          <w:b/>
          <w:bCs/>
          <w:sz w:val="32"/>
          <w:szCs w:val="32"/>
        </w:rPr>
        <w:t>制度执行有效性：</w:t>
      </w:r>
      <w:r>
        <w:rPr>
          <w:rFonts w:hint="eastAsia" w:ascii="Times New Roman" w:hAnsi="Times New Roman" w:eastAsia="方正仿宋_GBK" w:cs="Times New Roman"/>
          <w:snapToGrid w:val="0"/>
          <w:spacing w:val="2"/>
          <w:sz w:val="32"/>
          <w:szCs w:val="32"/>
        </w:rPr>
        <w:t>根据评价小组核查情况，本项目严格遵守相关法律法规和相关管理规定，项目调整及支出调整手续完备，整体管理合理有序，项目完成后，及时将会计凭证、固定资产入库单等相关资料分类归档，制度执行有效。故制度执行有效性指标得分</w:t>
      </w:r>
      <w:r>
        <w:rPr>
          <w:rFonts w:ascii="Times New Roman" w:hAnsi="Times New Roman" w:eastAsia="方正仿宋_GBK" w:cs="Times New Roman"/>
          <w:snapToGrid w:val="0"/>
          <w:spacing w:val="2"/>
          <w:sz w:val="32"/>
          <w:szCs w:val="32"/>
        </w:rPr>
        <w:t>4</w:t>
      </w:r>
      <w:r>
        <w:rPr>
          <w:rFonts w:hint="eastAsia" w:ascii="Times New Roman" w:hAnsi="Times New Roman" w:eastAsia="方正仿宋_GBK" w:cs="Times New Roman"/>
          <w:snapToGrid w:val="0"/>
          <w:spacing w:val="2"/>
          <w:sz w:val="32"/>
          <w:szCs w:val="32"/>
        </w:rPr>
        <w:t>分。</w:t>
      </w:r>
    </w:p>
    <w:p w14:paraId="0267A179">
      <w:pPr>
        <w:autoSpaceDE w:val="0"/>
        <w:spacing w:line="560" w:lineRule="exact"/>
        <w:ind w:firstLine="643"/>
        <w:rPr>
          <w:rFonts w:ascii="Times New Roman" w:hAnsi="Times New Roman" w:cs="Times New Roman"/>
          <w:b/>
          <w:kern w:val="0"/>
          <w:sz w:val="32"/>
          <w:szCs w:val="32"/>
        </w:rPr>
      </w:pPr>
      <w:r>
        <w:rPr>
          <w:rFonts w:hint="eastAsia" w:ascii="Times New Roman" w:hAnsi="Times New Roman" w:cs="Times New Roman"/>
          <w:b/>
          <w:kern w:val="0"/>
          <w:sz w:val="32"/>
          <w:szCs w:val="32"/>
        </w:rPr>
        <w:t>综上，该指标满分</w:t>
      </w:r>
      <w:r>
        <w:rPr>
          <w:rFonts w:ascii="Times New Roman" w:hAnsi="Times New Roman" w:cs="Times New Roman"/>
          <w:b/>
          <w:kern w:val="0"/>
          <w:sz w:val="32"/>
          <w:szCs w:val="32"/>
        </w:rPr>
        <w:t>7</w:t>
      </w:r>
      <w:r>
        <w:rPr>
          <w:rFonts w:hint="eastAsia" w:ascii="Times New Roman" w:hAnsi="Times New Roman" w:cs="Times New Roman"/>
          <w:b/>
          <w:kern w:val="0"/>
          <w:sz w:val="32"/>
          <w:szCs w:val="32"/>
        </w:rPr>
        <w:t>分，得分</w:t>
      </w:r>
      <w:r>
        <w:rPr>
          <w:rFonts w:ascii="Times New Roman" w:hAnsi="Times New Roman" w:cs="Times New Roman"/>
          <w:b/>
          <w:kern w:val="0"/>
          <w:sz w:val="32"/>
          <w:szCs w:val="32"/>
        </w:rPr>
        <w:t>7</w:t>
      </w:r>
      <w:r>
        <w:rPr>
          <w:rFonts w:hint="eastAsia" w:ascii="Times New Roman" w:hAnsi="Times New Roman" w:cs="Times New Roman"/>
          <w:b/>
          <w:kern w:val="0"/>
          <w:sz w:val="32"/>
          <w:szCs w:val="32"/>
        </w:rPr>
        <w:t>分。</w:t>
      </w:r>
    </w:p>
    <w:p w14:paraId="3E8D2227">
      <w:pPr>
        <w:pStyle w:val="3"/>
        <w:spacing w:before="0" w:after="0" w:line="560" w:lineRule="exact"/>
        <w:ind w:firstLine="643"/>
        <w:rPr>
          <w:rFonts w:ascii="Times New Roman" w:hAnsi="Times New Roman" w:eastAsia="仿宋"/>
        </w:rPr>
      </w:pPr>
      <w:bookmarkStart w:id="43" w:name="_Toc165277248"/>
      <w:bookmarkStart w:id="44" w:name="_Toc67911614"/>
      <w:r>
        <w:rPr>
          <w:rFonts w:hint="eastAsia" w:ascii="Times New Roman" w:hAnsi="Times New Roman" w:eastAsia="仿宋"/>
        </w:rPr>
        <w:t>（三）项目产出情况</w:t>
      </w:r>
      <w:bookmarkEnd w:id="43"/>
      <w:bookmarkEnd w:id="44"/>
    </w:p>
    <w:p w14:paraId="2261EFAF">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项目产出指标由</w:t>
      </w:r>
      <w:r>
        <w:rPr>
          <w:rFonts w:ascii="Times New Roman" w:hAnsi="Times New Roman" w:cs="Times New Roman"/>
          <w:sz w:val="32"/>
          <w:szCs w:val="32"/>
        </w:rPr>
        <w:t>3</w:t>
      </w:r>
      <w:r>
        <w:rPr>
          <w:rFonts w:hint="eastAsia" w:ascii="Times New Roman" w:hAnsi="Times New Roman" w:cs="Times New Roman"/>
          <w:sz w:val="32"/>
          <w:szCs w:val="32"/>
        </w:rPr>
        <w:t>个二级指标和</w:t>
      </w:r>
      <w:r>
        <w:rPr>
          <w:rFonts w:ascii="Times New Roman" w:hAnsi="Times New Roman" w:cs="Times New Roman"/>
          <w:sz w:val="32"/>
          <w:szCs w:val="32"/>
        </w:rPr>
        <w:t>5</w:t>
      </w:r>
      <w:r>
        <w:rPr>
          <w:rFonts w:hint="eastAsia" w:ascii="Times New Roman" w:hAnsi="Times New Roman" w:cs="Times New Roman"/>
          <w:sz w:val="32"/>
          <w:szCs w:val="32"/>
        </w:rPr>
        <w:t>个三级指标构成，权重为</w:t>
      </w:r>
      <w:r>
        <w:rPr>
          <w:rFonts w:ascii="Times New Roman" w:hAnsi="Times New Roman" w:cs="Times New Roman"/>
          <w:sz w:val="32"/>
          <w:szCs w:val="32"/>
        </w:rPr>
        <w:t>40</w:t>
      </w:r>
      <w:r>
        <w:rPr>
          <w:rFonts w:hint="eastAsia" w:ascii="Times New Roman" w:hAnsi="Times New Roman" w:cs="Times New Roman"/>
          <w:sz w:val="32"/>
          <w:szCs w:val="32"/>
        </w:rPr>
        <w:t>分，实际得分</w:t>
      </w:r>
      <w:r>
        <w:rPr>
          <w:rFonts w:ascii="Times New Roman" w:hAnsi="Times New Roman" w:cs="Times New Roman"/>
          <w:sz w:val="32"/>
          <w:szCs w:val="32"/>
        </w:rPr>
        <w:t>40</w:t>
      </w:r>
      <w:r>
        <w:rPr>
          <w:rFonts w:hint="eastAsia" w:ascii="Times New Roman" w:hAnsi="Times New Roman" w:cs="Times New Roman"/>
          <w:sz w:val="32"/>
          <w:szCs w:val="32"/>
        </w:rPr>
        <w:t>分。</w:t>
      </w:r>
    </w:p>
    <w:p w14:paraId="642EA26D">
      <w:pPr>
        <w:pStyle w:val="4"/>
        <w:spacing w:before="0" w:after="0" w:line="560" w:lineRule="exact"/>
        <w:ind w:firstLine="643"/>
        <w:rPr>
          <w:rFonts w:ascii="Times New Roman" w:hAnsi="Times New Roman" w:cs="Times New Roman"/>
        </w:rPr>
      </w:pPr>
      <w:bookmarkStart w:id="45" w:name="_Toc165277249"/>
      <w:r>
        <w:rPr>
          <w:rFonts w:ascii="Times New Roman" w:hAnsi="Times New Roman" w:cs="Times New Roman"/>
        </w:rPr>
        <w:t>1.</w:t>
      </w:r>
      <w:r>
        <w:rPr>
          <w:rFonts w:hint="eastAsia" w:ascii="Times New Roman" w:hAnsi="Times New Roman" w:cs="Times New Roman"/>
        </w:rPr>
        <w:t>产出数量</w:t>
      </w:r>
      <w:bookmarkEnd w:id="45"/>
    </w:p>
    <w:p w14:paraId="796E2DE5">
      <w:pPr>
        <w:spacing w:line="560" w:lineRule="exact"/>
        <w:ind w:firstLine="640"/>
        <w:rPr>
          <w:rFonts w:ascii="Times New Roman" w:hAnsi="Times New Roman" w:cs="Times New Roman"/>
          <w:bCs/>
          <w:sz w:val="32"/>
          <w:szCs w:val="32"/>
        </w:rPr>
      </w:pPr>
      <w:r>
        <w:rPr>
          <w:rFonts w:hint="eastAsia" w:ascii="Times New Roman" w:hAnsi="Times New Roman" w:cs="Times New Roman"/>
          <w:bCs/>
          <w:sz w:val="32"/>
          <w:szCs w:val="32"/>
        </w:rPr>
        <w:t>数量指标</w:t>
      </w:r>
      <w:r>
        <w:rPr>
          <w:rFonts w:ascii="Times New Roman" w:hAnsi="Times New Roman" w:cs="Times New Roman"/>
          <w:bCs/>
          <w:sz w:val="32"/>
          <w:szCs w:val="32"/>
        </w:rPr>
        <w:t>“</w:t>
      </w:r>
      <w:r>
        <w:rPr>
          <w:rFonts w:hint="eastAsia" w:ascii="Times New Roman" w:hAnsi="Times New Roman" w:cs="Times New Roman"/>
          <w:bCs/>
          <w:sz w:val="32"/>
          <w:szCs w:val="32"/>
        </w:rPr>
        <w:t>支持项目数量</w:t>
      </w:r>
      <w:r>
        <w:rPr>
          <w:rFonts w:ascii="Times New Roman" w:hAnsi="Times New Roman" w:cs="Times New Roman"/>
          <w:bCs/>
          <w:sz w:val="32"/>
          <w:szCs w:val="32"/>
        </w:rPr>
        <w:t>”</w:t>
      </w:r>
      <w:r>
        <w:rPr>
          <w:rFonts w:hint="eastAsia" w:ascii="Times New Roman" w:hAnsi="Times New Roman" w:cs="Times New Roman"/>
          <w:bCs/>
          <w:sz w:val="32"/>
          <w:szCs w:val="32"/>
        </w:rPr>
        <w:t>的目标值是</w:t>
      </w:r>
      <w:r>
        <w:rPr>
          <w:rFonts w:ascii="Times New Roman" w:hAnsi="Times New Roman" w:cs="Times New Roman"/>
          <w:bCs/>
          <w:sz w:val="32"/>
          <w:szCs w:val="32"/>
        </w:rPr>
        <w:t>1</w:t>
      </w:r>
      <w:r>
        <w:rPr>
          <w:rFonts w:hint="eastAsia" w:ascii="Times New Roman" w:hAnsi="Times New Roman" w:cs="Times New Roman"/>
          <w:bCs/>
          <w:sz w:val="32"/>
          <w:szCs w:val="32"/>
        </w:rPr>
        <w:t>个，</w:t>
      </w:r>
      <w:r>
        <w:rPr>
          <w:rFonts w:ascii="Times New Roman" w:hAnsi="Times New Roman" w:cs="Times New Roman"/>
          <w:bCs/>
          <w:sz w:val="32"/>
          <w:szCs w:val="32"/>
        </w:rPr>
        <w:t>2023</w:t>
      </w:r>
      <w:r>
        <w:rPr>
          <w:rFonts w:hint="eastAsia" w:ascii="Times New Roman" w:hAnsi="Times New Roman" w:cs="Times New Roman"/>
          <w:bCs/>
          <w:sz w:val="32"/>
          <w:szCs w:val="32"/>
        </w:rPr>
        <w:t>年度我单位实际完成</w:t>
      </w:r>
      <w:r>
        <w:rPr>
          <w:rFonts w:ascii="Times New Roman" w:hAnsi="Times New Roman" w:cs="Times New Roman"/>
          <w:bCs/>
          <w:sz w:val="32"/>
          <w:szCs w:val="32"/>
        </w:rPr>
        <w:t>1</w:t>
      </w:r>
      <w:r>
        <w:rPr>
          <w:rFonts w:hint="eastAsia" w:ascii="Times New Roman" w:hAnsi="Times New Roman" w:cs="Times New Roman"/>
          <w:bCs/>
          <w:sz w:val="32"/>
          <w:szCs w:val="32"/>
        </w:rPr>
        <w:t>个。</w:t>
      </w:r>
    </w:p>
    <w:p w14:paraId="0190B370">
      <w:pPr>
        <w:spacing w:line="560" w:lineRule="exact"/>
        <w:ind w:firstLine="640"/>
        <w:rPr>
          <w:rFonts w:ascii="Times New Roman" w:hAnsi="Times New Roman" w:cs="Times New Roman"/>
          <w:bCs/>
          <w:sz w:val="32"/>
          <w:szCs w:val="32"/>
        </w:rPr>
      </w:pPr>
      <w:r>
        <w:rPr>
          <w:rFonts w:hint="eastAsia" w:ascii="Times New Roman" w:hAnsi="Times New Roman" w:cs="Times New Roman"/>
          <w:bCs/>
          <w:sz w:val="32"/>
          <w:szCs w:val="32"/>
        </w:rPr>
        <w:t>实际完成率：实际完成</w:t>
      </w:r>
      <w:r>
        <w:rPr>
          <w:rFonts w:ascii="Times New Roman" w:hAnsi="Times New Roman" w:cs="Times New Roman"/>
          <w:bCs/>
          <w:sz w:val="32"/>
          <w:szCs w:val="32"/>
        </w:rPr>
        <w:t>1</w:t>
      </w:r>
      <w:r>
        <w:rPr>
          <w:rFonts w:hint="eastAsia" w:ascii="Times New Roman" w:hAnsi="Times New Roman" w:cs="Times New Roman"/>
          <w:bCs/>
          <w:sz w:val="32"/>
          <w:szCs w:val="32"/>
        </w:rPr>
        <w:t>个，年度指标完成率</w:t>
      </w:r>
      <w:r>
        <w:rPr>
          <w:rFonts w:ascii="Times New Roman" w:hAnsi="Times New Roman" w:cs="Times New Roman"/>
          <w:bCs/>
          <w:sz w:val="32"/>
          <w:szCs w:val="32"/>
        </w:rPr>
        <w:t>100%</w:t>
      </w:r>
      <w:r>
        <w:rPr>
          <w:rFonts w:hint="eastAsia" w:ascii="Times New Roman" w:hAnsi="Times New Roman" w:cs="Times New Roman"/>
          <w:bCs/>
          <w:sz w:val="32"/>
          <w:szCs w:val="32"/>
        </w:rPr>
        <w:t>。</w:t>
      </w:r>
    </w:p>
    <w:p w14:paraId="1FC44E9D">
      <w:pPr>
        <w:spacing w:line="560" w:lineRule="exact"/>
        <w:ind w:firstLine="640"/>
        <w:rPr>
          <w:rFonts w:ascii="Times New Roman" w:hAnsi="Times New Roman" w:cs="Times New Roman"/>
          <w:bCs/>
          <w:sz w:val="32"/>
          <w:szCs w:val="32"/>
        </w:rPr>
      </w:pPr>
      <w:r>
        <w:rPr>
          <w:rFonts w:hint="eastAsia" w:ascii="Times New Roman" w:hAnsi="Times New Roman" w:cs="Times New Roman"/>
          <w:bCs/>
          <w:sz w:val="32"/>
          <w:szCs w:val="32"/>
        </w:rPr>
        <w:t>该项指标满分</w:t>
      </w:r>
      <w:r>
        <w:rPr>
          <w:rFonts w:ascii="Times New Roman" w:hAnsi="Times New Roman" w:cs="Times New Roman"/>
          <w:bCs/>
          <w:sz w:val="32"/>
          <w:szCs w:val="32"/>
        </w:rPr>
        <w:t>5</w:t>
      </w:r>
      <w:r>
        <w:rPr>
          <w:rFonts w:hint="eastAsia" w:ascii="Times New Roman" w:hAnsi="Times New Roman" w:cs="Times New Roman"/>
          <w:bCs/>
          <w:sz w:val="32"/>
          <w:szCs w:val="32"/>
        </w:rPr>
        <w:t>分，故实际完成率得分为</w:t>
      </w:r>
      <w:r>
        <w:rPr>
          <w:rFonts w:ascii="Times New Roman" w:hAnsi="Times New Roman" w:cs="Times New Roman"/>
          <w:bCs/>
          <w:sz w:val="32"/>
          <w:szCs w:val="32"/>
        </w:rPr>
        <w:t>5</w:t>
      </w:r>
      <w:r>
        <w:rPr>
          <w:rFonts w:hint="eastAsia" w:ascii="Times New Roman" w:hAnsi="Times New Roman" w:cs="Times New Roman"/>
          <w:bCs/>
          <w:sz w:val="32"/>
          <w:szCs w:val="32"/>
        </w:rPr>
        <w:t>分。</w:t>
      </w:r>
    </w:p>
    <w:p w14:paraId="37474973">
      <w:pPr>
        <w:pStyle w:val="4"/>
        <w:spacing w:before="0" w:after="0" w:line="560" w:lineRule="exact"/>
        <w:ind w:firstLine="643"/>
        <w:rPr>
          <w:rFonts w:ascii="Times New Roman" w:hAnsi="Times New Roman" w:cs="Times New Roman"/>
        </w:rPr>
      </w:pPr>
      <w:bookmarkStart w:id="46" w:name="_Toc165277250"/>
      <w:r>
        <w:rPr>
          <w:rFonts w:ascii="Times New Roman" w:hAnsi="Times New Roman" w:cs="Times New Roman"/>
        </w:rPr>
        <w:t>2.</w:t>
      </w:r>
      <w:r>
        <w:rPr>
          <w:rFonts w:hint="eastAsia" w:ascii="Times New Roman" w:hAnsi="Times New Roman" w:cs="Times New Roman"/>
        </w:rPr>
        <w:t>产出质量</w:t>
      </w:r>
      <w:bookmarkEnd w:id="46"/>
    </w:p>
    <w:p w14:paraId="0AF5BD58">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采购设备合格率（</w:t>
      </w:r>
      <w:r>
        <w:rPr>
          <w:rFonts w:ascii="Times New Roman" w:hAnsi="Times New Roman" w:cs="Times New Roman"/>
          <w:b/>
          <w:bCs/>
          <w:sz w:val="32"/>
          <w:szCs w:val="32"/>
        </w:rPr>
        <w:t>%</w:t>
      </w:r>
      <w:r>
        <w:rPr>
          <w:rFonts w:hint="eastAsia" w:ascii="Times New Roman" w:hAnsi="Times New Roman" w:cs="Times New Roman"/>
          <w:b/>
          <w:bCs/>
          <w:sz w:val="32"/>
          <w:szCs w:val="32"/>
        </w:rPr>
        <w:t>）：</w:t>
      </w:r>
      <w:r>
        <w:rPr>
          <w:rFonts w:ascii="Times New Roman" w:hAnsi="Times New Roman" w:cs="Times New Roman"/>
          <w:sz w:val="32"/>
          <w:szCs w:val="32"/>
        </w:rPr>
        <w:t>“</w:t>
      </w:r>
      <w:r>
        <w:rPr>
          <w:rFonts w:hint="eastAsia" w:ascii="Times New Roman" w:hAnsi="Times New Roman" w:cs="Times New Roman"/>
          <w:sz w:val="32"/>
          <w:szCs w:val="32"/>
        </w:rPr>
        <w:t>采购设备合格率</w:t>
      </w:r>
      <w:r>
        <w:rPr>
          <w:rFonts w:ascii="Times New Roman" w:hAnsi="Times New Roman" w:cs="Times New Roman"/>
          <w:sz w:val="32"/>
          <w:szCs w:val="32"/>
        </w:rPr>
        <w:t>”</w:t>
      </w:r>
      <w:r>
        <w:rPr>
          <w:rFonts w:hint="eastAsia" w:ascii="Times New Roman" w:hAnsi="Times New Roman" w:cs="Times New Roman"/>
          <w:sz w:val="32"/>
          <w:szCs w:val="32"/>
        </w:rPr>
        <w:t>的目标值为</w:t>
      </w:r>
      <w:r>
        <w:rPr>
          <w:rFonts w:ascii="Times New Roman" w:hAnsi="Times New Roman" w:cs="Times New Roman"/>
          <w:sz w:val="32"/>
          <w:szCs w:val="32"/>
        </w:rPr>
        <w:t>100%</w:t>
      </w:r>
      <w:r>
        <w:rPr>
          <w:rFonts w:hint="eastAsia" w:ascii="Times New Roman" w:hAnsi="Times New Roman" w:cs="Times New Roman"/>
          <w:sz w:val="32"/>
          <w:szCs w:val="32"/>
        </w:rPr>
        <w:t>。实际完成值为</w:t>
      </w:r>
      <w:r>
        <w:rPr>
          <w:rFonts w:ascii="Times New Roman" w:hAnsi="Times New Roman" w:cs="Times New Roman"/>
          <w:sz w:val="32"/>
          <w:szCs w:val="32"/>
        </w:rPr>
        <w:t>100%</w:t>
      </w:r>
      <w:r>
        <w:rPr>
          <w:rFonts w:hint="eastAsia" w:ascii="Times New Roman" w:hAnsi="Times New Roman" w:cs="Times New Roman"/>
          <w:sz w:val="32"/>
          <w:szCs w:val="32"/>
        </w:rPr>
        <w:t>。该项指标满分</w:t>
      </w:r>
      <w:r>
        <w:rPr>
          <w:rFonts w:ascii="Times New Roman" w:hAnsi="Times New Roman" w:cs="Times New Roman"/>
          <w:sz w:val="32"/>
          <w:szCs w:val="32"/>
        </w:rPr>
        <w:t>10</w:t>
      </w:r>
      <w:r>
        <w:rPr>
          <w:rFonts w:hint="eastAsia" w:ascii="Times New Roman" w:hAnsi="Times New Roman" w:cs="Times New Roman"/>
          <w:sz w:val="32"/>
          <w:szCs w:val="32"/>
        </w:rPr>
        <w:t>分，故采购设备合格率得分为</w:t>
      </w:r>
      <w:r>
        <w:rPr>
          <w:rFonts w:ascii="Times New Roman" w:hAnsi="Times New Roman" w:cs="Times New Roman"/>
          <w:sz w:val="32"/>
          <w:szCs w:val="32"/>
        </w:rPr>
        <w:t>10</w:t>
      </w:r>
      <w:r>
        <w:rPr>
          <w:rFonts w:hint="eastAsia" w:ascii="Times New Roman" w:hAnsi="Times New Roman" w:cs="Times New Roman"/>
          <w:sz w:val="32"/>
          <w:szCs w:val="32"/>
        </w:rPr>
        <w:t>分。</w:t>
      </w:r>
    </w:p>
    <w:p w14:paraId="57325BCE">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建设项目验收合格率：</w:t>
      </w:r>
      <w:r>
        <w:rPr>
          <w:rFonts w:ascii="Times New Roman" w:hAnsi="Times New Roman" w:cs="Times New Roman"/>
          <w:sz w:val="32"/>
          <w:szCs w:val="32"/>
        </w:rPr>
        <w:t>“</w:t>
      </w:r>
      <w:r>
        <w:rPr>
          <w:rFonts w:hint="eastAsia" w:ascii="Times New Roman" w:hAnsi="Times New Roman" w:cs="Times New Roman"/>
          <w:sz w:val="32"/>
          <w:szCs w:val="32"/>
        </w:rPr>
        <w:t>建设项目验收合格率</w:t>
      </w:r>
      <w:r>
        <w:rPr>
          <w:rFonts w:ascii="Times New Roman" w:hAnsi="Times New Roman" w:cs="Times New Roman"/>
          <w:sz w:val="32"/>
          <w:szCs w:val="32"/>
        </w:rPr>
        <w:t>”</w:t>
      </w:r>
      <w:r>
        <w:rPr>
          <w:rFonts w:hint="eastAsia" w:ascii="Times New Roman" w:hAnsi="Times New Roman" w:cs="Times New Roman"/>
          <w:sz w:val="32"/>
          <w:szCs w:val="32"/>
        </w:rPr>
        <w:t>的目标值为</w:t>
      </w:r>
      <w:r>
        <w:rPr>
          <w:rFonts w:ascii="Times New Roman" w:hAnsi="Times New Roman" w:cs="Times New Roman"/>
          <w:sz w:val="32"/>
          <w:szCs w:val="32"/>
        </w:rPr>
        <w:t>90%</w:t>
      </w:r>
      <w:r>
        <w:rPr>
          <w:rFonts w:hint="eastAsia" w:ascii="Times New Roman" w:hAnsi="Times New Roman" w:cs="Times New Roman"/>
          <w:sz w:val="32"/>
          <w:szCs w:val="32"/>
        </w:rPr>
        <w:t>。实际完成值为</w:t>
      </w:r>
      <w:r>
        <w:rPr>
          <w:rFonts w:ascii="Times New Roman" w:hAnsi="Times New Roman" w:cs="Times New Roman"/>
          <w:sz w:val="32"/>
          <w:szCs w:val="32"/>
        </w:rPr>
        <w:t>100%</w:t>
      </w:r>
      <w:r>
        <w:rPr>
          <w:rFonts w:hint="eastAsia" w:ascii="Times New Roman" w:hAnsi="Times New Roman" w:cs="Times New Roman"/>
          <w:sz w:val="32"/>
          <w:szCs w:val="32"/>
        </w:rPr>
        <w:t>。该指标完成率为</w:t>
      </w:r>
      <w:r>
        <w:rPr>
          <w:rFonts w:ascii="Times New Roman" w:hAnsi="Times New Roman" w:cs="Times New Roman"/>
          <w:sz w:val="32"/>
          <w:szCs w:val="32"/>
        </w:rPr>
        <w:t>100%</w:t>
      </w:r>
      <w:r>
        <w:rPr>
          <w:rFonts w:hint="eastAsia" w:ascii="Times New Roman" w:hAnsi="Times New Roman" w:cs="Times New Roman"/>
          <w:sz w:val="32"/>
          <w:szCs w:val="32"/>
        </w:rPr>
        <w:t>。</w:t>
      </w:r>
    </w:p>
    <w:p w14:paraId="460AD431">
      <w:pPr>
        <w:spacing w:line="560" w:lineRule="exact"/>
        <w:ind w:firstLine="640"/>
        <w:rPr>
          <w:rFonts w:ascii="Times New Roman" w:hAnsi="Times New Roman" w:cs="Times New Roman"/>
          <w:szCs w:val="28"/>
        </w:rPr>
      </w:pPr>
      <w:r>
        <w:rPr>
          <w:rFonts w:hint="eastAsia" w:ascii="Times New Roman" w:hAnsi="Times New Roman" w:cs="Times New Roman"/>
          <w:sz w:val="32"/>
          <w:szCs w:val="32"/>
        </w:rPr>
        <w:t>该项指标满分</w:t>
      </w:r>
      <w:r>
        <w:rPr>
          <w:rFonts w:ascii="Times New Roman" w:hAnsi="Times New Roman" w:cs="Times New Roman"/>
          <w:sz w:val="32"/>
          <w:szCs w:val="32"/>
        </w:rPr>
        <w:t>10</w:t>
      </w:r>
      <w:r>
        <w:rPr>
          <w:rFonts w:hint="eastAsia" w:ascii="Times New Roman" w:hAnsi="Times New Roman" w:cs="Times New Roman"/>
          <w:sz w:val="32"/>
          <w:szCs w:val="32"/>
        </w:rPr>
        <w:t>分，故建设项目验收合格率得分为</w:t>
      </w:r>
      <w:r>
        <w:rPr>
          <w:rFonts w:ascii="Times New Roman" w:hAnsi="Times New Roman" w:cs="Times New Roman"/>
          <w:sz w:val="32"/>
          <w:szCs w:val="32"/>
        </w:rPr>
        <w:t>10</w:t>
      </w:r>
      <w:r>
        <w:rPr>
          <w:rFonts w:hint="eastAsia" w:ascii="Times New Roman" w:hAnsi="Times New Roman" w:cs="Times New Roman"/>
          <w:sz w:val="32"/>
          <w:szCs w:val="32"/>
        </w:rPr>
        <w:t>分。</w:t>
      </w:r>
    </w:p>
    <w:p w14:paraId="7341CC4C">
      <w:pPr>
        <w:pStyle w:val="4"/>
        <w:spacing w:before="0" w:after="0" w:line="560" w:lineRule="exact"/>
        <w:ind w:firstLine="643"/>
        <w:rPr>
          <w:rFonts w:ascii="Times New Roman" w:hAnsi="Times New Roman" w:cs="Times New Roman"/>
        </w:rPr>
      </w:pPr>
      <w:bookmarkStart w:id="47" w:name="_Toc165277251"/>
      <w:r>
        <w:rPr>
          <w:rFonts w:ascii="Times New Roman" w:hAnsi="Times New Roman" w:cs="Times New Roman"/>
        </w:rPr>
        <w:t>3.</w:t>
      </w:r>
      <w:r>
        <w:rPr>
          <w:rFonts w:hint="eastAsia" w:ascii="Times New Roman" w:hAnsi="Times New Roman" w:cs="Times New Roman"/>
        </w:rPr>
        <w:t>产出时效</w:t>
      </w:r>
      <w:bookmarkEnd w:id="47"/>
    </w:p>
    <w:p w14:paraId="5F5E5019">
      <w:pPr>
        <w:spacing w:line="560" w:lineRule="exact"/>
        <w:ind w:firstLine="643"/>
        <w:rPr>
          <w:rFonts w:ascii="Times New Roman" w:hAnsi="Times New Roman" w:cs="Times New Roman"/>
          <w:b/>
          <w:bCs/>
          <w:sz w:val="32"/>
          <w:szCs w:val="32"/>
        </w:rPr>
      </w:pPr>
      <w:r>
        <w:rPr>
          <w:rFonts w:hint="eastAsia" w:ascii="Times New Roman" w:hAnsi="Times New Roman" w:cs="Times New Roman"/>
          <w:b/>
          <w:bCs/>
          <w:sz w:val="32"/>
          <w:szCs w:val="32"/>
        </w:rPr>
        <w:t>完成及时性：</w:t>
      </w:r>
    </w:p>
    <w:p w14:paraId="5DDB4403">
      <w:pPr>
        <w:spacing w:line="560" w:lineRule="exact"/>
        <w:ind w:firstLine="643"/>
        <w:rPr>
          <w:rFonts w:ascii="Times New Roman" w:hAnsi="Times New Roman" w:cs="Times New Roman"/>
          <w:b/>
          <w:bCs/>
          <w:sz w:val="32"/>
          <w:szCs w:val="32"/>
        </w:rPr>
      </w:pPr>
      <w:r>
        <w:rPr>
          <w:rFonts w:hint="eastAsia" w:ascii="Times New Roman" w:hAnsi="Times New Roman" w:cs="Times New Roman"/>
          <w:b/>
          <w:bCs/>
          <w:sz w:val="32"/>
          <w:szCs w:val="32"/>
        </w:rPr>
        <w:t>其中，项目建设期限：</w:t>
      </w:r>
      <w:r>
        <w:rPr>
          <w:rFonts w:ascii="Times New Roman" w:hAnsi="Times New Roman" w:cs="Times New Roman"/>
          <w:sz w:val="32"/>
          <w:szCs w:val="32"/>
        </w:rPr>
        <w:t>“</w:t>
      </w:r>
      <w:r>
        <w:rPr>
          <w:rFonts w:hint="eastAsia" w:ascii="Times New Roman" w:hAnsi="Times New Roman" w:cs="Times New Roman"/>
          <w:sz w:val="32"/>
          <w:szCs w:val="32"/>
        </w:rPr>
        <w:t>项目建设期限</w:t>
      </w:r>
      <w:r>
        <w:rPr>
          <w:rFonts w:ascii="Times New Roman" w:hAnsi="Times New Roman" w:cs="Times New Roman"/>
          <w:sz w:val="32"/>
          <w:szCs w:val="32"/>
        </w:rPr>
        <w:t>”</w:t>
      </w:r>
      <w:r>
        <w:rPr>
          <w:rFonts w:hint="eastAsia" w:ascii="Times New Roman" w:hAnsi="Times New Roman" w:cs="Times New Roman"/>
          <w:sz w:val="32"/>
          <w:szCs w:val="32"/>
        </w:rPr>
        <w:t>的目标值为</w:t>
      </w:r>
      <w:r>
        <w:rPr>
          <w:rFonts w:ascii="Times New Roman" w:hAnsi="Times New Roman" w:cs="Times New Roman"/>
          <w:sz w:val="32"/>
          <w:szCs w:val="32"/>
        </w:rPr>
        <w:t>≤12</w:t>
      </w:r>
      <w:r>
        <w:rPr>
          <w:rFonts w:hint="eastAsia" w:ascii="Times New Roman" w:hAnsi="Times New Roman" w:cs="Times New Roman"/>
          <w:sz w:val="32"/>
          <w:szCs w:val="32"/>
        </w:rPr>
        <w:t>个月。实际完成值为</w:t>
      </w:r>
      <w:r>
        <w:rPr>
          <w:rFonts w:ascii="Times New Roman" w:hAnsi="Times New Roman" w:cs="Times New Roman"/>
          <w:sz w:val="32"/>
          <w:szCs w:val="32"/>
        </w:rPr>
        <w:t>12</w:t>
      </w:r>
      <w:r>
        <w:rPr>
          <w:rFonts w:hint="eastAsia" w:ascii="Times New Roman" w:hAnsi="Times New Roman" w:cs="Times New Roman"/>
          <w:sz w:val="32"/>
          <w:szCs w:val="32"/>
        </w:rPr>
        <w:t>个月。该项指标满分</w:t>
      </w:r>
      <w:r>
        <w:rPr>
          <w:rFonts w:ascii="Times New Roman" w:hAnsi="Times New Roman" w:cs="Times New Roman"/>
          <w:sz w:val="32"/>
          <w:szCs w:val="32"/>
        </w:rPr>
        <w:t>5</w:t>
      </w:r>
      <w:r>
        <w:rPr>
          <w:rFonts w:hint="eastAsia" w:ascii="Times New Roman" w:hAnsi="Times New Roman" w:cs="Times New Roman"/>
          <w:sz w:val="32"/>
          <w:szCs w:val="32"/>
        </w:rPr>
        <w:t>分，故项目建设期限得分为</w:t>
      </w:r>
      <w:r>
        <w:rPr>
          <w:rFonts w:ascii="Times New Roman" w:hAnsi="Times New Roman" w:cs="Times New Roman"/>
          <w:sz w:val="32"/>
          <w:szCs w:val="32"/>
        </w:rPr>
        <w:t>5</w:t>
      </w:r>
      <w:r>
        <w:rPr>
          <w:rFonts w:hint="eastAsia" w:ascii="Times New Roman" w:hAnsi="Times New Roman" w:cs="Times New Roman"/>
          <w:sz w:val="32"/>
          <w:szCs w:val="32"/>
        </w:rPr>
        <w:t>分。</w:t>
      </w:r>
    </w:p>
    <w:p w14:paraId="7EE8CBCA">
      <w:pPr>
        <w:spacing w:line="560" w:lineRule="exact"/>
        <w:ind w:firstLine="643"/>
        <w:rPr>
          <w:rFonts w:ascii="Times New Roman" w:hAnsi="Times New Roman" w:cs="Times New Roman"/>
          <w:b/>
          <w:bCs/>
          <w:sz w:val="32"/>
          <w:szCs w:val="32"/>
        </w:rPr>
      </w:pPr>
      <w:r>
        <w:rPr>
          <w:rFonts w:hint="eastAsia" w:ascii="Times New Roman" w:hAnsi="Times New Roman" w:cs="Times New Roman"/>
          <w:b/>
          <w:bCs/>
          <w:sz w:val="32"/>
          <w:szCs w:val="32"/>
        </w:rPr>
        <w:t>其次，项目建设按期完成率：</w:t>
      </w:r>
      <w:r>
        <w:rPr>
          <w:rFonts w:ascii="Times New Roman" w:hAnsi="Times New Roman" w:cs="Times New Roman"/>
          <w:sz w:val="32"/>
          <w:szCs w:val="32"/>
        </w:rPr>
        <w:t>“</w:t>
      </w:r>
      <w:r>
        <w:rPr>
          <w:rFonts w:hint="eastAsia" w:ascii="Times New Roman" w:hAnsi="Times New Roman" w:cs="Times New Roman"/>
          <w:sz w:val="32"/>
          <w:szCs w:val="32"/>
        </w:rPr>
        <w:t>项目建设按期完成率</w:t>
      </w:r>
      <w:r>
        <w:rPr>
          <w:rFonts w:ascii="Times New Roman" w:hAnsi="Times New Roman" w:cs="Times New Roman"/>
          <w:sz w:val="32"/>
          <w:szCs w:val="32"/>
        </w:rPr>
        <w:t>”</w:t>
      </w:r>
      <w:r>
        <w:rPr>
          <w:rFonts w:hint="eastAsia" w:ascii="Times New Roman" w:hAnsi="Times New Roman" w:cs="Times New Roman"/>
          <w:sz w:val="32"/>
          <w:szCs w:val="32"/>
        </w:rPr>
        <w:t>的目标值为</w:t>
      </w:r>
      <w:r>
        <w:rPr>
          <w:rFonts w:ascii="Times New Roman" w:hAnsi="Times New Roman" w:cs="Times New Roman"/>
          <w:sz w:val="32"/>
          <w:szCs w:val="32"/>
        </w:rPr>
        <w:t>≥80%</w:t>
      </w:r>
      <w:r>
        <w:rPr>
          <w:rFonts w:hint="eastAsia" w:ascii="Times New Roman" w:hAnsi="Times New Roman" w:cs="Times New Roman"/>
          <w:sz w:val="32"/>
          <w:szCs w:val="32"/>
        </w:rPr>
        <w:t>。实际完成值为</w:t>
      </w:r>
      <w:r>
        <w:rPr>
          <w:rFonts w:ascii="Times New Roman" w:hAnsi="Times New Roman" w:cs="Times New Roman"/>
          <w:sz w:val="32"/>
          <w:szCs w:val="32"/>
        </w:rPr>
        <w:t>100%</w:t>
      </w:r>
      <w:r>
        <w:rPr>
          <w:rFonts w:hint="eastAsia" w:ascii="Times New Roman" w:hAnsi="Times New Roman" w:cs="Times New Roman"/>
          <w:sz w:val="32"/>
          <w:szCs w:val="32"/>
        </w:rPr>
        <w:t>。该项指标满分</w:t>
      </w:r>
      <w:r>
        <w:rPr>
          <w:rFonts w:ascii="Times New Roman" w:hAnsi="Times New Roman" w:cs="Times New Roman"/>
          <w:sz w:val="32"/>
          <w:szCs w:val="32"/>
        </w:rPr>
        <w:t>10</w:t>
      </w:r>
      <w:r>
        <w:rPr>
          <w:rFonts w:hint="eastAsia" w:ascii="Times New Roman" w:hAnsi="Times New Roman" w:cs="Times New Roman"/>
          <w:sz w:val="32"/>
          <w:szCs w:val="32"/>
        </w:rPr>
        <w:t>分，故项目建设按期完成率得分为</w:t>
      </w:r>
      <w:r>
        <w:rPr>
          <w:rFonts w:ascii="Times New Roman" w:hAnsi="Times New Roman" w:cs="Times New Roman"/>
          <w:sz w:val="32"/>
          <w:szCs w:val="32"/>
        </w:rPr>
        <w:t>10</w:t>
      </w:r>
      <w:r>
        <w:rPr>
          <w:rFonts w:hint="eastAsia" w:ascii="Times New Roman" w:hAnsi="Times New Roman" w:cs="Times New Roman"/>
          <w:sz w:val="32"/>
          <w:szCs w:val="32"/>
        </w:rPr>
        <w:t>分。</w:t>
      </w:r>
    </w:p>
    <w:p w14:paraId="5C6C10E1">
      <w:pPr>
        <w:autoSpaceDE w:val="0"/>
        <w:spacing w:line="560" w:lineRule="exact"/>
        <w:ind w:firstLine="643"/>
        <w:rPr>
          <w:rFonts w:ascii="Times New Roman" w:hAnsi="Times New Roman" w:cs="Times New Roman"/>
          <w:b/>
          <w:kern w:val="0"/>
          <w:sz w:val="32"/>
          <w:szCs w:val="32"/>
        </w:rPr>
      </w:pPr>
      <w:r>
        <w:rPr>
          <w:rFonts w:hint="eastAsia" w:ascii="Times New Roman" w:hAnsi="Times New Roman" w:cs="Times New Roman"/>
          <w:b/>
          <w:kern w:val="0"/>
          <w:sz w:val="32"/>
          <w:szCs w:val="32"/>
        </w:rPr>
        <w:t>综上，该部分指标满分</w:t>
      </w:r>
      <w:r>
        <w:rPr>
          <w:rFonts w:ascii="Times New Roman" w:hAnsi="Times New Roman" w:cs="Times New Roman"/>
          <w:b/>
          <w:kern w:val="0"/>
          <w:sz w:val="32"/>
          <w:szCs w:val="32"/>
        </w:rPr>
        <w:t>40</w:t>
      </w:r>
      <w:r>
        <w:rPr>
          <w:rFonts w:hint="eastAsia" w:ascii="Times New Roman" w:hAnsi="Times New Roman" w:cs="Times New Roman"/>
          <w:b/>
          <w:kern w:val="0"/>
          <w:sz w:val="32"/>
          <w:szCs w:val="32"/>
        </w:rPr>
        <w:t>分，得分</w:t>
      </w:r>
      <w:r>
        <w:rPr>
          <w:rFonts w:ascii="Times New Roman" w:hAnsi="Times New Roman" w:cs="Times New Roman"/>
          <w:sz w:val="32"/>
          <w:szCs w:val="32"/>
        </w:rPr>
        <w:t>40</w:t>
      </w:r>
      <w:r>
        <w:rPr>
          <w:rFonts w:hint="eastAsia" w:ascii="Times New Roman" w:hAnsi="Times New Roman" w:cs="Times New Roman"/>
          <w:b/>
          <w:kern w:val="0"/>
          <w:sz w:val="32"/>
          <w:szCs w:val="32"/>
        </w:rPr>
        <w:t>分。</w:t>
      </w:r>
    </w:p>
    <w:p w14:paraId="674B21C1">
      <w:pPr>
        <w:pStyle w:val="3"/>
        <w:spacing w:before="0" w:after="0" w:line="560" w:lineRule="exact"/>
        <w:ind w:firstLine="643"/>
        <w:rPr>
          <w:rFonts w:ascii="Times New Roman" w:hAnsi="Times New Roman" w:eastAsia="仿宋"/>
        </w:rPr>
      </w:pPr>
      <w:bookmarkStart w:id="48" w:name="_Toc165277253"/>
      <w:bookmarkStart w:id="49" w:name="_Toc67911615"/>
      <w:r>
        <w:rPr>
          <w:rFonts w:hint="eastAsia" w:ascii="Times New Roman" w:hAnsi="Times New Roman" w:eastAsia="仿宋"/>
        </w:rPr>
        <w:t>（四）项目效益情况</w:t>
      </w:r>
      <w:bookmarkEnd w:id="48"/>
      <w:bookmarkEnd w:id="49"/>
    </w:p>
    <w:p w14:paraId="61184A86">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项目效益指标由</w:t>
      </w:r>
      <w:r>
        <w:rPr>
          <w:rFonts w:ascii="Times New Roman" w:hAnsi="Times New Roman" w:cs="Times New Roman"/>
          <w:sz w:val="32"/>
          <w:szCs w:val="32"/>
        </w:rPr>
        <w:t>1</w:t>
      </w:r>
      <w:r>
        <w:rPr>
          <w:rFonts w:hint="eastAsia" w:ascii="Times New Roman" w:hAnsi="Times New Roman" w:cs="Times New Roman"/>
          <w:sz w:val="32"/>
          <w:szCs w:val="32"/>
        </w:rPr>
        <w:t>个二级指标和</w:t>
      </w:r>
      <w:r>
        <w:rPr>
          <w:rFonts w:ascii="Times New Roman" w:hAnsi="Times New Roman" w:cs="Times New Roman"/>
          <w:sz w:val="32"/>
          <w:szCs w:val="32"/>
        </w:rPr>
        <w:t>2</w:t>
      </w:r>
      <w:r>
        <w:rPr>
          <w:rFonts w:hint="eastAsia" w:ascii="Times New Roman" w:hAnsi="Times New Roman" w:cs="Times New Roman"/>
          <w:sz w:val="32"/>
          <w:szCs w:val="32"/>
        </w:rPr>
        <w:t>个三级指标构成，权重为</w:t>
      </w:r>
      <w:r>
        <w:rPr>
          <w:rFonts w:ascii="Times New Roman" w:hAnsi="Times New Roman" w:cs="Times New Roman"/>
          <w:sz w:val="32"/>
          <w:szCs w:val="32"/>
        </w:rPr>
        <w:t>15</w:t>
      </w:r>
      <w:r>
        <w:rPr>
          <w:rFonts w:hint="eastAsia" w:ascii="Times New Roman" w:hAnsi="Times New Roman" w:cs="Times New Roman"/>
          <w:sz w:val="32"/>
          <w:szCs w:val="32"/>
        </w:rPr>
        <w:t>分，实际得分</w:t>
      </w:r>
      <w:r>
        <w:rPr>
          <w:rFonts w:ascii="Times New Roman" w:hAnsi="Times New Roman" w:cs="Times New Roman"/>
          <w:sz w:val="32"/>
          <w:szCs w:val="32"/>
        </w:rPr>
        <w:t>15</w:t>
      </w:r>
      <w:r>
        <w:rPr>
          <w:rFonts w:hint="eastAsia" w:ascii="Times New Roman" w:hAnsi="Times New Roman" w:cs="Times New Roman"/>
          <w:sz w:val="32"/>
          <w:szCs w:val="32"/>
        </w:rPr>
        <w:t>分。</w:t>
      </w:r>
    </w:p>
    <w:p w14:paraId="0330BB7A">
      <w:pPr>
        <w:pStyle w:val="4"/>
        <w:spacing w:before="0" w:after="0" w:line="560" w:lineRule="exact"/>
        <w:ind w:firstLine="643"/>
        <w:rPr>
          <w:rFonts w:ascii="Times New Roman" w:hAnsi="Times New Roman" w:cs="Times New Roman"/>
        </w:rPr>
      </w:pPr>
      <w:bookmarkStart w:id="50" w:name="_Toc165277254"/>
      <w:r>
        <w:rPr>
          <w:rFonts w:ascii="Times New Roman" w:hAnsi="Times New Roman" w:cs="Times New Roman"/>
        </w:rPr>
        <w:t>1.</w:t>
      </w:r>
      <w:r>
        <w:rPr>
          <w:rFonts w:hint="eastAsia" w:ascii="Times New Roman" w:hAnsi="Times New Roman" w:cs="Times New Roman"/>
        </w:rPr>
        <w:t>项目效益</w:t>
      </w:r>
      <w:bookmarkEnd w:id="50"/>
    </w:p>
    <w:p w14:paraId="4FD14473">
      <w:pPr>
        <w:spacing w:line="560" w:lineRule="exact"/>
        <w:ind w:firstLine="643"/>
        <w:rPr>
          <w:rFonts w:ascii="Times New Roman" w:hAnsi="Times New Roman" w:cs="Times New Roman"/>
          <w:b/>
          <w:bCs/>
          <w:sz w:val="32"/>
          <w:szCs w:val="32"/>
        </w:rPr>
      </w:pPr>
      <w:r>
        <w:rPr>
          <w:rFonts w:hint="eastAsia" w:ascii="Times New Roman" w:hAnsi="Times New Roman" w:cs="Times New Roman"/>
          <w:b/>
          <w:bCs/>
          <w:sz w:val="32"/>
          <w:szCs w:val="32"/>
        </w:rPr>
        <w:t>（</w:t>
      </w:r>
      <w:r>
        <w:rPr>
          <w:rFonts w:ascii="Times New Roman" w:hAnsi="Times New Roman" w:cs="Times New Roman"/>
          <w:b/>
          <w:bCs/>
          <w:sz w:val="32"/>
          <w:szCs w:val="32"/>
        </w:rPr>
        <w:t>1</w:t>
      </w:r>
      <w:r>
        <w:rPr>
          <w:rFonts w:hint="eastAsia" w:ascii="Times New Roman" w:hAnsi="Times New Roman" w:cs="Times New Roman"/>
          <w:b/>
          <w:bCs/>
          <w:sz w:val="32"/>
          <w:szCs w:val="32"/>
        </w:rPr>
        <w:t>）实施效益</w:t>
      </w:r>
    </w:p>
    <w:p w14:paraId="351C2980">
      <w:pPr>
        <w:spacing w:line="560" w:lineRule="exact"/>
        <w:ind w:firstLine="643"/>
        <w:rPr>
          <w:rFonts w:ascii="Times New Roman" w:hAnsi="Times New Roman" w:cs="Times New Roman"/>
          <w:b/>
          <w:bCs/>
          <w:sz w:val="32"/>
          <w:szCs w:val="32"/>
        </w:rPr>
      </w:pPr>
      <w:r>
        <w:rPr>
          <w:rFonts w:hint="eastAsia" w:ascii="Times New Roman" w:hAnsi="Times New Roman" w:cs="Times New Roman"/>
          <w:b/>
          <w:bCs/>
          <w:sz w:val="32"/>
          <w:szCs w:val="32"/>
        </w:rPr>
        <w:t>经济效益指标：</w:t>
      </w:r>
      <w:r>
        <w:rPr>
          <w:rFonts w:hint="eastAsia" w:ascii="Times New Roman" w:hAnsi="Times New Roman" w:cs="Times New Roman"/>
          <w:sz w:val="32"/>
          <w:szCs w:val="32"/>
        </w:rPr>
        <w:t>不适用。</w:t>
      </w:r>
    </w:p>
    <w:p w14:paraId="4AB63A0A">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社会效益指标</w:t>
      </w:r>
      <w:r>
        <w:rPr>
          <w:rFonts w:hint="eastAsia" w:ascii="Times New Roman" w:hAnsi="Times New Roman" w:cs="Times New Roman"/>
          <w:sz w:val="32"/>
          <w:szCs w:val="32"/>
        </w:rPr>
        <w:t>：评价指标</w:t>
      </w:r>
      <w:r>
        <w:rPr>
          <w:rFonts w:ascii="Times New Roman" w:hAnsi="Times New Roman" w:cs="Times New Roman"/>
          <w:sz w:val="32"/>
          <w:szCs w:val="32"/>
        </w:rPr>
        <w:t>“</w:t>
      </w:r>
      <w:r>
        <w:rPr>
          <w:rFonts w:hint="eastAsia" w:ascii="Times New Roman" w:hAnsi="Times New Roman" w:cs="Times New Roman"/>
          <w:sz w:val="32"/>
          <w:szCs w:val="32"/>
        </w:rPr>
        <w:t>人民生命财产安全保障</w:t>
      </w:r>
      <w:r>
        <w:rPr>
          <w:rFonts w:ascii="Times New Roman" w:hAnsi="Times New Roman" w:cs="Times New Roman"/>
          <w:sz w:val="32"/>
          <w:szCs w:val="32"/>
        </w:rPr>
        <w:t>”</w:t>
      </w:r>
      <w:r>
        <w:rPr>
          <w:rFonts w:hint="eastAsia" w:ascii="Times New Roman" w:hAnsi="Times New Roman" w:cs="Times New Roman"/>
          <w:sz w:val="32"/>
          <w:szCs w:val="32"/>
        </w:rPr>
        <w:t>，指标值：显著提升，实际完成值：完全达到预期。本项目的实施有效提升了我市林业有害生物防治能力，为重大危险性林业有害生物预防、防治提供基础保障。</w:t>
      </w:r>
    </w:p>
    <w:p w14:paraId="7CB43863">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生态效益指标</w:t>
      </w:r>
      <w:r>
        <w:rPr>
          <w:rFonts w:hint="eastAsia" w:ascii="Times New Roman" w:hAnsi="Times New Roman" w:cs="Times New Roman"/>
          <w:sz w:val="32"/>
          <w:szCs w:val="32"/>
        </w:rPr>
        <w:t>：评价指标</w:t>
      </w:r>
      <w:r>
        <w:rPr>
          <w:rFonts w:ascii="Times New Roman" w:hAnsi="Times New Roman" w:cs="Times New Roman"/>
          <w:sz w:val="32"/>
          <w:szCs w:val="32"/>
        </w:rPr>
        <w:t>“</w:t>
      </w:r>
      <w:r>
        <w:rPr>
          <w:rFonts w:hint="eastAsia" w:ascii="Times New Roman" w:hAnsi="Times New Roman" w:cs="Times New Roman"/>
          <w:sz w:val="32"/>
          <w:szCs w:val="32"/>
        </w:rPr>
        <w:t>重大林业有害生物防控能力</w:t>
      </w:r>
      <w:r>
        <w:rPr>
          <w:rFonts w:ascii="Times New Roman" w:hAnsi="Times New Roman" w:cs="Times New Roman"/>
          <w:sz w:val="32"/>
          <w:szCs w:val="32"/>
        </w:rPr>
        <w:t>”</w:t>
      </w:r>
      <w:r>
        <w:rPr>
          <w:rFonts w:hint="eastAsia" w:ascii="Times New Roman" w:hAnsi="Times New Roman" w:cs="Times New Roman"/>
          <w:sz w:val="32"/>
          <w:szCs w:val="32"/>
        </w:rPr>
        <w:t>，指标值：显著提升，实际完成值：完全达到预期。本项目的实施增加各类防治设备及检测设备，有效加强我市重大林业有害生物防治能力。</w:t>
      </w:r>
    </w:p>
    <w:p w14:paraId="3A34C6F8">
      <w:pPr>
        <w:autoSpaceDE w:val="0"/>
        <w:spacing w:line="560" w:lineRule="exact"/>
        <w:ind w:firstLine="643"/>
        <w:rPr>
          <w:rFonts w:ascii="Times New Roman" w:hAnsi="Times New Roman" w:cs="Times New Roman"/>
          <w:b/>
          <w:kern w:val="0"/>
          <w:sz w:val="32"/>
          <w:szCs w:val="32"/>
        </w:rPr>
      </w:pPr>
      <w:r>
        <w:rPr>
          <w:rFonts w:hint="eastAsia" w:ascii="Times New Roman" w:hAnsi="Times New Roman" w:cs="Times New Roman"/>
          <w:b/>
          <w:kern w:val="0"/>
          <w:sz w:val="32"/>
          <w:szCs w:val="32"/>
        </w:rPr>
        <w:t>综上，该指标满分</w:t>
      </w:r>
      <w:r>
        <w:rPr>
          <w:rFonts w:ascii="Times New Roman" w:hAnsi="Times New Roman" w:cs="Times New Roman"/>
          <w:b/>
          <w:kern w:val="0"/>
          <w:sz w:val="32"/>
          <w:szCs w:val="32"/>
        </w:rPr>
        <w:t>15</w:t>
      </w:r>
      <w:r>
        <w:rPr>
          <w:rFonts w:hint="eastAsia" w:ascii="Times New Roman" w:hAnsi="Times New Roman" w:cs="Times New Roman"/>
          <w:b/>
          <w:kern w:val="0"/>
          <w:sz w:val="32"/>
          <w:szCs w:val="32"/>
        </w:rPr>
        <w:t>分，得分</w:t>
      </w:r>
      <w:r>
        <w:rPr>
          <w:rFonts w:ascii="Times New Roman" w:hAnsi="Times New Roman" w:cs="Times New Roman"/>
          <w:b/>
          <w:kern w:val="0"/>
          <w:sz w:val="32"/>
          <w:szCs w:val="32"/>
        </w:rPr>
        <w:t>15</w:t>
      </w:r>
      <w:r>
        <w:rPr>
          <w:rFonts w:hint="eastAsia" w:ascii="Times New Roman" w:hAnsi="Times New Roman" w:cs="Times New Roman"/>
          <w:b/>
          <w:kern w:val="0"/>
          <w:sz w:val="32"/>
          <w:szCs w:val="32"/>
        </w:rPr>
        <w:t>分。</w:t>
      </w:r>
    </w:p>
    <w:p w14:paraId="14FAE7BB">
      <w:pPr>
        <w:pStyle w:val="4"/>
        <w:spacing w:before="0" w:after="0" w:line="560" w:lineRule="exact"/>
        <w:ind w:firstLine="643"/>
        <w:rPr>
          <w:rFonts w:ascii="Times New Roman" w:hAnsi="Times New Roman" w:cs="Times New Roman"/>
        </w:rPr>
      </w:pPr>
      <w:bookmarkStart w:id="51" w:name="_Toc165277255"/>
      <w:r>
        <w:rPr>
          <w:rFonts w:ascii="Times New Roman" w:hAnsi="Times New Roman" w:cs="Times New Roman"/>
        </w:rPr>
        <w:t xml:space="preserve">2. </w:t>
      </w:r>
      <w:r>
        <w:rPr>
          <w:rFonts w:hint="eastAsia" w:ascii="Times New Roman" w:hAnsi="Times New Roman" w:cs="Times New Roman"/>
        </w:rPr>
        <w:t>满意度指标完成情况分析</w:t>
      </w:r>
      <w:bookmarkEnd w:id="51"/>
    </w:p>
    <w:p w14:paraId="39DE8A55">
      <w:pPr>
        <w:spacing w:line="560" w:lineRule="exact"/>
        <w:ind w:firstLine="643"/>
        <w:rPr>
          <w:rFonts w:ascii="Times New Roman" w:hAnsi="Times New Roman" w:cs="Times New Roman"/>
          <w:b/>
          <w:bCs/>
          <w:sz w:val="32"/>
          <w:szCs w:val="32"/>
        </w:rPr>
      </w:pPr>
      <w:r>
        <w:rPr>
          <w:rFonts w:hint="eastAsia" w:ascii="Times New Roman" w:hAnsi="Times New Roman" w:cs="Times New Roman"/>
          <w:b/>
          <w:bCs/>
          <w:sz w:val="32"/>
          <w:szCs w:val="32"/>
        </w:rPr>
        <w:t>（</w:t>
      </w:r>
      <w:r>
        <w:rPr>
          <w:rFonts w:ascii="Times New Roman" w:hAnsi="Times New Roman" w:cs="Times New Roman"/>
          <w:b/>
          <w:bCs/>
          <w:sz w:val="32"/>
          <w:szCs w:val="32"/>
        </w:rPr>
        <w:t>1</w:t>
      </w:r>
      <w:r>
        <w:rPr>
          <w:rFonts w:hint="eastAsia" w:ascii="Times New Roman" w:hAnsi="Times New Roman" w:cs="Times New Roman"/>
          <w:b/>
          <w:bCs/>
          <w:sz w:val="32"/>
          <w:szCs w:val="32"/>
        </w:rPr>
        <w:t>）满意度指标</w:t>
      </w:r>
    </w:p>
    <w:p w14:paraId="10442952">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群众满意度：</w:t>
      </w:r>
      <w:r>
        <w:rPr>
          <w:rFonts w:hint="eastAsia" w:ascii="Times New Roman" w:hAnsi="Times New Roman" w:cs="Times New Roman"/>
          <w:sz w:val="32"/>
          <w:szCs w:val="32"/>
        </w:rPr>
        <w:t>评价指标</w:t>
      </w:r>
      <w:r>
        <w:rPr>
          <w:rFonts w:ascii="Times New Roman" w:hAnsi="Times New Roman" w:cs="Times New Roman"/>
          <w:sz w:val="32"/>
          <w:szCs w:val="32"/>
        </w:rPr>
        <w:t>“</w:t>
      </w:r>
      <w:r>
        <w:rPr>
          <w:rFonts w:hint="eastAsia" w:ascii="Times New Roman" w:hAnsi="Times New Roman" w:cs="Times New Roman"/>
          <w:sz w:val="32"/>
          <w:szCs w:val="32"/>
        </w:rPr>
        <w:t>项目参与人员满意度</w:t>
      </w:r>
      <w:r>
        <w:rPr>
          <w:rFonts w:ascii="Times New Roman" w:hAnsi="Times New Roman" w:cs="Times New Roman"/>
          <w:sz w:val="32"/>
          <w:szCs w:val="32"/>
        </w:rPr>
        <w:t>”</w:t>
      </w:r>
      <w:r>
        <w:rPr>
          <w:rFonts w:hint="eastAsia" w:ascii="Times New Roman" w:hAnsi="Times New Roman" w:cs="Times New Roman"/>
          <w:sz w:val="32"/>
          <w:szCs w:val="32"/>
        </w:rPr>
        <w:t>，指标值：</w:t>
      </w:r>
      <w:r>
        <w:rPr>
          <w:rFonts w:ascii="Times New Roman" w:hAnsi="Times New Roman" w:eastAsia="华文宋体" w:cs="Times New Roman"/>
          <w:sz w:val="32"/>
          <w:szCs w:val="32"/>
        </w:rPr>
        <w:t>≥95</w:t>
      </w:r>
      <w:r>
        <w:rPr>
          <w:rFonts w:ascii="Times New Roman" w:hAnsi="Times New Roman" w:cs="Times New Roman"/>
          <w:sz w:val="32"/>
          <w:szCs w:val="32"/>
        </w:rPr>
        <w:t>%</w:t>
      </w:r>
      <w:r>
        <w:rPr>
          <w:rFonts w:hint="eastAsia" w:ascii="Times New Roman" w:hAnsi="Times New Roman" w:cs="Times New Roman"/>
          <w:sz w:val="32"/>
          <w:szCs w:val="32"/>
        </w:rPr>
        <w:t>，实际完成值：＝</w:t>
      </w:r>
      <w:r>
        <w:rPr>
          <w:rFonts w:ascii="Times New Roman" w:hAnsi="Times New Roman" w:eastAsia="华文宋体" w:cs="Times New Roman"/>
          <w:sz w:val="32"/>
          <w:szCs w:val="32"/>
        </w:rPr>
        <w:t>95</w:t>
      </w:r>
      <w:r>
        <w:rPr>
          <w:rFonts w:ascii="Times New Roman" w:hAnsi="Times New Roman" w:cs="Times New Roman"/>
          <w:sz w:val="32"/>
          <w:szCs w:val="32"/>
        </w:rPr>
        <w:t>%</w:t>
      </w:r>
      <w:r>
        <w:rPr>
          <w:rFonts w:hint="eastAsia" w:ascii="Times New Roman" w:hAnsi="Times New Roman" w:cs="Times New Roman"/>
          <w:sz w:val="32"/>
          <w:szCs w:val="32"/>
        </w:rPr>
        <w:t>。通过设置问卷调查的方式进行考评评价，共计调查样本总量为</w:t>
      </w:r>
      <w:r>
        <w:rPr>
          <w:rFonts w:ascii="Times New Roman" w:hAnsi="Times New Roman" w:cs="Times New Roman"/>
          <w:sz w:val="32"/>
          <w:szCs w:val="32"/>
        </w:rPr>
        <w:t>20</w:t>
      </w:r>
      <w:r>
        <w:rPr>
          <w:rFonts w:hint="eastAsia" w:ascii="Times New Roman" w:hAnsi="Times New Roman" w:cs="Times New Roman"/>
          <w:sz w:val="32"/>
          <w:szCs w:val="32"/>
        </w:rPr>
        <w:t>个样本，有效调查问卷</w:t>
      </w:r>
      <w:r>
        <w:rPr>
          <w:rFonts w:ascii="Times New Roman" w:hAnsi="Times New Roman" w:cs="Times New Roman"/>
          <w:sz w:val="32"/>
          <w:szCs w:val="32"/>
        </w:rPr>
        <w:t>20</w:t>
      </w:r>
      <w:r>
        <w:rPr>
          <w:rFonts w:hint="eastAsia" w:ascii="Times New Roman" w:hAnsi="Times New Roman" w:cs="Times New Roman"/>
          <w:sz w:val="32"/>
          <w:szCs w:val="32"/>
        </w:rPr>
        <w:t>份。其中，统计</w:t>
      </w:r>
      <w:r>
        <w:rPr>
          <w:rFonts w:ascii="Times New Roman" w:hAnsi="Times New Roman" w:cs="Times New Roman"/>
          <w:sz w:val="32"/>
          <w:szCs w:val="32"/>
        </w:rPr>
        <w:t>“</w:t>
      </w:r>
      <w:r>
        <w:rPr>
          <w:rFonts w:hint="eastAsia" w:ascii="Times New Roman" w:hAnsi="Times New Roman" w:cs="Times New Roman"/>
          <w:sz w:val="32"/>
          <w:szCs w:val="32"/>
        </w:rPr>
        <w:t>满意度</w:t>
      </w:r>
      <w:r>
        <w:rPr>
          <w:rFonts w:ascii="Times New Roman" w:hAnsi="Times New Roman" w:cs="Times New Roman"/>
          <w:sz w:val="32"/>
          <w:szCs w:val="32"/>
        </w:rPr>
        <w:t>”</w:t>
      </w:r>
      <w:r>
        <w:rPr>
          <w:rFonts w:hint="eastAsia" w:ascii="Times New Roman" w:hAnsi="Times New Roman" w:cs="Times New Roman"/>
          <w:sz w:val="32"/>
          <w:szCs w:val="32"/>
        </w:rPr>
        <w:t>的平均值为</w:t>
      </w:r>
      <w:r>
        <w:rPr>
          <w:rFonts w:ascii="Times New Roman" w:hAnsi="Times New Roman" w:cs="Times New Roman"/>
          <w:sz w:val="32"/>
          <w:szCs w:val="32"/>
        </w:rPr>
        <w:t>95%</w:t>
      </w:r>
      <w:r>
        <w:rPr>
          <w:rFonts w:hint="eastAsia" w:ascii="Times New Roman" w:hAnsi="Times New Roman" w:cs="Times New Roman"/>
          <w:sz w:val="32"/>
          <w:szCs w:val="32"/>
        </w:rPr>
        <w:t>。故满意度指标得分为</w:t>
      </w:r>
      <w:r>
        <w:rPr>
          <w:rFonts w:ascii="Times New Roman" w:hAnsi="Times New Roman" w:cs="Times New Roman"/>
          <w:sz w:val="32"/>
          <w:szCs w:val="32"/>
        </w:rPr>
        <w:t>5</w:t>
      </w:r>
      <w:r>
        <w:rPr>
          <w:rFonts w:hint="eastAsia" w:ascii="Times New Roman" w:hAnsi="Times New Roman" w:cs="Times New Roman"/>
          <w:sz w:val="32"/>
          <w:szCs w:val="32"/>
        </w:rPr>
        <w:t>分。</w:t>
      </w:r>
    </w:p>
    <w:p w14:paraId="49005DE6">
      <w:pPr>
        <w:autoSpaceDE w:val="0"/>
        <w:spacing w:line="560" w:lineRule="exact"/>
        <w:ind w:firstLine="643"/>
        <w:rPr>
          <w:rFonts w:ascii="Times New Roman" w:hAnsi="Times New Roman" w:cs="Times New Roman"/>
          <w:b/>
          <w:kern w:val="0"/>
          <w:sz w:val="32"/>
          <w:szCs w:val="32"/>
        </w:rPr>
      </w:pPr>
      <w:r>
        <w:rPr>
          <w:rFonts w:hint="eastAsia" w:ascii="Times New Roman" w:hAnsi="Times New Roman" w:cs="Times New Roman"/>
          <w:b/>
          <w:kern w:val="0"/>
          <w:sz w:val="32"/>
          <w:szCs w:val="32"/>
        </w:rPr>
        <w:t>综上，该指标满分</w:t>
      </w:r>
      <w:r>
        <w:rPr>
          <w:rFonts w:ascii="Times New Roman" w:hAnsi="Times New Roman" w:cs="Times New Roman"/>
          <w:b/>
          <w:kern w:val="0"/>
          <w:sz w:val="32"/>
          <w:szCs w:val="32"/>
        </w:rPr>
        <w:t>5</w:t>
      </w:r>
      <w:r>
        <w:rPr>
          <w:rFonts w:hint="eastAsia" w:ascii="Times New Roman" w:hAnsi="Times New Roman" w:cs="Times New Roman"/>
          <w:b/>
          <w:kern w:val="0"/>
          <w:sz w:val="32"/>
          <w:szCs w:val="32"/>
        </w:rPr>
        <w:t>分，得分</w:t>
      </w:r>
      <w:r>
        <w:rPr>
          <w:rFonts w:ascii="Times New Roman" w:hAnsi="Times New Roman" w:cs="Times New Roman"/>
          <w:b/>
          <w:kern w:val="0"/>
          <w:sz w:val="32"/>
          <w:szCs w:val="32"/>
        </w:rPr>
        <w:t>5</w:t>
      </w:r>
      <w:r>
        <w:rPr>
          <w:rFonts w:hint="eastAsia" w:ascii="Times New Roman" w:hAnsi="Times New Roman" w:cs="Times New Roman"/>
          <w:b/>
          <w:kern w:val="0"/>
          <w:sz w:val="32"/>
          <w:szCs w:val="32"/>
        </w:rPr>
        <w:t>分。</w:t>
      </w:r>
    </w:p>
    <w:p w14:paraId="5A3AE27C">
      <w:pPr>
        <w:pStyle w:val="2"/>
        <w:spacing w:before="0" w:after="0" w:line="560" w:lineRule="exact"/>
        <w:ind w:firstLine="0" w:firstLineChars="0"/>
        <w:jc w:val="left"/>
        <w:rPr>
          <w:rFonts w:ascii="Times New Roman" w:hAnsi="Times New Roman" w:eastAsia="仿宋" w:cs="Times New Roman"/>
          <w:sz w:val="36"/>
          <w:szCs w:val="36"/>
        </w:rPr>
      </w:pPr>
      <w:bookmarkStart w:id="52" w:name="_Toc67911617"/>
      <w:bookmarkStart w:id="53" w:name="_Toc165277256"/>
      <w:r>
        <w:rPr>
          <w:rFonts w:hint="eastAsia" w:ascii="Times New Roman" w:hAnsi="Times New Roman" w:eastAsia="仿宋" w:cs="Times New Roman"/>
          <w:sz w:val="36"/>
          <w:szCs w:val="36"/>
        </w:rPr>
        <w:t>五、主要经验及做法、存在的问题及原因分析</w:t>
      </w:r>
      <w:bookmarkEnd w:id="52"/>
      <w:bookmarkEnd w:id="53"/>
    </w:p>
    <w:p w14:paraId="376846E9">
      <w:pPr>
        <w:pStyle w:val="3"/>
        <w:spacing w:before="0" w:after="0" w:line="560" w:lineRule="exact"/>
        <w:ind w:firstLine="643"/>
        <w:rPr>
          <w:rFonts w:ascii="Times New Roman" w:hAnsi="Times New Roman" w:eastAsia="仿宋"/>
        </w:rPr>
      </w:pPr>
      <w:bookmarkStart w:id="54" w:name="_Toc165277257"/>
      <w:bookmarkStart w:id="55" w:name="_Toc67911618"/>
      <w:r>
        <w:rPr>
          <w:rFonts w:hint="eastAsia" w:ascii="Times New Roman" w:hAnsi="Times New Roman" w:eastAsia="仿宋"/>
        </w:rPr>
        <w:t>（一）主要经验及做法</w:t>
      </w:r>
      <w:bookmarkEnd w:id="54"/>
      <w:bookmarkEnd w:id="55"/>
    </w:p>
    <w:p w14:paraId="201B8EB2">
      <w:pPr>
        <w:autoSpaceDE w:val="0"/>
        <w:spacing w:line="560" w:lineRule="exact"/>
        <w:ind w:firstLine="640"/>
        <w:rPr>
          <w:rFonts w:ascii="Times New Roman" w:hAnsi="Times New Roman" w:cs="Times New Roman"/>
          <w:bCs/>
          <w:kern w:val="0"/>
          <w:sz w:val="32"/>
          <w:szCs w:val="32"/>
        </w:rPr>
      </w:pPr>
      <w:r>
        <w:rPr>
          <w:rFonts w:hint="eastAsia" w:ascii="Times New Roman" w:hAnsi="Times New Roman" w:cs="Times New Roman"/>
          <w:bCs/>
          <w:kern w:val="0"/>
          <w:sz w:val="32"/>
          <w:szCs w:val="32"/>
        </w:rPr>
        <w:t>本项目在全疆为首个中央预算内重大林业有害生物防治能力提升建设项目，没有同类建设项目经验借鉴，我们在建设过程中，充分论证各环节，将问题考虑在前，早发现、早应对，采购工作严格按照法律法规及相关要求开展。有疑问第一时间与相关管理部门沟通，做到每一环节成竹在胸。</w:t>
      </w:r>
    </w:p>
    <w:p w14:paraId="367BF070">
      <w:pPr>
        <w:pStyle w:val="3"/>
        <w:spacing w:before="0" w:after="0" w:line="560" w:lineRule="exact"/>
        <w:ind w:firstLine="643"/>
        <w:rPr>
          <w:rFonts w:ascii="Times New Roman" w:hAnsi="Times New Roman" w:eastAsia="仿宋"/>
        </w:rPr>
      </w:pPr>
      <w:bookmarkStart w:id="56" w:name="_Toc165277258"/>
      <w:r>
        <w:rPr>
          <w:rFonts w:hint="eastAsia" w:ascii="Times New Roman" w:hAnsi="Times New Roman" w:eastAsia="仿宋"/>
        </w:rPr>
        <w:t>（二）存在的问题及原因分析</w:t>
      </w:r>
      <w:bookmarkEnd w:id="56"/>
    </w:p>
    <w:p w14:paraId="3940A51D">
      <w:pPr>
        <w:spacing w:line="560" w:lineRule="exact"/>
        <w:ind w:firstLine="640"/>
        <w:rPr>
          <w:rFonts w:ascii="Times New Roman" w:hAnsi="Times New Roman" w:cs="Times New Roman"/>
          <w:b/>
          <w:bCs/>
          <w:sz w:val="32"/>
          <w:szCs w:val="32"/>
        </w:rPr>
      </w:pPr>
      <w:r>
        <w:rPr>
          <w:rFonts w:hint="eastAsia" w:ascii="Times New Roman" w:hAnsi="Times New Roman" w:cs="Times New Roman"/>
          <w:sz w:val="32"/>
          <w:szCs w:val="32"/>
        </w:rPr>
        <w:t>本项目在实施过程中最大的问题是没有建设过同类项目，没有经验借鉴，在资金到位前没有将全部前期工作做完，同时又遇到不可抗力因素影响。</w:t>
      </w:r>
      <w:r>
        <w:rPr>
          <w:rFonts w:hint="eastAsia" w:ascii="Times New Roman" w:hAnsi="Times New Roman" w:cs="Times New Roman"/>
          <w:kern w:val="0"/>
          <w:sz w:val="32"/>
          <w:szCs w:val="32"/>
        </w:rPr>
        <w:t>项目实施的监督管理力度不够；管理制度不健全，遇到的问题无法解决等，据实修改。</w:t>
      </w:r>
    </w:p>
    <w:p w14:paraId="7A7E6739">
      <w:pPr>
        <w:pStyle w:val="2"/>
        <w:spacing w:before="0" w:after="0" w:line="560" w:lineRule="exact"/>
        <w:ind w:firstLine="0" w:firstLineChars="0"/>
        <w:jc w:val="left"/>
        <w:rPr>
          <w:rFonts w:ascii="Times New Roman" w:hAnsi="Times New Roman" w:eastAsia="仿宋" w:cs="Times New Roman"/>
          <w:sz w:val="36"/>
          <w:szCs w:val="36"/>
        </w:rPr>
      </w:pPr>
      <w:bookmarkStart w:id="57" w:name="_Toc67911620"/>
      <w:bookmarkStart w:id="58" w:name="_Toc165277259"/>
      <w:bookmarkStart w:id="59" w:name="_Toc67911619"/>
      <w:r>
        <w:rPr>
          <w:rFonts w:hint="eastAsia" w:ascii="Times New Roman" w:hAnsi="Times New Roman" w:eastAsia="仿宋" w:cs="Times New Roman"/>
          <w:sz w:val="36"/>
          <w:szCs w:val="36"/>
        </w:rPr>
        <w:t>六、有关建议</w:t>
      </w:r>
      <w:bookmarkEnd w:id="57"/>
    </w:p>
    <w:bookmarkEnd w:id="58"/>
    <w:p w14:paraId="484CCD5C">
      <w:pPr>
        <w:pStyle w:val="2"/>
        <w:spacing w:before="0" w:after="0" w:line="560" w:lineRule="exact"/>
        <w:ind w:firstLine="640"/>
        <w:jc w:val="left"/>
        <w:rPr>
          <w:rFonts w:ascii="Times New Roman" w:hAnsi="Times New Roman" w:eastAsia="仿宋" w:cs="Times New Roman"/>
          <w:b w:val="0"/>
          <w:bCs w:val="0"/>
          <w:sz w:val="32"/>
          <w:szCs w:val="32"/>
        </w:rPr>
      </w:pPr>
      <w:bookmarkStart w:id="60" w:name="_Toc165277260"/>
      <w:r>
        <w:rPr>
          <w:rFonts w:hint="eastAsia" w:ascii="Times New Roman" w:hAnsi="Times New Roman" w:eastAsia="仿宋" w:cs="Times New Roman"/>
          <w:b w:val="0"/>
          <w:bCs w:val="0"/>
          <w:sz w:val="32"/>
          <w:szCs w:val="32"/>
        </w:rPr>
        <w:t>本项目为一次性投入建设项目，为我市首次开展类似建设内容，今后在同类项目中，合理规划项目建设进度，及时支付项目资金，及时验收。项目建设过程中，严格按照相关法律法规及相关财政、采购规定开展建设工作。</w:t>
      </w:r>
    </w:p>
    <w:p w14:paraId="66932A7E">
      <w:pPr>
        <w:pStyle w:val="2"/>
        <w:spacing w:before="0" w:after="0" w:line="560" w:lineRule="exact"/>
        <w:ind w:firstLine="0" w:firstLineChars="0"/>
        <w:jc w:val="left"/>
        <w:rPr>
          <w:rFonts w:ascii="Times New Roman" w:hAnsi="Times New Roman" w:eastAsia="仿宋" w:cs="Times New Roman"/>
          <w:sz w:val="36"/>
          <w:szCs w:val="36"/>
        </w:rPr>
      </w:pPr>
      <w:r>
        <w:rPr>
          <w:rFonts w:hint="eastAsia" w:ascii="Times New Roman" w:hAnsi="Times New Roman" w:eastAsia="仿宋" w:cs="Times New Roman"/>
          <w:sz w:val="36"/>
          <w:szCs w:val="36"/>
        </w:rPr>
        <w:t>七、其他需要说明的问题</w:t>
      </w:r>
      <w:bookmarkEnd w:id="59"/>
      <w:bookmarkEnd w:id="60"/>
    </w:p>
    <w:p w14:paraId="53C1C9C4">
      <w:pPr>
        <w:spacing w:line="560" w:lineRule="exact"/>
        <w:ind w:firstLine="640"/>
        <w:rPr>
          <w:rFonts w:ascii="Times New Roman" w:hAnsi="Times New Roman" w:eastAsia="仿宋" w:cs="Times New Roman"/>
          <w:kern w:val="44"/>
          <w:sz w:val="32"/>
          <w:szCs w:val="32"/>
        </w:rPr>
      </w:pPr>
      <w:r>
        <w:rPr>
          <w:rFonts w:hint="eastAsia" w:ascii="Times New Roman" w:hAnsi="Times New Roman" w:eastAsia="仿宋" w:cs="Times New Roman"/>
          <w:kern w:val="44"/>
          <w:sz w:val="32"/>
          <w:szCs w:val="32"/>
        </w:rPr>
        <w:t>本项目为2022年中央预算内项目，项目资金下达时间为2022年8月4日，资金下达后，遇不可抗力因素，项目整体结转至2023年，项目于2023年完成所有建设内容。</w:t>
      </w:r>
    </w:p>
    <w:sectPr>
      <w:headerReference r:id="rId13" w:type="default"/>
      <w:footerReference r:id="rId14"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57355">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8E1DD">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0453A">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A9602">
    <w:pPr>
      <w:pStyle w:val="8"/>
      <w:ind w:firstLine="560"/>
      <w:jc w:val="center"/>
      <w:rPr>
        <w:rFonts w:ascii="仿宋_GB2312" w:eastAsia="仿宋_GB2312"/>
        <w:sz w:val="21"/>
        <w:szCs w:val="21"/>
      </w:rPr>
    </w:pPr>
    <w:r>
      <w:rPr>
        <w:rFonts w:ascii="仿宋_GB2312" w:eastAsia="仿宋_GB2312"/>
        <w:sz w:val="21"/>
        <w:szCs w:val="21"/>
      </w:rPr>
      <w:fldChar w:fldCharType="begin"/>
    </w:r>
    <w:r>
      <w:rPr>
        <w:rFonts w:ascii="仿宋_GB2312" w:eastAsia="仿宋_GB2312"/>
        <w:sz w:val="21"/>
        <w:szCs w:val="21"/>
      </w:rPr>
      <w:instrText xml:space="preserve">PAGE   \* MERGEFORMAT</w:instrText>
    </w:r>
    <w:r>
      <w:rPr>
        <w:rFonts w:ascii="仿宋_GB2312" w:eastAsia="仿宋_GB2312"/>
        <w:sz w:val="21"/>
        <w:szCs w:val="21"/>
      </w:rPr>
      <w:fldChar w:fldCharType="separate"/>
    </w:r>
    <w:r>
      <w:rPr>
        <w:rFonts w:ascii="仿宋_GB2312" w:eastAsia="仿宋_GB2312"/>
        <w:sz w:val="21"/>
        <w:szCs w:val="21"/>
        <w:lang w:val="zh-CN"/>
      </w:rPr>
      <w:t>12</w:t>
    </w:r>
    <w:r>
      <w:rPr>
        <w:rFonts w:ascii="仿宋_GB2312" w:eastAsia="仿宋_GB2312"/>
        <w:sz w:val="21"/>
        <w:szCs w:val="21"/>
      </w:rPr>
      <w:fldChar w:fldCharType="end"/>
    </w:r>
  </w:p>
  <w:p w14:paraId="25AE660B">
    <w:pPr>
      <w:pStyle w:val="8"/>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920CC">
    <w:pPr>
      <w:pStyle w:val="8"/>
      <w:ind w:firstLine="560"/>
      <w:jc w:val="center"/>
      <w:rPr>
        <w:rFonts w:ascii="仿宋_GB2312" w:eastAsia="仿宋_GB2312"/>
        <w:sz w:val="21"/>
        <w:szCs w:val="21"/>
      </w:rPr>
    </w:pPr>
    <w:r>
      <w:rPr>
        <w:rFonts w:ascii="仿宋_GB2312" w:eastAsia="仿宋_GB2312"/>
        <w:sz w:val="21"/>
        <w:szCs w:val="21"/>
      </w:rPr>
      <w:fldChar w:fldCharType="begin"/>
    </w:r>
    <w:r>
      <w:rPr>
        <w:rFonts w:ascii="仿宋_GB2312" w:eastAsia="仿宋_GB2312"/>
        <w:sz w:val="21"/>
        <w:szCs w:val="21"/>
      </w:rPr>
      <w:instrText xml:space="preserve">PAGE   \* MERGEFORMAT</w:instrText>
    </w:r>
    <w:r>
      <w:rPr>
        <w:rFonts w:ascii="仿宋_GB2312" w:eastAsia="仿宋_GB2312"/>
        <w:sz w:val="21"/>
        <w:szCs w:val="21"/>
      </w:rPr>
      <w:fldChar w:fldCharType="separate"/>
    </w:r>
    <w:r>
      <w:rPr>
        <w:rFonts w:ascii="仿宋_GB2312" w:eastAsia="仿宋_GB2312"/>
        <w:sz w:val="21"/>
        <w:szCs w:val="21"/>
        <w:lang w:val="zh-CN"/>
      </w:rPr>
      <w:t>23</w:t>
    </w:r>
    <w:r>
      <w:rPr>
        <w:rFonts w:ascii="仿宋_GB2312" w:eastAsia="仿宋_GB2312"/>
        <w:sz w:val="21"/>
        <w:szCs w:val="21"/>
      </w:rPr>
      <w:fldChar w:fldCharType="end"/>
    </w:r>
  </w:p>
  <w:p w14:paraId="2D58787B">
    <w:pPr>
      <w:pStyle w:val="8"/>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ind w:firstLine="560"/>
      </w:pPr>
      <w:r>
        <w:separator/>
      </w:r>
    </w:p>
  </w:footnote>
  <w:footnote w:type="continuationSeparator" w:id="3">
    <w:p>
      <w:pPr>
        <w:ind w:firstLine="560"/>
      </w:pPr>
      <w:r>
        <w:continuationSeparator/>
      </w:r>
    </w:p>
  </w:footnote>
  <w:footnote w:id="0">
    <w:p w14:paraId="36D512E8">
      <w:pPr>
        <w:pStyle w:val="11"/>
        <w:ind w:firstLine="0" w:firstLineChars="0"/>
        <w:jc w:val="both"/>
      </w:pPr>
      <w:r>
        <w:rPr>
          <w:rStyle w:val="17"/>
          <w:rFonts w:ascii="仿宋_GB2312" w:cs="黑体"/>
        </w:rPr>
        <w:footnoteRef/>
      </w:r>
      <w:r>
        <w:rPr>
          <w:rFonts w:ascii="仿宋_GB2312"/>
        </w:rPr>
        <w:t xml:space="preserve"> </w:t>
      </w:r>
      <w:r>
        <w:rPr>
          <w:rFonts w:hint="eastAsia" w:ascii="仿宋_GB231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A6D15">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813FB">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F5983">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C35E5">
    <w:pPr>
      <w:pStyle w:val="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28F95">
    <w:pPr>
      <w:pStyle w:val="9"/>
      <w:ind w:firstLine="560"/>
      <w:jc w:val="right"/>
      <w:rPr>
        <w:rFonts w:ascii="仿宋_GB2312" w:eastAsia="仿宋_GB2312"/>
        <w:sz w:val="21"/>
        <w:szCs w:val="21"/>
      </w:rPr>
    </w:pPr>
    <w:r>
      <w:rPr>
        <w:rFonts w:hint="eastAsia" w:ascii="仿宋_GB2312" w:eastAsia="仿宋_GB2312"/>
        <w:sz w:val="21"/>
        <w:szCs w:val="21"/>
      </w:rPr>
      <w:t>部门项目报告模板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footnotePr>
    <w:footnote w:id="2"/>
    <w:footnote w:id="3"/>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c2ZjQxNjk0YjllMDI2ZTJhOWNmMDAwM2Q2NDM1NTgifQ=="/>
  </w:docVars>
  <w:rsids>
    <w:rsidRoot w:val="15A87163"/>
    <w:rsid w:val="00026245"/>
    <w:rsid w:val="00120B8E"/>
    <w:rsid w:val="001A1EAB"/>
    <w:rsid w:val="001D53CB"/>
    <w:rsid w:val="002D2272"/>
    <w:rsid w:val="004B4880"/>
    <w:rsid w:val="00555A80"/>
    <w:rsid w:val="0079644E"/>
    <w:rsid w:val="00856403"/>
    <w:rsid w:val="00906055"/>
    <w:rsid w:val="00997C39"/>
    <w:rsid w:val="009E298E"/>
    <w:rsid w:val="00A0208D"/>
    <w:rsid w:val="00A16097"/>
    <w:rsid w:val="00B1280A"/>
    <w:rsid w:val="00B6756B"/>
    <w:rsid w:val="00CC6FF9"/>
    <w:rsid w:val="00D52E70"/>
    <w:rsid w:val="00F14C97"/>
    <w:rsid w:val="06640499"/>
    <w:rsid w:val="068B5BC3"/>
    <w:rsid w:val="0AF0679F"/>
    <w:rsid w:val="0AFD318D"/>
    <w:rsid w:val="0B0F299D"/>
    <w:rsid w:val="0BED7182"/>
    <w:rsid w:val="0E4958D1"/>
    <w:rsid w:val="120F369D"/>
    <w:rsid w:val="15227E9D"/>
    <w:rsid w:val="15A87163"/>
    <w:rsid w:val="170D2487"/>
    <w:rsid w:val="17DB07D7"/>
    <w:rsid w:val="191F46F3"/>
    <w:rsid w:val="19FD67E3"/>
    <w:rsid w:val="1A1678A4"/>
    <w:rsid w:val="1E48649A"/>
    <w:rsid w:val="1F070103"/>
    <w:rsid w:val="249146F7"/>
    <w:rsid w:val="283C39E5"/>
    <w:rsid w:val="2CB82A3D"/>
    <w:rsid w:val="2F195AFD"/>
    <w:rsid w:val="2F2148C9"/>
    <w:rsid w:val="35CD09D3"/>
    <w:rsid w:val="37EA43F2"/>
    <w:rsid w:val="387D0C5A"/>
    <w:rsid w:val="38C22C79"/>
    <w:rsid w:val="39567866"/>
    <w:rsid w:val="3A991213"/>
    <w:rsid w:val="3C591B47"/>
    <w:rsid w:val="3EA947CA"/>
    <w:rsid w:val="41A05B22"/>
    <w:rsid w:val="447C2876"/>
    <w:rsid w:val="44B96AB4"/>
    <w:rsid w:val="4933371F"/>
    <w:rsid w:val="494E5881"/>
    <w:rsid w:val="4A613E31"/>
    <w:rsid w:val="4BE07B8E"/>
    <w:rsid w:val="4CC52826"/>
    <w:rsid w:val="4E2A6FCF"/>
    <w:rsid w:val="4F9B0752"/>
    <w:rsid w:val="4FAB5580"/>
    <w:rsid w:val="544B7B6F"/>
    <w:rsid w:val="552A3C28"/>
    <w:rsid w:val="571B7CCD"/>
    <w:rsid w:val="5B86134A"/>
    <w:rsid w:val="5C0E4165"/>
    <w:rsid w:val="5C89392A"/>
    <w:rsid w:val="5E2D4789"/>
    <w:rsid w:val="6073044A"/>
    <w:rsid w:val="65C77703"/>
    <w:rsid w:val="67A66815"/>
    <w:rsid w:val="68BE2BAE"/>
    <w:rsid w:val="68E63EB3"/>
    <w:rsid w:val="6CDF1345"/>
    <w:rsid w:val="6FD607DD"/>
    <w:rsid w:val="7089151C"/>
    <w:rsid w:val="72B648F6"/>
    <w:rsid w:val="73A8286A"/>
    <w:rsid w:val="74F65277"/>
    <w:rsid w:val="75812F99"/>
    <w:rsid w:val="75EC4F10"/>
    <w:rsid w:val="78947487"/>
    <w:rsid w:val="78AC47D1"/>
    <w:rsid w:val="78C23FF4"/>
    <w:rsid w:val="78D43D28"/>
    <w:rsid w:val="7C1C44A0"/>
    <w:rsid w:val="7C3876A5"/>
    <w:rsid w:val="7D4551F4"/>
    <w:rsid w:val="7F0F5AB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9"/>
    <w:qFormat/>
    <w:uiPriority w:val="99"/>
    <w:pPr>
      <w:keepNext/>
      <w:keepLines/>
      <w:spacing w:before="260" w:after="260" w:line="416" w:lineRule="auto"/>
      <w:outlineLvl w:val="1"/>
    </w:pPr>
    <w:rPr>
      <w:rFonts w:ascii="Calibri Light" w:hAnsi="Calibri Light" w:eastAsia="宋体" w:cs="Times New Roman"/>
      <w:b/>
      <w:bCs/>
      <w:sz w:val="32"/>
      <w:szCs w:val="32"/>
    </w:rPr>
  </w:style>
  <w:style w:type="paragraph" w:styleId="4">
    <w:name w:val="heading 3"/>
    <w:basedOn w:val="1"/>
    <w:next w:val="1"/>
    <w:link w:val="20"/>
    <w:qFormat/>
    <w:uiPriority w:val="9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1"/>
    <w:qFormat/>
    <w:uiPriority w:val="99"/>
    <w:pPr>
      <w:jc w:val="left"/>
    </w:pPr>
  </w:style>
  <w:style w:type="paragraph" w:styleId="6">
    <w:name w:val="toc 3"/>
    <w:basedOn w:val="1"/>
    <w:next w:val="1"/>
    <w:qFormat/>
    <w:uiPriority w:val="99"/>
    <w:pPr>
      <w:ind w:left="840" w:leftChars="400"/>
    </w:pPr>
  </w:style>
  <w:style w:type="paragraph" w:styleId="7">
    <w:name w:val="Balloon Text"/>
    <w:basedOn w:val="1"/>
    <w:link w:val="26"/>
    <w:semiHidden/>
    <w:qFormat/>
    <w:uiPriority w:val="99"/>
    <w:rPr>
      <w:sz w:val="18"/>
      <w:szCs w:val="18"/>
    </w:rPr>
  </w:style>
  <w:style w:type="paragraph" w:styleId="8">
    <w:name w:val="footer"/>
    <w:basedOn w:val="1"/>
    <w:link w:val="22"/>
    <w:qFormat/>
    <w:uiPriority w:val="99"/>
    <w:pPr>
      <w:tabs>
        <w:tab w:val="center" w:pos="4153"/>
        <w:tab w:val="right" w:pos="8306"/>
      </w:tabs>
      <w:snapToGrid w:val="0"/>
      <w:ind w:firstLine="0" w:firstLineChars="0"/>
      <w:jc w:val="left"/>
    </w:pPr>
    <w:rPr>
      <w:rFonts w:eastAsia="宋体" w:cs="Times New Roman"/>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ind w:firstLine="0" w:firstLineChars="0"/>
      <w:jc w:val="center"/>
    </w:pPr>
    <w:rPr>
      <w:rFonts w:eastAsia="宋体" w:cs="Times New Roman"/>
      <w:sz w:val="18"/>
      <w:szCs w:val="18"/>
    </w:rPr>
  </w:style>
  <w:style w:type="paragraph" w:styleId="10">
    <w:name w:val="toc 1"/>
    <w:basedOn w:val="1"/>
    <w:next w:val="1"/>
    <w:qFormat/>
    <w:uiPriority w:val="99"/>
  </w:style>
  <w:style w:type="paragraph" w:styleId="11">
    <w:name w:val="footnote text"/>
    <w:basedOn w:val="1"/>
    <w:link w:val="24"/>
    <w:semiHidden/>
    <w:qFormat/>
    <w:uiPriority w:val="99"/>
    <w:pPr>
      <w:snapToGrid w:val="0"/>
      <w:jc w:val="left"/>
    </w:pPr>
    <w:rPr>
      <w:sz w:val="18"/>
      <w:szCs w:val="18"/>
    </w:rPr>
  </w:style>
  <w:style w:type="paragraph" w:styleId="12">
    <w:name w:val="toc 2"/>
    <w:basedOn w:val="1"/>
    <w:next w:val="1"/>
    <w:qFormat/>
    <w:uiPriority w:val="99"/>
    <w:pPr>
      <w:ind w:left="420" w:leftChars="200"/>
    </w:pPr>
  </w:style>
  <w:style w:type="character" w:styleId="15">
    <w:name w:val="Hyperlink"/>
    <w:basedOn w:val="14"/>
    <w:qFormat/>
    <w:uiPriority w:val="99"/>
    <w:rPr>
      <w:rFonts w:cs="Times New Roman"/>
      <w:color w:val="0026E5"/>
      <w:u w:val="single"/>
    </w:rPr>
  </w:style>
  <w:style w:type="character" w:styleId="16">
    <w:name w:val="annotation reference"/>
    <w:basedOn w:val="14"/>
    <w:semiHidden/>
    <w:qFormat/>
    <w:uiPriority w:val="99"/>
    <w:rPr>
      <w:rFonts w:cs="Times New Roman"/>
      <w:sz w:val="21"/>
      <w:szCs w:val="21"/>
    </w:rPr>
  </w:style>
  <w:style w:type="character" w:styleId="17">
    <w:name w:val="footnote reference"/>
    <w:basedOn w:val="14"/>
    <w:semiHidden/>
    <w:qFormat/>
    <w:uiPriority w:val="99"/>
    <w:rPr>
      <w:rFonts w:cs="Times New Roman"/>
      <w:vertAlign w:val="superscript"/>
    </w:rPr>
  </w:style>
  <w:style w:type="character" w:customStyle="1" w:styleId="18">
    <w:name w:val="标题 1 Char"/>
    <w:basedOn w:val="14"/>
    <w:link w:val="2"/>
    <w:qFormat/>
    <w:uiPriority w:val="9"/>
    <w:rPr>
      <w:rFonts w:ascii="Calibri" w:hAnsi="Calibri" w:eastAsia="仿宋_GB2312" w:cs="黑体"/>
      <w:b/>
      <w:bCs/>
      <w:kern w:val="44"/>
      <w:sz w:val="44"/>
      <w:szCs w:val="44"/>
    </w:rPr>
  </w:style>
  <w:style w:type="character" w:customStyle="1" w:styleId="19">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Char"/>
    <w:basedOn w:val="14"/>
    <w:link w:val="4"/>
    <w:semiHidden/>
    <w:qFormat/>
    <w:uiPriority w:val="9"/>
    <w:rPr>
      <w:rFonts w:ascii="Calibri" w:hAnsi="Calibri" w:eastAsia="仿宋_GB2312" w:cs="黑体"/>
      <w:b/>
      <w:bCs/>
      <w:sz w:val="32"/>
      <w:szCs w:val="32"/>
    </w:rPr>
  </w:style>
  <w:style w:type="character" w:customStyle="1" w:styleId="21">
    <w:name w:val="批注文字 Char"/>
    <w:basedOn w:val="14"/>
    <w:link w:val="5"/>
    <w:semiHidden/>
    <w:qFormat/>
    <w:uiPriority w:val="99"/>
    <w:rPr>
      <w:rFonts w:ascii="Calibri" w:hAnsi="Calibri" w:eastAsia="仿宋_GB2312" w:cs="黑体"/>
      <w:sz w:val="28"/>
    </w:rPr>
  </w:style>
  <w:style w:type="character" w:customStyle="1" w:styleId="22">
    <w:name w:val="页脚 Char"/>
    <w:basedOn w:val="14"/>
    <w:link w:val="8"/>
    <w:semiHidden/>
    <w:qFormat/>
    <w:uiPriority w:val="99"/>
    <w:rPr>
      <w:rFonts w:ascii="Calibri" w:hAnsi="Calibri" w:eastAsia="仿宋_GB2312" w:cs="黑体"/>
      <w:sz w:val="18"/>
      <w:szCs w:val="18"/>
    </w:rPr>
  </w:style>
  <w:style w:type="character" w:customStyle="1" w:styleId="23">
    <w:name w:val="页眉 Char"/>
    <w:basedOn w:val="14"/>
    <w:link w:val="9"/>
    <w:semiHidden/>
    <w:qFormat/>
    <w:uiPriority w:val="99"/>
    <w:rPr>
      <w:rFonts w:ascii="Calibri" w:hAnsi="Calibri" w:eastAsia="仿宋_GB2312" w:cs="黑体"/>
      <w:sz w:val="18"/>
      <w:szCs w:val="18"/>
    </w:rPr>
  </w:style>
  <w:style w:type="character" w:customStyle="1" w:styleId="24">
    <w:name w:val="脚注文本 Char"/>
    <w:basedOn w:val="14"/>
    <w:link w:val="11"/>
    <w:semiHidden/>
    <w:qFormat/>
    <w:uiPriority w:val="99"/>
    <w:rPr>
      <w:rFonts w:ascii="Calibri" w:hAnsi="Calibri" w:eastAsia="仿宋_GB2312" w:cs="黑体"/>
      <w:sz w:val="18"/>
      <w:szCs w:val="18"/>
    </w:rPr>
  </w:style>
  <w:style w:type="paragraph" w:customStyle="1" w:styleId="25">
    <w:name w:val="TOC Heading1"/>
    <w:basedOn w:val="2"/>
    <w:next w:val="1"/>
    <w:qFormat/>
    <w:uiPriority w:val="99"/>
    <w:pPr>
      <w:widowControl/>
      <w:spacing w:before="240" w:after="0" w:line="259" w:lineRule="auto"/>
      <w:ind w:firstLine="0" w:firstLineChars="0"/>
      <w:jc w:val="left"/>
      <w:outlineLvl w:val="9"/>
    </w:pPr>
    <w:rPr>
      <w:rFonts w:ascii="Calibri Light" w:hAnsi="Calibri Light" w:eastAsia="宋体" w:cs="Times New Roman"/>
      <w:b w:val="0"/>
      <w:bCs w:val="0"/>
      <w:color w:val="2D53A0"/>
      <w:kern w:val="0"/>
      <w:sz w:val="32"/>
      <w:szCs w:val="32"/>
    </w:rPr>
  </w:style>
  <w:style w:type="character" w:customStyle="1" w:styleId="26">
    <w:name w:val="批注框文本 Char"/>
    <w:basedOn w:val="14"/>
    <w:link w:val="7"/>
    <w:semiHidden/>
    <w:qFormat/>
    <w:uiPriority w:val="99"/>
    <w:rPr>
      <w:rFonts w:ascii="Calibri" w:hAnsi="Calibri" w:eastAsia="仿宋_GB2312" w:cs="黑体"/>
      <w:sz w:val="0"/>
      <w:szCs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11121</Words>
  <Characters>11650</Characters>
  <Lines>30</Lines>
  <Paragraphs>29</Paragraphs>
  <TotalTime>35</TotalTime>
  <ScaleCrop>false</ScaleCrop>
  <LinksUpToDate>false</LinksUpToDate>
  <CharactersWithSpaces>11706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2024-05-13T10:02:00Z</dcterms:created>
  <dc:creator>噼里啪啦bong</dc:creator>
  <cp:lastModifiedBy>A  刘文武贝</cp:lastModifiedBy>
  <cp:lastPrinted>2024-05-14T10:01:00Z</cp:lastPrinted>
  <dcterms:modified xsi:type="dcterms:W3CDTF">2024-12-25T02:55:25Z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D4AC2D3505F54ED0ACA47D2130A40A2D_11</vt:lpwstr>
  </property>
  <property fmtid="{D5CDD505-2E9C-101B-9397-08002B2CF9AE}" pid="4" name="KSOTemplateDocerSaveRecord">
    <vt:lpwstr>eyJoZGlkIjoiNDg4ZTU2ZTRlNTdiNzJkNDA1YTllMzlkYTg4N2RlNjgiLCJ1c2VySWQiOiIzNzI2MDMzNTYifQ==</vt:lpwstr>
  </property>
</Properties>
</file>