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hint="eastAsia" w:ascii="黑体" w:hAnsi="黑体" w:eastAsia="黑体" w:cs="黑体"/>
          <w:position w:val="30"/>
          <w:sz w:val="42"/>
          <w:lang w:eastAsia="zh-CN"/>
        </w:rPr>
      </w:pPr>
    </w:p>
    <w:p>
      <w:pPr>
        <w:ind w:left="200" w:right="200"/>
        <w:jc w:val="center"/>
        <w:rPr>
          <w:rFonts w:ascii="黑体" w:hAnsi="黑体" w:eastAsia="黑体" w:cs="黑体"/>
          <w:position w:val="30"/>
          <w:sz w:val="42"/>
        </w:rPr>
      </w:pPr>
    </w:p>
    <w:p>
      <w:pPr>
        <w:ind w:left="200" w:right="200"/>
        <w:jc w:val="center"/>
        <w:rPr>
          <w:rFonts w:ascii="黑体" w:hAnsi="黑体" w:eastAsia="黑体" w:cs="黑体"/>
          <w:position w:val="30"/>
          <w:sz w:val="42"/>
        </w:rPr>
      </w:pPr>
    </w:p>
    <w:p>
      <w:pPr>
        <w:ind w:left="200" w:right="200"/>
        <w:jc w:val="center"/>
        <w:rPr>
          <w:rFonts w:ascii="黑体" w:hAnsi="黑体" w:eastAsia="黑体" w:cs="黑体"/>
          <w:position w:val="30"/>
          <w:sz w:val="42"/>
        </w:rPr>
      </w:pPr>
      <w:r>
        <w:rPr>
          <w:rFonts w:ascii="黑体" w:hAnsi="黑体" w:eastAsia="黑体" w:cs="黑体"/>
          <w:position w:val="30"/>
          <w:sz w:val="42"/>
        </w:rPr>
        <w:t>乌鲁木齐市人事考试中心</w:t>
      </w:r>
    </w:p>
    <w:p>
      <w:pPr>
        <w:ind w:left="200" w:right="200"/>
        <w:jc w:val="center"/>
      </w:pPr>
      <w:r>
        <w:rPr>
          <w:rFonts w:ascii="黑体" w:hAnsi="黑体" w:eastAsia="黑体" w:cs="黑体"/>
          <w:position w:val="30"/>
          <w:sz w:val="42"/>
        </w:rPr>
        <w:t>2023年单位预算公开</w:t>
      </w:r>
    </w:p>
    <w:p>
      <w:r>
        <w:br w:type="page"/>
      </w:r>
    </w:p>
    <w:p>
      <w:pPr>
        <w:jc w:val="center"/>
      </w:pPr>
      <w:r>
        <w:rPr>
          <w:rFonts w:ascii="黑体" w:hAnsi="黑体" w:eastAsia="黑体" w:cs="黑体"/>
          <w:position w:val="30"/>
          <w:sz w:val="42"/>
        </w:rPr>
        <w:t>目     录</w:t>
      </w:r>
    </w:p>
    <w:p>
      <w:pPr>
        <w:ind w:left="200" w:right="200" w:firstLine="500"/>
        <w:jc w:val="left"/>
      </w:pPr>
      <w:r>
        <w:rPr>
          <w:rFonts w:ascii="黑体" w:hAnsi="黑体" w:eastAsia="黑体" w:cs="黑体"/>
          <w:position w:val="15"/>
          <w:sz w:val="34"/>
        </w:rPr>
        <w:t>第一部分 乌鲁木齐市人事考试中心单位概况</w:t>
      </w:r>
    </w:p>
    <w:p>
      <w:pPr>
        <w:ind w:left="200" w:right="200" w:firstLine="500"/>
        <w:jc w:val="left"/>
      </w:pPr>
      <w:r>
        <w:rPr>
          <w:rFonts w:ascii="仿宋" w:hAnsi="仿宋" w:eastAsia="仿宋" w:cs="仿宋"/>
          <w:position w:val="10"/>
          <w:sz w:val="34"/>
        </w:rPr>
        <w:t>一、主要职能</w:t>
      </w:r>
    </w:p>
    <w:p>
      <w:pPr>
        <w:ind w:left="200" w:right="200" w:firstLine="500"/>
        <w:jc w:val="left"/>
      </w:pPr>
      <w:r>
        <w:rPr>
          <w:rFonts w:ascii="仿宋" w:hAnsi="仿宋" w:eastAsia="仿宋" w:cs="仿宋"/>
          <w:position w:val="10"/>
          <w:sz w:val="34"/>
        </w:rPr>
        <w:t>二、机构设置及人员情况</w:t>
      </w:r>
    </w:p>
    <w:p>
      <w:pPr>
        <w:ind w:left="200" w:right="200" w:firstLine="500"/>
        <w:jc w:val="left"/>
      </w:pPr>
      <w:r>
        <w:rPr>
          <w:rFonts w:ascii="黑体" w:hAnsi="黑体" w:eastAsia="黑体" w:cs="黑体"/>
          <w:position w:val="15"/>
          <w:sz w:val="34"/>
        </w:rPr>
        <w:t>第二部分 2023年单位预算公开表</w:t>
      </w:r>
    </w:p>
    <w:p>
      <w:pPr>
        <w:ind w:left="200" w:right="200" w:firstLine="500"/>
        <w:jc w:val="left"/>
      </w:pPr>
      <w:r>
        <w:rPr>
          <w:rFonts w:ascii="仿宋" w:hAnsi="仿宋" w:eastAsia="仿宋" w:cs="仿宋"/>
          <w:position w:val="10"/>
          <w:sz w:val="34"/>
        </w:rPr>
        <w:t>一、单位收支总体情况表</w:t>
      </w:r>
    </w:p>
    <w:p>
      <w:pPr>
        <w:ind w:left="200" w:right="200" w:firstLine="500"/>
        <w:jc w:val="left"/>
      </w:pPr>
      <w:r>
        <w:rPr>
          <w:rFonts w:ascii="仿宋" w:hAnsi="仿宋" w:eastAsia="仿宋" w:cs="仿宋"/>
          <w:position w:val="10"/>
          <w:sz w:val="34"/>
        </w:rPr>
        <w:t>二、单位收入总体情况表</w:t>
      </w:r>
    </w:p>
    <w:p>
      <w:pPr>
        <w:ind w:left="200" w:right="200" w:firstLine="500"/>
        <w:jc w:val="left"/>
      </w:pPr>
      <w:r>
        <w:rPr>
          <w:rFonts w:ascii="仿宋" w:hAnsi="仿宋" w:eastAsia="仿宋" w:cs="仿宋"/>
          <w:position w:val="10"/>
          <w:sz w:val="34"/>
        </w:rPr>
        <w:t>三、单位支出总体情况表</w:t>
      </w:r>
    </w:p>
    <w:p>
      <w:pPr>
        <w:ind w:left="200" w:right="200" w:firstLine="500"/>
        <w:jc w:val="left"/>
      </w:pPr>
      <w:r>
        <w:rPr>
          <w:rFonts w:ascii="仿宋" w:hAnsi="仿宋" w:eastAsia="仿宋" w:cs="仿宋"/>
          <w:position w:val="10"/>
          <w:sz w:val="34"/>
        </w:rPr>
        <w:t>四、财政拨款收支预算总体情况表</w:t>
      </w:r>
    </w:p>
    <w:p>
      <w:pPr>
        <w:ind w:left="200" w:right="200" w:firstLine="500"/>
        <w:jc w:val="left"/>
      </w:pPr>
      <w:r>
        <w:rPr>
          <w:rFonts w:ascii="仿宋" w:hAnsi="仿宋" w:eastAsia="仿宋" w:cs="仿宋"/>
          <w:position w:val="10"/>
          <w:sz w:val="34"/>
        </w:rPr>
        <w:t>五、一般公共预算支出情况表</w:t>
      </w:r>
    </w:p>
    <w:p>
      <w:pPr>
        <w:ind w:left="200" w:right="200" w:firstLine="500"/>
        <w:jc w:val="left"/>
      </w:pPr>
      <w:r>
        <w:rPr>
          <w:rFonts w:ascii="仿宋" w:hAnsi="仿宋" w:eastAsia="仿宋" w:cs="仿宋"/>
          <w:position w:val="10"/>
          <w:sz w:val="34"/>
        </w:rPr>
        <w:t>六、一般公共预算基本支出情况表</w:t>
      </w:r>
    </w:p>
    <w:p>
      <w:pPr>
        <w:ind w:left="200" w:right="200" w:firstLine="500"/>
        <w:jc w:val="left"/>
      </w:pPr>
      <w:r>
        <w:rPr>
          <w:rFonts w:ascii="仿宋" w:hAnsi="仿宋" w:eastAsia="仿宋" w:cs="仿宋"/>
          <w:position w:val="10"/>
          <w:sz w:val="34"/>
        </w:rPr>
        <w:t>七、一般公共预算项目支出情况表</w:t>
      </w:r>
    </w:p>
    <w:p>
      <w:pPr>
        <w:ind w:left="200" w:right="200" w:firstLine="500"/>
        <w:jc w:val="left"/>
      </w:pPr>
      <w:r>
        <w:rPr>
          <w:rFonts w:ascii="仿宋" w:hAnsi="仿宋" w:eastAsia="仿宋" w:cs="仿宋"/>
          <w:position w:val="10"/>
          <w:sz w:val="34"/>
        </w:rPr>
        <w:t>八、政府性基金预算支出情况表</w:t>
      </w:r>
    </w:p>
    <w:p>
      <w:pPr>
        <w:ind w:left="200" w:right="200" w:firstLine="500"/>
        <w:jc w:val="left"/>
      </w:pPr>
      <w:r>
        <w:rPr>
          <w:rFonts w:ascii="仿宋" w:hAnsi="仿宋" w:eastAsia="仿宋" w:cs="仿宋"/>
          <w:position w:val="10"/>
          <w:sz w:val="34"/>
        </w:rPr>
        <w:t>九、国有资本经营预算支出情况表</w:t>
      </w:r>
    </w:p>
    <w:p>
      <w:pPr>
        <w:ind w:left="200" w:right="200" w:firstLine="500"/>
        <w:jc w:val="left"/>
      </w:pPr>
      <w:r>
        <w:rPr>
          <w:rFonts w:ascii="仿宋" w:hAnsi="仿宋" w:eastAsia="仿宋" w:cs="仿宋"/>
          <w:position w:val="10"/>
          <w:sz w:val="34"/>
        </w:rPr>
        <w:t>十、财政拨款“三公”经费支出情况表</w:t>
      </w:r>
    </w:p>
    <w:p>
      <w:pPr>
        <w:ind w:left="200" w:right="200" w:firstLine="500"/>
        <w:jc w:val="left"/>
      </w:pPr>
      <w:r>
        <w:rPr>
          <w:rFonts w:ascii="黑体" w:hAnsi="黑体" w:eastAsia="黑体" w:cs="黑体"/>
          <w:position w:val="15"/>
          <w:sz w:val="34"/>
        </w:rPr>
        <w:t>第三部分 2023年单位预算情况说明</w:t>
      </w:r>
    </w:p>
    <w:p>
      <w:pPr>
        <w:ind w:left="200" w:right="200" w:firstLine="500"/>
        <w:jc w:val="left"/>
      </w:pPr>
      <w:r>
        <w:rPr>
          <w:rFonts w:ascii="仿宋" w:hAnsi="仿宋" w:eastAsia="仿宋" w:cs="仿宋"/>
          <w:position w:val="10"/>
          <w:sz w:val="34"/>
        </w:rPr>
        <w:t>一、关于乌鲁木齐市人事考试中心2023年收支预算情况的总体说明</w:t>
      </w:r>
    </w:p>
    <w:p>
      <w:pPr>
        <w:ind w:left="200" w:right="200" w:firstLine="500"/>
        <w:jc w:val="left"/>
      </w:pPr>
      <w:r>
        <w:rPr>
          <w:rFonts w:ascii="仿宋" w:hAnsi="仿宋" w:eastAsia="仿宋" w:cs="仿宋"/>
          <w:position w:val="10"/>
          <w:sz w:val="34"/>
        </w:rPr>
        <w:t>二、关于乌鲁木齐市人事考试中心2023年收入预算情况说明</w:t>
      </w:r>
    </w:p>
    <w:p>
      <w:pPr>
        <w:ind w:left="200" w:right="200" w:firstLine="500"/>
        <w:jc w:val="left"/>
      </w:pPr>
      <w:r>
        <w:rPr>
          <w:rFonts w:ascii="仿宋" w:hAnsi="仿宋" w:eastAsia="仿宋" w:cs="仿宋"/>
          <w:position w:val="10"/>
          <w:sz w:val="34"/>
        </w:rPr>
        <w:t>三、关于乌鲁木齐市人事考试中心2023年支出预算情况说明</w:t>
      </w:r>
    </w:p>
    <w:p>
      <w:pPr>
        <w:ind w:left="200" w:right="200" w:firstLine="500"/>
        <w:jc w:val="left"/>
      </w:pPr>
      <w:r>
        <w:rPr>
          <w:rFonts w:ascii="仿宋" w:hAnsi="仿宋" w:eastAsia="仿宋" w:cs="仿宋"/>
          <w:position w:val="10"/>
          <w:sz w:val="34"/>
        </w:rPr>
        <w:t>四、关于乌鲁木齐市人事考试中心2023年财政拨款收支预算情况的总体说明</w:t>
      </w:r>
    </w:p>
    <w:p>
      <w:pPr>
        <w:ind w:left="200" w:right="200" w:firstLine="500"/>
        <w:jc w:val="left"/>
      </w:pPr>
      <w:r>
        <w:rPr>
          <w:rFonts w:ascii="仿宋" w:hAnsi="仿宋" w:eastAsia="仿宋" w:cs="仿宋"/>
          <w:position w:val="10"/>
          <w:sz w:val="34"/>
        </w:rPr>
        <w:t>五、关于乌鲁木齐市人事考试中心2023年一般公共预算当年拨款情况说明</w:t>
      </w:r>
    </w:p>
    <w:p>
      <w:pPr>
        <w:ind w:left="200" w:right="200" w:firstLine="500"/>
        <w:jc w:val="left"/>
      </w:pPr>
      <w:r>
        <w:rPr>
          <w:rFonts w:ascii="仿宋" w:hAnsi="仿宋" w:eastAsia="仿宋" w:cs="仿宋"/>
          <w:position w:val="10"/>
          <w:sz w:val="34"/>
        </w:rPr>
        <w:t>六、关于乌鲁木齐市人事考试中心2023年一般公共预算基本支出情况说明</w:t>
      </w:r>
    </w:p>
    <w:p>
      <w:pPr>
        <w:ind w:left="200" w:right="200" w:firstLine="500"/>
        <w:jc w:val="left"/>
      </w:pPr>
      <w:r>
        <w:rPr>
          <w:rFonts w:ascii="仿宋" w:hAnsi="仿宋" w:eastAsia="仿宋" w:cs="仿宋"/>
          <w:position w:val="10"/>
          <w:sz w:val="34"/>
        </w:rPr>
        <w:t>七、关于乌鲁木齐市人事考试中心2023年一般公共预算项目支出情况说明</w:t>
      </w:r>
    </w:p>
    <w:p>
      <w:pPr>
        <w:ind w:left="200" w:right="200" w:firstLine="500"/>
        <w:jc w:val="left"/>
      </w:pPr>
      <w:r>
        <w:rPr>
          <w:rFonts w:ascii="仿宋" w:hAnsi="仿宋" w:eastAsia="仿宋" w:cs="仿宋"/>
          <w:position w:val="10"/>
          <w:sz w:val="34"/>
        </w:rPr>
        <w:t>八、关于乌鲁木齐市人事考试中心2023年政府性基金预算拨款情况说明</w:t>
      </w:r>
    </w:p>
    <w:p>
      <w:pPr>
        <w:ind w:left="200" w:right="200" w:firstLine="500"/>
        <w:jc w:val="left"/>
      </w:pPr>
      <w:r>
        <w:rPr>
          <w:rFonts w:ascii="仿宋" w:hAnsi="仿宋" w:eastAsia="仿宋" w:cs="仿宋"/>
          <w:position w:val="10"/>
          <w:sz w:val="34"/>
        </w:rPr>
        <w:t>九、关于乌鲁木齐市人事考试中心2023年国有资本经营预算拨款情况说明</w:t>
      </w:r>
    </w:p>
    <w:p>
      <w:pPr>
        <w:ind w:left="200" w:right="200" w:firstLine="500"/>
        <w:jc w:val="left"/>
      </w:pPr>
      <w:r>
        <w:rPr>
          <w:rFonts w:ascii="仿宋" w:hAnsi="仿宋" w:eastAsia="仿宋" w:cs="仿宋"/>
          <w:position w:val="10"/>
          <w:sz w:val="34"/>
        </w:rPr>
        <w:t>十、关于乌鲁木齐市人事考试中心2023年财政拨款“三公”经费预算情况说明</w:t>
      </w:r>
    </w:p>
    <w:p>
      <w:pPr>
        <w:ind w:left="200" w:right="200" w:firstLine="500"/>
        <w:jc w:val="left"/>
      </w:pPr>
      <w:r>
        <w:rPr>
          <w:rFonts w:ascii="仿宋" w:hAnsi="仿宋" w:eastAsia="仿宋" w:cs="仿宋"/>
          <w:position w:val="10"/>
          <w:sz w:val="34"/>
        </w:rPr>
        <w:t>十一、其他重要事项的情况说明</w:t>
      </w:r>
    </w:p>
    <w:p>
      <w:pPr>
        <w:ind w:left="200" w:right="200" w:firstLine="500"/>
        <w:jc w:val="left"/>
      </w:pPr>
      <w:r>
        <w:rPr>
          <w:rFonts w:ascii="黑体" w:hAnsi="黑体" w:eastAsia="黑体" w:cs="黑体"/>
          <w:position w:val="15"/>
          <w:sz w:val="34"/>
        </w:rPr>
        <w:t>第四部分 名词解释</w:t>
      </w:r>
    </w:p>
    <w:p>
      <w:r>
        <w:br w:type="page"/>
      </w:r>
    </w:p>
    <w:p>
      <w:pPr>
        <w:ind w:left="200" w:right="200" w:firstLine="500"/>
        <w:jc w:val="center"/>
      </w:pPr>
      <w:r>
        <w:rPr>
          <w:rFonts w:ascii="黑体" w:hAnsi="黑体" w:eastAsia="黑体" w:cs="黑体"/>
          <w:position w:val="30"/>
          <w:sz w:val="42"/>
        </w:rPr>
        <w:t>第一部分 乌鲁木齐市人事考试中心单位概况</w:t>
      </w:r>
    </w:p>
    <w:p>
      <w:pPr>
        <w:spacing w:before="150"/>
        <w:ind w:left="200" w:right="200" w:firstLine="500"/>
        <w:jc w:val="both"/>
      </w:pPr>
      <w:r>
        <w:rPr>
          <w:rFonts w:ascii="黑体" w:hAnsi="黑体" w:eastAsia="黑体" w:cs="黑体"/>
          <w:position w:val="20"/>
          <w:sz w:val="34"/>
        </w:rPr>
        <w:t>一、主要职能</w:t>
      </w:r>
    </w:p>
    <w:p>
      <w:pPr>
        <w:ind w:left="200" w:right="200" w:firstLine="500"/>
        <w:jc w:val="both"/>
      </w:pPr>
      <w:r>
        <w:rPr>
          <w:rFonts w:ascii="仿宋" w:hAnsi="仿宋" w:eastAsia="仿宋" w:cs="仿宋"/>
          <w:position w:val="10"/>
          <w:sz w:val="34"/>
        </w:rPr>
        <w:t>主要负责组织实施各类人事考试工作。</w:t>
      </w:r>
    </w:p>
    <w:p>
      <w:pPr>
        <w:spacing w:before="150"/>
        <w:ind w:left="200" w:right="200" w:firstLine="500"/>
        <w:jc w:val="both"/>
      </w:pPr>
      <w:r>
        <w:rPr>
          <w:rFonts w:ascii="黑体" w:hAnsi="黑体" w:eastAsia="黑体" w:cs="黑体"/>
          <w:position w:val="20"/>
          <w:sz w:val="34"/>
        </w:rPr>
        <w:t>二、机构设置及人员情况</w:t>
      </w:r>
    </w:p>
    <w:p>
      <w:pPr>
        <w:ind w:left="200" w:right="200" w:firstLine="500"/>
        <w:jc w:val="both"/>
      </w:pPr>
      <w:r>
        <w:rPr>
          <w:rFonts w:ascii="仿宋" w:hAnsi="仿宋" w:eastAsia="仿宋" w:cs="仿宋"/>
          <w:position w:val="10"/>
          <w:sz w:val="34"/>
        </w:rPr>
        <w:t>乌鲁木齐市人事考试中心单位无下属预算单位，下设0个处室，分别是：无。</w:t>
      </w:r>
    </w:p>
    <w:p>
      <w:pPr>
        <w:ind w:left="200" w:right="200" w:firstLine="500"/>
        <w:jc w:val="both"/>
      </w:pPr>
      <w:r>
        <w:rPr>
          <w:rFonts w:ascii="仿宋" w:hAnsi="仿宋" w:eastAsia="仿宋" w:cs="仿宋"/>
          <w:position w:val="10"/>
          <w:sz w:val="34"/>
        </w:rPr>
        <w:t>乌鲁木齐市人事考试中心单位编制数15人，实有人数13人，其中：在职13人，增加1人；退休0人，增加0人；离休0人，增加0人。</w:t>
      </w:r>
    </w:p>
    <w:p>
      <w:pPr>
        <w:jc w:val="both"/>
      </w:pPr>
      <w:r>
        <w:br w:type="page"/>
      </w:r>
    </w:p>
    <w:p>
      <w:pPr>
        <w:ind w:left="200" w:right="200" w:firstLine="500"/>
        <w:jc w:val="center"/>
      </w:pPr>
      <w:r>
        <w:rPr>
          <w:rFonts w:ascii="黑体" w:hAnsi="黑体" w:eastAsia="黑体" w:cs="黑体"/>
          <w:position w:val="30"/>
          <w:sz w:val="42"/>
        </w:rPr>
        <w:t>第二部分 2023年单位预算公开表</w:t>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895"/>
        <w:gridCol w:w="766"/>
        <w:gridCol w:w="3173"/>
        <w:gridCol w:w="7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left"/>
            </w:pPr>
            <w:r>
              <w:rPr>
                <w:rFonts w:ascii="仿宋" w:hAnsi="仿宋" w:eastAsia="仿宋" w:cs="仿宋"/>
                <w:position w:val="8"/>
                <w:sz w:val="20"/>
              </w:rPr>
              <w:t>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center"/>
            </w:pPr>
            <w:r>
              <w:rPr>
                <w:rFonts w:ascii="黑体" w:hAnsi="黑体" w:eastAsia="黑体" w:cs="黑体"/>
                <w:position w:val="15"/>
                <w:sz w:val="28"/>
              </w:rPr>
              <w:t>单位收支总体情况表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4661"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939" w:type="dxa"/>
            <w:gridSpan w:val="2"/>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4661"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收   入</w:t>
            </w:r>
          </w:p>
        </w:tc>
        <w:tc>
          <w:tcPr>
            <w:tcW w:w="3939"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   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  目</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一、本年收入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201 一般公共服务支出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202 外交支出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其中：一般财力</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203 国防支出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上级一般公共预算安排转移支付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 公共安全支出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2.基金预算拨款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205 教育支出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其中：政府性基金收入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206 科学技术支出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上级政府性基金安排转移支付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207 文化旅游体育与传媒支出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 社会保障和就业支出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其中：国有资本经营收入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209 社会保险基金支出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上级国有资本经营预算安排转移支付</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210卫生健康支出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4.财政专户核拨</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211 节能环保支出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5.单位资金</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212 城乡社区支出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其中：事业收入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213 农林水支出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上级补助收入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214 交通运输支出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附属单位上缴收入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215 资源勘探工业信息等支出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事业单位经营收入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216 商业服务业等支出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其他收入</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217 金融支出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二、上年结转结余</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219 援助其他地区支出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1.财政拨款结转</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220 自然资源海洋气象等支出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其中：一般公共预算拨款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221 住房保障支出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基金预算拨款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222 粮油物资储备支出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国有资本经营预算拨款</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223 国有资本经营预算支出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2.非财政拨款结转结余</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224 灾害防治及应急管理支出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其中：财政专户核拨</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227 预备费</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单位资金</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229 其他支出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230 转移性支出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231 债务还本支出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232 债务付息支出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233 债务发行费用支出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234 抗疫特别国债还本支出</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89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收  入  总  计</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317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支  出  总  计</w:t>
            </w:r>
          </w:p>
        </w:tc>
        <w:tc>
          <w:tcPr>
            <w:tcW w:w="76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r>
    </w:tbl>
    <w:p>
      <w:r>
        <w:br w:type="page"/>
      </w:r>
    </w:p>
    <w:tbl>
      <w:tblPr>
        <w:tblStyle w:val="2"/>
        <w:tblpPr w:leftFromText="180" w:rightFromText="180" w:vertAnchor="text" w:horzAnchor="page" w:tblpXSpec="center" w:tblpY="-14"/>
        <w:tblOverlap w:val="never"/>
        <w:tblW w:w="10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405"/>
        <w:gridCol w:w="302"/>
        <w:gridCol w:w="293"/>
        <w:gridCol w:w="1461"/>
        <w:gridCol w:w="645"/>
        <w:gridCol w:w="645"/>
        <w:gridCol w:w="645"/>
        <w:gridCol w:w="645"/>
        <w:gridCol w:w="645"/>
        <w:gridCol w:w="645"/>
        <w:gridCol w:w="645"/>
        <w:gridCol w:w="645"/>
        <w:gridCol w:w="645"/>
        <w:gridCol w:w="645"/>
        <w:gridCol w:w="645"/>
        <w:gridCol w:w="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pPr>
              <w:ind w:left="150"/>
              <w:jc w:val="left"/>
            </w:pPr>
            <w:r>
              <w:rPr>
                <w:rFonts w:ascii="仿宋" w:hAnsi="仿宋" w:eastAsia="仿宋" w:cs="仿宋"/>
                <w:position w:val="8"/>
                <w:sz w:val="20"/>
              </w:rPr>
              <w:t>表二: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10205" w:type="dxa"/>
            <w:gridSpan w:val="16"/>
            <w:tcBorders>
              <w:top w:val="nil"/>
              <w:left w:val="nil"/>
              <w:bottom w:val="nil"/>
              <w:right w:val="nil"/>
            </w:tcBorders>
            <w:vAlign w:val="center"/>
          </w:tcPr>
          <w:p>
            <w:pPr>
              <w:ind w:left="150"/>
              <w:jc w:val="center"/>
            </w:pPr>
            <w:r>
              <w:rPr>
                <w:rFonts w:ascii="黑体" w:hAnsi="黑体" w:eastAsia="黑体" w:cs="黑体"/>
                <w:position w:val="15"/>
                <w:sz w:val="28"/>
              </w:rPr>
              <w:t>单位收入总体情况表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266" w:type="dxa"/>
            <w:gridSpan w:val="13"/>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1939"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810" w:hRule="atLeast"/>
          <w:jc w:val="center"/>
        </w:trPr>
        <w:tc>
          <w:tcPr>
            <w:tcW w:w="1000" w:type="dxa"/>
            <w:gridSpan w:val="3"/>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功能分类编码</w:t>
            </w:r>
          </w:p>
        </w:tc>
        <w:tc>
          <w:tcPr>
            <w:tcW w:w="1461"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功能分类科目</w:t>
            </w:r>
          </w:p>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名称</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总  计</w:t>
            </w:r>
          </w:p>
        </w:tc>
        <w:tc>
          <w:tcPr>
            <w:tcW w:w="4515"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财政专户（教育收费）</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rPr>
                <w:rFonts w:ascii="黑体" w:hAnsi="黑体" w:eastAsia="黑体" w:cs="黑体"/>
                <w:position w:val="10"/>
                <w:sz w:val="20"/>
              </w:rPr>
            </w:pPr>
            <w:r>
              <w:rPr>
                <w:rFonts w:ascii="黑体" w:hAnsi="黑体" w:eastAsia="黑体" w:cs="黑体"/>
                <w:position w:val="10"/>
                <w:sz w:val="20"/>
              </w:rPr>
              <w:t>单位</w:t>
            </w:r>
          </w:p>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资金</w:t>
            </w:r>
          </w:p>
        </w:tc>
        <w:tc>
          <w:tcPr>
            <w:tcW w:w="64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财政拨款结转</w:t>
            </w:r>
          </w:p>
        </w:tc>
        <w:tc>
          <w:tcPr>
            <w:tcW w:w="649"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非财政拨款结转结余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25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类</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款</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项</w:t>
            </w:r>
          </w:p>
        </w:tc>
        <w:tc>
          <w:tcPr>
            <w:tcW w:w="14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财政拨款（补助）小计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一般公共预算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上级一般公共预算安排的转移支付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政府性基金预算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上级政府性基金安排的转移支付</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国有资本经营预算</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30"/>
              <w:jc w:val="center"/>
              <w:textAlignment w:val="auto"/>
            </w:pPr>
            <w:r>
              <w:rPr>
                <w:rFonts w:ascii="黑体" w:hAnsi="黑体" w:eastAsia="黑体" w:cs="黑体"/>
                <w:position w:val="10"/>
                <w:sz w:val="20"/>
              </w:rPr>
              <w:t>上级国有资本经营预算安排的转移支付</w:t>
            </w: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64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社会保障和就业支出</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人力资源和社会保障管理事务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363.81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11</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公共就业服务和职业技能鉴定机构</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210.95</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9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01</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50</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事业运行 </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152.86</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51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 xml:space="preserve"> </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行政事业单位离退休</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825"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208</w:t>
            </w: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05</w:t>
            </w: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left"/>
              <w:textAlignment w:val="auto"/>
            </w:pPr>
            <w:r>
              <w:rPr>
                <w:rFonts w:ascii="仿宋" w:hAnsi="仿宋" w:eastAsia="仿宋" w:cs="仿宋"/>
                <w:position w:val="8"/>
                <w:sz w:val="20"/>
              </w:rPr>
              <w:t>机关事业单位基本养老保险缴费支出</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17.7</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40" w:hRule="atLeast"/>
          <w:jc w:val="center"/>
        </w:trPr>
        <w:tc>
          <w:tcPr>
            <w:tcW w:w="40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30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293"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p>
        </w:tc>
        <w:tc>
          <w:tcPr>
            <w:tcW w:w="146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仿宋" w:hAnsi="仿宋" w:eastAsia="仿宋" w:cs="仿宋"/>
                <w:position w:val="8"/>
                <w:sz w:val="20"/>
              </w:rPr>
              <w:t>合  计</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381.51</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c>
          <w:tcPr>
            <w:tcW w:w="64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8"/>
              <w:jc w:val="center"/>
              <w:textAlignment w:val="auto"/>
            </w:pPr>
            <w:r>
              <w:rPr>
                <w:rFonts w:ascii="黑体" w:hAnsi="黑体" w:eastAsia="黑体" w:cs="黑体"/>
                <w:position w:val="8"/>
                <w:sz w:val="16"/>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28"/>
        <w:gridCol w:w="582"/>
        <w:gridCol w:w="582"/>
        <w:gridCol w:w="3942"/>
        <w:gridCol w:w="629"/>
        <w:gridCol w:w="1018"/>
        <w:gridCol w:w="1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单位支出总体情况表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934"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2666"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934"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2666"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支出预算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992"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942"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62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101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01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942" w:type="dxa"/>
            <w:vMerge w:val="continue"/>
          </w:tcPr>
          <w:p/>
        </w:tc>
        <w:tc>
          <w:tcPr>
            <w:tcW w:w="629" w:type="dxa"/>
            <w:vMerge w:val="continue"/>
          </w:tcPr>
          <w:p/>
        </w:tc>
        <w:tc>
          <w:tcPr>
            <w:tcW w:w="1018" w:type="dxa"/>
            <w:vMerge w:val="continue"/>
          </w:tcPr>
          <w:p/>
        </w:tc>
        <w:tc>
          <w:tcPr>
            <w:tcW w:w="1019"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363.81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50</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事业运行 </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94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62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101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1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bl>
    <w:p>
      <w:r>
        <w:br w:type="page"/>
      </w:r>
    </w:p>
    <w:tbl>
      <w:tblPr>
        <w:tblStyle w:val="2"/>
        <w:tblW w:w="958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418"/>
        <w:gridCol w:w="896"/>
        <w:gridCol w:w="2558"/>
        <w:gridCol w:w="640"/>
        <w:gridCol w:w="1200"/>
        <w:gridCol w:w="1341"/>
        <w:gridCol w:w="15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pPr>
              <w:ind w:left="150"/>
              <w:jc w:val="left"/>
            </w:pPr>
            <w:r>
              <w:rPr>
                <w:rFonts w:ascii="仿宋" w:hAnsi="仿宋" w:eastAsia="仿宋" w:cs="仿宋"/>
                <w:position w:val="8"/>
                <w:sz w:val="20"/>
              </w:rPr>
              <w:t>表四: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9581" w:type="dxa"/>
            <w:gridSpan w:val="7"/>
            <w:tcBorders>
              <w:top w:val="nil"/>
              <w:left w:val="nil"/>
              <w:bottom w:val="nil"/>
              <w:right w:val="nil"/>
            </w:tcBorders>
            <w:vAlign w:val="center"/>
          </w:tcPr>
          <w:p>
            <w:pPr>
              <w:ind w:left="150"/>
              <w:jc w:val="center"/>
            </w:pPr>
            <w:r>
              <w:rPr>
                <w:rFonts w:ascii="黑体" w:hAnsi="黑体" w:eastAsia="黑体" w:cs="黑体"/>
                <w:position w:val="15"/>
                <w:sz w:val="28"/>
              </w:rPr>
              <w:t>财政拨款收支预算总体情况表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23" w:hRule="atLeast"/>
          <w:jc w:val="center"/>
        </w:trPr>
        <w:tc>
          <w:tcPr>
            <w:tcW w:w="5512"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4069"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2314"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财政拨款收入</w:t>
            </w:r>
          </w:p>
        </w:tc>
        <w:tc>
          <w:tcPr>
            <w:tcW w:w="7267" w:type="dxa"/>
            <w:gridSpan w:val="5"/>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30"/>
              <w:jc w:val="center"/>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财政拨款支出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90"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jc w:val="both"/>
              <w:textAlignment w:val="auto"/>
              <w:rPr>
                <w:rFonts w:hint="eastAsia" w:ascii="方正黑体_GBK" w:hAnsi="方正黑体_GBK" w:eastAsia="方正黑体_GBK" w:cs="方正黑体_GBK"/>
                <w:sz w:val="20"/>
                <w:szCs w:val="21"/>
                <w:lang w:val="en-US" w:eastAsia="zh-CN"/>
              </w:rPr>
            </w:pPr>
            <w:r>
              <w:rPr>
                <w:rFonts w:hint="eastAsia" w:ascii="方正黑体_GBK" w:hAnsi="方正黑体_GBK" w:eastAsia="方正黑体_GBK" w:cs="方正黑体_GBK"/>
                <w:sz w:val="20"/>
                <w:szCs w:val="21"/>
                <w:lang w:val="en-US" w:eastAsia="zh-CN"/>
              </w:rPr>
              <w:t xml:space="preserve">   项  目</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功 能 分 类</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合    计</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一般公共预算</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政府性基金预算</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rFonts w:hint="eastAsia" w:ascii="方正黑体_GBK" w:hAnsi="方正黑体_GBK" w:eastAsia="方正黑体_GBK" w:cs="方正黑体_GBK"/>
                <w:sz w:val="20"/>
                <w:szCs w:val="21"/>
              </w:rPr>
            </w:pPr>
            <w:r>
              <w:rPr>
                <w:rFonts w:hint="eastAsia" w:ascii="方正黑体_GBK" w:hAnsi="方正黑体_GBK" w:eastAsia="方正黑体_GBK" w:cs="方正黑体_GBK"/>
                <w:position w:val="10"/>
                <w:sz w:val="18"/>
                <w:szCs w:val="21"/>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财政拨款（补助）</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201 一般公共服务支出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一般公共预算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202 外交支出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政府性基金预算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203 国防支出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国有资本经营预算</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204 公共安全支出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205 教育支出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206 科学技术支出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207 文化旅游体育与传媒支出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208 社会保障和就业支出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209 社会保险基金支出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210卫生健康支出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211 节能环保支出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212 城乡社区支出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213 农林水支出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214 交通运输支出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215 资源勘探工业信息等支出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216 商业服务业等支出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217 金融支出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219 援助其他地区支出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220 自然资源海洋气象等支出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221 住房保障支出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222 粮油物资储备支出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223 国有资本经营预算支出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224灾害防治及应急管理支出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227 预备费</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229 其他支出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230转移性支出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231 债务还本支出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232 债务付息支出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233 债务发行费用支出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1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 xml:space="preserve"> </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left"/>
              <w:textAlignment w:val="auto"/>
              <w:rPr>
                <w:sz w:val="20"/>
                <w:szCs w:val="21"/>
              </w:rPr>
            </w:pPr>
            <w:r>
              <w:rPr>
                <w:rFonts w:ascii="仿宋" w:hAnsi="仿宋" w:eastAsia="仿宋" w:cs="仿宋"/>
                <w:position w:val="8"/>
                <w:sz w:val="18"/>
                <w:szCs w:val="21"/>
              </w:rPr>
              <w:t>234 抗疫特别国债还本支出</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02" w:hRule="atLeast"/>
          <w:jc w:val="center"/>
        </w:trPr>
        <w:tc>
          <w:tcPr>
            <w:tcW w:w="141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收  入  总  计</w:t>
            </w:r>
          </w:p>
        </w:tc>
        <w:tc>
          <w:tcPr>
            <w:tcW w:w="89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255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仿宋" w:hAnsi="仿宋" w:eastAsia="仿宋" w:cs="仿宋"/>
                <w:position w:val="8"/>
                <w:sz w:val="18"/>
                <w:szCs w:val="21"/>
              </w:rPr>
              <w:t>支  出  总  计</w:t>
            </w:r>
          </w:p>
        </w:tc>
        <w:tc>
          <w:tcPr>
            <w:tcW w:w="6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20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381.51</w:t>
            </w:r>
          </w:p>
        </w:tc>
        <w:tc>
          <w:tcPr>
            <w:tcW w:w="1341"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c>
          <w:tcPr>
            <w:tcW w:w="152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173" w:lineRule="auto"/>
              <w:ind w:left="28"/>
              <w:jc w:val="center"/>
              <w:textAlignment w:val="auto"/>
              <w:rPr>
                <w:sz w:val="20"/>
                <w:szCs w:val="21"/>
              </w:rPr>
            </w:pPr>
            <w:r>
              <w:rPr>
                <w:rFonts w:ascii="黑体" w:hAnsi="黑体" w:eastAsia="黑体" w:cs="黑体"/>
                <w:position w:val="8"/>
                <w:sz w:val="15"/>
                <w:szCs w:val="21"/>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802"/>
        <w:gridCol w:w="565"/>
        <w:gridCol w:w="565"/>
        <w:gridCol w:w="3823"/>
        <w:gridCol w:w="869"/>
        <w:gridCol w:w="988"/>
        <w:gridCol w:w="9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一般公共预算支出情况表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755"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2845"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755"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2845"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932"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82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869"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98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823" w:type="dxa"/>
            <w:vMerge w:val="continue"/>
          </w:tcPr>
          <w:p/>
        </w:tc>
        <w:tc>
          <w:tcPr>
            <w:tcW w:w="869" w:type="dxa"/>
            <w:vMerge w:val="continue"/>
          </w:tcPr>
          <w:p/>
        </w:tc>
        <w:tc>
          <w:tcPr>
            <w:tcW w:w="988" w:type="dxa"/>
            <w:vMerge w:val="continue"/>
          </w:tcPr>
          <w:p/>
        </w:tc>
        <w:tc>
          <w:tcPr>
            <w:tcW w:w="988"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363.81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50</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事业运行 </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152.86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82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86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381.51</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184"/>
        <w:gridCol w:w="832"/>
        <w:gridCol w:w="3494"/>
        <w:gridCol w:w="1030"/>
        <w:gridCol w:w="1030"/>
        <w:gridCol w:w="1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6"/>
            <w:tcBorders>
              <w:top w:val="nil"/>
              <w:left w:val="nil"/>
              <w:bottom w:val="nil"/>
              <w:right w:val="nil"/>
            </w:tcBorders>
            <w:vAlign w:val="center"/>
          </w:tcPr>
          <w:p>
            <w:pPr>
              <w:ind w:left="150"/>
              <w:jc w:val="left"/>
            </w:pPr>
            <w:r>
              <w:rPr>
                <w:rFonts w:ascii="仿宋" w:hAnsi="仿宋" w:eastAsia="仿宋" w:cs="仿宋"/>
                <w:position w:val="8"/>
                <w:sz w:val="20"/>
              </w:rPr>
              <w:t>表六: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6"/>
            <w:tcBorders>
              <w:top w:val="nil"/>
              <w:left w:val="nil"/>
              <w:bottom w:val="nil"/>
              <w:right w:val="nil"/>
            </w:tcBorders>
            <w:vAlign w:val="center"/>
          </w:tcPr>
          <w:p>
            <w:pPr>
              <w:ind w:left="150"/>
              <w:jc w:val="center"/>
            </w:pPr>
            <w:r>
              <w:rPr>
                <w:rFonts w:ascii="黑体" w:hAnsi="黑体" w:eastAsia="黑体" w:cs="黑体"/>
                <w:position w:val="15"/>
                <w:sz w:val="28"/>
              </w:rPr>
              <w:t>一般公共预算基本支出情况表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510" w:type="dxa"/>
            <w:gridSpan w:val="3"/>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090"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51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09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一般公共预算基本支出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016"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经济分类科目编码</w:t>
            </w:r>
          </w:p>
        </w:tc>
        <w:tc>
          <w:tcPr>
            <w:tcW w:w="349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经济分类科目名称</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人员经费</w:t>
            </w:r>
          </w:p>
        </w:tc>
        <w:tc>
          <w:tcPr>
            <w:tcW w:w="10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公用经费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3494" w:type="dxa"/>
            <w:vMerge w:val="continue"/>
          </w:tcPr>
          <w:p/>
        </w:tc>
        <w:tc>
          <w:tcPr>
            <w:tcW w:w="1030" w:type="dxa"/>
            <w:vMerge w:val="continue"/>
          </w:tcPr>
          <w:p/>
        </w:tc>
        <w:tc>
          <w:tcPr>
            <w:tcW w:w="1030" w:type="dxa"/>
            <w:vMerge w:val="continue"/>
          </w:tcPr>
          <w:p/>
        </w:tc>
        <w:tc>
          <w:tcPr>
            <w:tcW w:w="1030"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工资福利支出</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基本工资</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42.81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津贴补贴</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10.93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奖金</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绩效工资</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38.37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08</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17.7</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10</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职工基本医疗保险缴费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7.84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公务员医疗补助缴费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其他社会保障缴费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0.85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住房公积金</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14.32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商品和服务支出</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办公费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9.44</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9.44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印刷费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06</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电费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07</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邮电费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维修(护)费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0.3</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28</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工会经费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29</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福利费</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2.42</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1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49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170.56</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154.31</w:t>
            </w:r>
          </w:p>
        </w:tc>
        <w:tc>
          <w:tcPr>
            <w:tcW w:w="10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16.25</w:t>
            </w:r>
          </w:p>
        </w:tc>
      </w:tr>
    </w:tbl>
    <w:p>
      <w:r>
        <w:br w:type="page"/>
      </w:r>
    </w:p>
    <w:tbl>
      <w:tblPr>
        <w:tblStyle w:val="2"/>
        <w:tblW w:w="86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36"/>
        <w:gridCol w:w="236"/>
        <w:gridCol w:w="257"/>
        <w:gridCol w:w="870"/>
        <w:gridCol w:w="690"/>
        <w:gridCol w:w="564"/>
        <w:gridCol w:w="564"/>
        <w:gridCol w:w="564"/>
        <w:gridCol w:w="564"/>
        <w:gridCol w:w="564"/>
        <w:gridCol w:w="564"/>
        <w:gridCol w:w="564"/>
        <w:gridCol w:w="564"/>
        <w:gridCol w:w="318"/>
        <w:gridCol w:w="246"/>
        <w:gridCol w:w="564"/>
        <w:gridCol w:w="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pPr>
              <w:ind w:left="150"/>
              <w:jc w:val="left"/>
            </w:pPr>
            <w:r>
              <w:rPr>
                <w:rFonts w:ascii="仿宋" w:hAnsi="仿宋" w:eastAsia="仿宋" w:cs="仿宋"/>
                <w:position w:val="8"/>
                <w:sz w:val="20"/>
              </w:rPr>
              <w:t>表七: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8600" w:type="dxa"/>
            <w:gridSpan w:val="17"/>
            <w:tcBorders>
              <w:top w:val="nil"/>
              <w:left w:val="nil"/>
              <w:bottom w:val="nil"/>
              <w:right w:val="nil"/>
            </w:tcBorders>
            <w:vAlign w:val="center"/>
          </w:tcPr>
          <w:p>
            <w:pPr>
              <w:ind w:left="150"/>
              <w:jc w:val="center"/>
            </w:pPr>
            <w:r>
              <w:rPr>
                <w:rFonts w:ascii="黑体" w:hAnsi="黑体" w:eastAsia="黑体" w:cs="黑体"/>
                <w:position w:val="15"/>
                <w:sz w:val="28"/>
              </w:rPr>
              <w:t>一般公共预算项目支出情况表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7219" w:type="dxa"/>
            <w:gridSpan w:val="1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1381"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29"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科目编码</w:t>
            </w:r>
          </w:p>
        </w:tc>
        <w:tc>
          <w:tcPr>
            <w:tcW w:w="87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科目名称</w:t>
            </w:r>
          </w:p>
        </w:tc>
        <w:tc>
          <w:tcPr>
            <w:tcW w:w="69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项目名称</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项目支出合计</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工资福利支出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商品和服务支出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对个人和家庭的补助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债务利息及费用支出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资本性支出（基本建设）</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资本性支出</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对企业补助（基本建设）</w:t>
            </w:r>
          </w:p>
        </w:tc>
        <w:tc>
          <w:tcPr>
            <w:tcW w:w="564" w:type="dxa"/>
            <w:gridSpan w:val="2"/>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对企业补助</w:t>
            </w:r>
          </w:p>
        </w:tc>
        <w:tc>
          <w:tcPr>
            <w:tcW w:w="56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对社会保障基金补助</w:t>
            </w:r>
          </w:p>
        </w:tc>
        <w:tc>
          <w:tcPr>
            <w:tcW w:w="571"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其他支出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870" w:type="dxa"/>
            <w:vMerge w:val="continue"/>
          </w:tcPr>
          <w:p/>
        </w:tc>
        <w:tc>
          <w:tcPr>
            <w:tcW w:w="690"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vMerge w:val="continue"/>
          </w:tcPr>
          <w:p/>
        </w:tc>
        <w:tc>
          <w:tcPr>
            <w:tcW w:w="564" w:type="dxa"/>
            <w:gridSpan w:val="2"/>
            <w:vMerge w:val="continue"/>
          </w:tcPr>
          <w:p/>
        </w:tc>
        <w:tc>
          <w:tcPr>
            <w:tcW w:w="564" w:type="dxa"/>
            <w:vMerge w:val="continue"/>
          </w:tcPr>
          <w:p/>
        </w:tc>
        <w:tc>
          <w:tcPr>
            <w:tcW w:w="571"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946" w:hRule="atLeast"/>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人力资源和社会保障管理事务</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人事考试业务费非政府采购</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190.95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公共就业服务和职业技能鉴定机构</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人事考试业务费政府采购项目</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jc w:val="center"/>
        </w:trPr>
        <w:tc>
          <w:tcPr>
            <w:tcW w:w="3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3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7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210.95</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6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57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0"/>
        <w:gridCol w:w="752"/>
        <w:gridCol w:w="751"/>
        <w:gridCol w:w="3087"/>
        <w:gridCol w:w="1000"/>
        <w:gridCol w:w="1130"/>
        <w:gridCol w:w="11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政府性基金预算支出情况表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340"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260"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34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26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253"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087"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100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13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75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087" w:type="dxa"/>
            <w:vMerge w:val="continue"/>
          </w:tcPr>
          <w:p/>
        </w:tc>
        <w:tc>
          <w:tcPr>
            <w:tcW w:w="1000" w:type="dxa"/>
            <w:vMerge w:val="continue"/>
          </w:tcPr>
          <w:p/>
        </w:tc>
        <w:tc>
          <w:tcPr>
            <w:tcW w:w="1130" w:type="dxa"/>
            <w:vMerge w:val="continue"/>
          </w:tcPr>
          <w:p/>
        </w:tc>
        <w:tc>
          <w:tcPr>
            <w:tcW w:w="1130"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08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00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c>
          <w:tcPr>
            <w:tcW w:w="113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00" w:type="dxa"/>
            <w:gridSpan w:val="7"/>
            <w:tcBorders>
              <w:left w:val="nil"/>
              <w:bottom w:val="nil"/>
              <w:right w:val="nil"/>
            </w:tcBorders>
            <w:vAlign w:val="center"/>
          </w:tcPr>
          <w:p>
            <w:pPr>
              <w:ind w:left="150"/>
              <w:jc w:val="left"/>
            </w:pPr>
            <w:r>
              <w:rPr>
                <w:rFonts w:ascii="仿宋" w:hAnsi="仿宋" w:eastAsia="仿宋" w:cs="仿宋"/>
                <w:position w:val="8"/>
                <w:sz w:val="20"/>
              </w:rPr>
              <w:t>乌鲁木齐市人事考试中心2023年没有使用政府性基金预算拨款安排的支出，政府性基金预算支出情况表为空表。</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758"/>
        <w:gridCol w:w="760"/>
        <w:gridCol w:w="758"/>
        <w:gridCol w:w="3151"/>
        <w:gridCol w:w="880"/>
        <w:gridCol w:w="1146"/>
        <w:gridCol w:w="11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国有资本经营预算支出情况表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5427"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3173"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427"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3173"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276"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3151"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88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146"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147"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75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76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5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3151" w:type="dxa"/>
            <w:vMerge w:val="continue"/>
          </w:tcPr>
          <w:p/>
        </w:tc>
        <w:tc>
          <w:tcPr>
            <w:tcW w:w="880" w:type="dxa"/>
            <w:vMerge w:val="continue"/>
          </w:tcPr>
          <w:p/>
        </w:tc>
        <w:tc>
          <w:tcPr>
            <w:tcW w:w="1146" w:type="dxa"/>
            <w:vMerge w:val="continue"/>
          </w:tcPr>
          <w:p/>
        </w:tc>
        <w:tc>
          <w:tcPr>
            <w:tcW w:w="1147" w:type="dxa"/>
            <w:vMerge w:val="continue"/>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90" w:hRule="atLeast"/>
        </w:trPr>
        <w:tc>
          <w:tcPr>
            <w:tcW w:w="75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5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1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880" w:type="dxa"/>
            <w:tcBorders>
              <w:top w:val="single" w:color="auto" w:sz="0" w:space="0"/>
              <w:left w:val="single" w:color="auto" w:sz="0" w:space="0"/>
              <w:bottom w:val="single" w:color="auto" w:sz="0" w:space="0"/>
              <w:right w:val="single" w:color="auto" w:sz="0" w:space="0"/>
            </w:tcBorders>
            <w:vAlign w:val="center"/>
          </w:tcPr>
          <w:p>
            <w:pPr>
              <w:ind w:left="30"/>
              <w:jc w:val="center"/>
              <w:rPr>
                <w:sz w:val="18"/>
                <w:szCs w:val="18"/>
              </w:rPr>
            </w:pPr>
            <w:r>
              <w:rPr>
                <w:rFonts w:ascii="仿宋" w:hAnsi="仿宋" w:eastAsia="仿宋" w:cs="仿宋"/>
                <w:position w:val="8"/>
                <w:sz w:val="18"/>
                <w:szCs w:val="18"/>
              </w:rPr>
              <w:t>0</w:t>
            </w:r>
          </w:p>
        </w:tc>
        <w:tc>
          <w:tcPr>
            <w:tcW w:w="1146" w:type="dxa"/>
            <w:tcBorders>
              <w:top w:val="single" w:color="auto" w:sz="0" w:space="0"/>
              <w:left w:val="single" w:color="auto" w:sz="0" w:space="0"/>
              <w:bottom w:val="single" w:color="auto" w:sz="0" w:space="0"/>
              <w:right w:val="single" w:color="auto" w:sz="0" w:space="0"/>
            </w:tcBorders>
            <w:vAlign w:val="center"/>
          </w:tcPr>
          <w:p>
            <w:pPr>
              <w:ind w:left="30"/>
              <w:jc w:val="center"/>
              <w:rPr>
                <w:rFonts w:hint="eastAsia" w:eastAsia="宋体"/>
                <w:sz w:val="18"/>
                <w:szCs w:val="18"/>
                <w:lang w:eastAsia="zh-CN"/>
              </w:rPr>
            </w:pPr>
            <w:r>
              <w:rPr>
                <w:rFonts w:hint="eastAsia" w:ascii="黑体" w:hAnsi="黑体" w:eastAsia="黑体" w:cs="黑体"/>
                <w:position w:val="8"/>
                <w:sz w:val="18"/>
                <w:szCs w:val="18"/>
                <w:lang w:val="en-US" w:eastAsia="zh-CN"/>
              </w:rPr>
              <w:t>0</w:t>
            </w:r>
          </w:p>
        </w:tc>
        <w:tc>
          <w:tcPr>
            <w:tcW w:w="1147" w:type="dxa"/>
            <w:tcBorders>
              <w:top w:val="single" w:color="auto" w:sz="0" w:space="0"/>
              <w:left w:val="single" w:color="auto" w:sz="0" w:space="0"/>
              <w:bottom w:val="single" w:color="auto" w:sz="0" w:space="0"/>
              <w:right w:val="single" w:color="auto" w:sz="0" w:space="0"/>
            </w:tcBorders>
            <w:vAlign w:val="center"/>
          </w:tcPr>
          <w:p>
            <w:pPr>
              <w:ind w:left="30"/>
              <w:jc w:val="center"/>
              <w:rPr>
                <w:sz w:val="18"/>
                <w:szCs w:val="18"/>
              </w:rPr>
            </w:pPr>
            <w:r>
              <w:rPr>
                <w:rFonts w:ascii="黑体" w:hAnsi="黑体" w:eastAsia="黑体" w:cs="黑体"/>
                <w:position w:val="8"/>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7"/>
            <w:tcBorders>
              <w:left w:val="nil"/>
              <w:bottom w:val="nil"/>
              <w:right w:val="nil"/>
            </w:tcBorders>
            <w:vAlign w:val="center"/>
          </w:tcPr>
          <w:p>
            <w:pPr>
              <w:ind w:left="150"/>
              <w:jc w:val="left"/>
            </w:pPr>
            <w:r>
              <w:rPr>
                <w:rFonts w:ascii="仿宋" w:hAnsi="仿宋" w:eastAsia="仿宋" w:cs="仿宋"/>
                <w:position w:val="8"/>
                <w:sz w:val="20"/>
              </w:rPr>
              <w:t>乌鲁木齐市人事考试中心2023年没有安排国有资本经营预算的支出，国有资本经营预算支出情况表为空表。</w:t>
            </w:r>
          </w:p>
        </w:tc>
      </w:tr>
    </w:tbl>
    <w:p>
      <w:r>
        <w:br w:type="page"/>
      </w: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441"/>
        <w:gridCol w:w="528"/>
        <w:gridCol w:w="1465"/>
        <w:gridCol w:w="1228"/>
        <w:gridCol w:w="19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5"/>
            <w:tcBorders>
              <w:top w:val="nil"/>
              <w:left w:val="nil"/>
              <w:bottom w:val="nil"/>
              <w:right w:val="nil"/>
            </w:tcBorders>
            <w:vAlign w:val="center"/>
          </w:tcPr>
          <w:p>
            <w:pPr>
              <w:ind w:left="150"/>
              <w:jc w:val="left"/>
            </w:pPr>
            <w:r>
              <w:rPr>
                <w:rFonts w:ascii="仿宋" w:hAnsi="仿宋" w:eastAsia="仿宋" w:cs="仿宋"/>
                <w:position w:val="8"/>
                <w:sz w:val="20"/>
              </w:rPr>
              <w:t>表十: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5"/>
            <w:tcBorders>
              <w:top w:val="nil"/>
              <w:left w:val="nil"/>
              <w:bottom w:val="nil"/>
              <w:right w:val="nil"/>
            </w:tcBorders>
            <w:vAlign w:val="center"/>
          </w:tcPr>
          <w:p>
            <w:pPr>
              <w:ind w:left="150"/>
              <w:jc w:val="center"/>
            </w:pPr>
            <w:r>
              <w:rPr>
                <w:rFonts w:ascii="黑体" w:hAnsi="黑体" w:eastAsia="黑体" w:cs="黑体"/>
                <w:position w:val="15"/>
                <w:sz w:val="28"/>
              </w:rPr>
              <w:t>财政拨款“三公”经费支出情况表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969"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编制单位：乌鲁木齐市人事考试中心</w:t>
            </w:r>
          </w:p>
        </w:tc>
        <w:tc>
          <w:tcPr>
            <w:tcW w:w="4631"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41"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三公支出内容</w:t>
            </w:r>
          </w:p>
        </w:tc>
        <w:tc>
          <w:tcPr>
            <w:tcW w:w="528"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4631"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vMerge w:val="continue"/>
          </w:tcPr>
          <w:p/>
        </w:tc>
        <w:tc>
          <w:tcPr>
            <w:tcW w:w="528" w:type="dxa"/>
            <w:vMerge w:val="continue"/>
          </w:tcP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合计</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因公出国(境)费用</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公务接待费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公务用车购置及运行费（小计）</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其中：公务用车购置费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34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公务用车运行费</w:t>
            </w:r>
          </w:p>
        </w:tc>
        <w:tc>
          <w:tcPr>
            <w:tcW w:w="5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4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c>
          <w:tcPr>
            <w:tcW w:w="193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hint="eastAsia" w:ascii="黑体" w:hAnsi="黑体" w:eastAsia="黑体" w:cs="黑体"/>
                <w:position w:val="8"/>
                <w:sz w:val="16"/>
                <w:lang w:val="en-US" w:eastAsia="zh-CN"/>
              </w:rPr>
              <w:t>0</w:t>
            </w:r>
          </w:p>
        </w:tc>
      </w:tr>
    </w:tbl>
    <w:p>
      <w:r>
        <w:rPr>
          <w:rFonts w:ascii="仿宋" w:hAnsi="仿宋" w:eastAsia="仿宋" w:cs="仿宋"/>
          <w:position w:val="8"/>
          <w:sz w:val="20"/>
        </w:rPr>
        <w:t>乌鲁木齐市人事考试中心2023年没有</w:t>
      </w:r>
      <w:r>
        <w:rPr>
          <w:rFonts w:hint="eastAsia" w:ascii="仿宋" w:hAnsi="仿宋" w:eastAsia="仿宋" w:cs="仿宋"/>
          <w:position w:val="8"/>
          <w:sz w:val="20"/>
          <w:lang w:val="en-US" w:eastAsia="zh-CN"/>
        </w:rPr>
        <w:t>“三公”经费</w:t>
      </w:r>
      <w:r>
        <w:rPr>
          <w:rFonts w:ascii="仿宋" w:hAnsi="仿宋" w:eastAsia="仿宋" w:cs="仿宋"/>
          <w:position w:val="8"/>
          <w:sz w:val="20"/>
        </w:rPr>
        <w:t>预算安排的支出，</w:t>
      </w:r>
      <w:r>
        <w:rPr>
          <w:rFonts w:hint="eastAsia" w:ascii="仿宋" w:hAnsi="仿宋" w:eastAsia="仿宋" w:cs="仿宋"/>
          <w:position w:val="8"/>
          <w:sz w:val="20"/>
          <w:lang w:val="en-US" w:eastAsia="zh-CN"/>
        </w:rPr>
        <w:t>财政拨款“三公”经费支出</w:t>
      </w:r>
      <w:r>
        <w:rPr>
          <w:rFonts w:ascii="仿宋" w:hAnsi="仿宋" w:eastAsia="仿宋" w:cs="仿宋"/>
          <w:position w:val="8"/>
          <w:sz w:val="20"/>
        </w:rPr>
        <w:t>情况表为空表</w:t>
      </w:r>
      <w:r>
        <w:rPr>
          <w:rFonts w:hint="eastAsia" w:ascii="仿宋" w:hAnsi="仿宋" w:eastAsia="仿宋" w:cs="仿宋"/>
          <w:position w:val="8"/>
          <w:sz w:val="20"/>
          <w:lang w:eastAsia="zh-CN"/>
        </w:rPr>
        <w:t>。</w:t>
      </w:r>
      <w:r>
        <w:br w:type="page"/>
      </w:r>
    </w:p>
    <w:p>
      <w:pPr>
        <w:ind w:left="200" w:right="200" w:firstLine="500"/>
        <w:jc w:val="center"/>
      </w:pPr>
      <w:r>
        <w:rPr>
          <w:rFonts w:ascii="黑体" w:hAnsi="黑体" w:eastAsia="黑体" w:cs="黑体"/>
          <w:position w:val="30"/>
          <w:sz w:val="42"/>
        </w:rPr>
        <w:t>第三部分 2023年单位预算情况说明</w:t>
      </w:r>
    </w:p>
    <w:p>
      <w:pPr>
        <w:spacing w:before="150"/>
        <w:ind w:left="200" w:right="200" w:firstLine="500"/>
        <w:jc w:val="both"/>
      </w:pPr>
      <w:r>
        <w:rPr>
          <w:rFonts w:ascii="黑体" w:hAnsi="黑体" w:eastAsia="黑体" w:cs="黑体"/>
          <w:position w:val="20"/>
          <w:sz w:val="34"/>
        </w:rPr>
        <w:t>一、关于乌鲁木齐市人事考试中心2023年收支预算情况的总体说明</w:t>
      </w:r>
    </w:p>
    <w:p>
      <w:pPr>
        <w:ind w:left="200" w:right="200" w:firstLine="500"/>
        <w:jc w:val="both"/>
      </w:pPr>
      <w:r>
        <w:rPr>
          <w:rFonts w:ascii="仿宋" w:hAnsi="仿宋" w:eastAsia="仿宋" w:cs="仿宋"/>
          <w:position w:val="10"/>
          <w:sz w:val="34"/>
        </w:rPr>
        <w:t>按照全口径预算的原则，乌鲁木齐市人事考试中心2023年所有收入和支出均纳入单位预算管理。收支总预算381.51万元。</w:t>
      </w:r>
    </w:p>
    <w:p>
      <w:pPr>
        <w:ind w:left="200" w:right="200" w:firstLine="500"/>
        <w:jc w:val="both"/>
      </w:pPr>
      <w:r>
        <w:rPr>
          <w:rFonts w:ascii="仿宋" w:hAnsi="仿宋" w:eastAsia="仿宋" w:cs="仿宋"/>
          <w:position w:val="10"/>
          <w:sz w:val="34"/>
        </w:rPr>
        <w:t>收入预算包括：一般公共预算等。</w:t>
      </w:r>
    </w:p>
    <w:p>
      <w:pPr>
        <w:ind w:left="200" w:right="200" w:firstLine="500"/>
        <w:jc w:val="both"/>
      </w:pPr>
      <w:r>
        <w:rPr>
          <w:rFonts w:ascii="仿宋" w:hAnsi="仿宋" w:eastAsia="仿宋" w:cs="仿宋"/>
          <w:position w:val="10"/>
          <w:sz w:val="34"/>
        </w:rPr>
        <w:t>支出预算包括：社会保障和就业支出等。</w:t>
      </w:r>
    </w:p>
    <w:p>
      <w:pPr>
        <w:spacing w:before="150"/>
        <w:ind w:left="200" w:right="200" w:firstLine="500"/>
        <w:jc w:val="both"/>
      </w:pPr>
      <w:r>
        <w:rPr>
          <w:rFonts w:ascii="黑体" w:hAnsi="黑体" w:eastAsia="黑体" w:cs="黑体"/>
          <w:position w:val="20"/>
          <w:sz w:val="34"/>
        </w:rPr>
        <w:t>二、关于乌鲁木齐市人事考试中心2023年收入预算情况说明</w:t>
      </w:r>
    </w:p>
    <w:p>
      <w:pPr>
        <w:ind w:left="200" w:right="200" w:firstLine="500"/>
        <w:jc w:val="both"/>
        <w:rPr>
          <w:rFonts w:ascii="仿宋" w:hAnsi="仿宋" w:eastAsia="仿宋" w:cs="仿宋"/>
          <w:position w:val="10"/>
          <w:sz w:val="34"/>
        </w:rPr>
      </w:pPr>
      <w:r>
        <w:rPr>
          <w:rFonts w:ascii="仿宋" w:hAnsi="仿宋" w:eastAsia="仿宋" w:cs="仿宋"/>
          <w:position w:val="10"/>
          <w:sz w:val="34"/>
        </w:rPr>
        <w:t>乌鲁木齐市人事考试中心收入预算381.51万元，其中：</w:t>
      </w:r>
    </w:p>
    <w:p>
      <w:pPr>
        <w:ind w:left="200" w:right="200" w:firstLine="500"/>
        <w:jc w:val="both"/>
      </w:pPr>
      <w:r>
        <w:rPr>
          <w:rFonts w:ascii="仿宋" w:hAnsi="仿宋" w:eastAsia="仿宋" w:cs="仿宋"/>
          <w:position w:val="10"/>
          <w:sz w:val="34"/>
        </w:rPr>
        <w:t>一般公共预算381.51万元，占100.00%，比上年预算增加101.08万元，增长36.04%，主要原因是中心新增在编人员1人，基本经费增加；人事考试业务量增加</w:t>
      </w:r>
      <w:r>
        <w:rPr>
          <w:rFonts w:hint="eastAsia" w:ascii="仿宋" w:hAnsi="仿宋" w:eastAsia="仿宋" w:cs="仿宋"/>
          <w:position w:val="10"/>
          <w:sz w:val="34"/>
          <w:lang w:eastAsia="zh-CN"/>
        </w:rPr>
        <w:t>，</w:t>
      </w:r>
      <w:r>
        <w:rPr>
          <w:rFonts w:ascii="仿宋" w:hAnsi="仿宋" w:eastAsia="仿宋" w:cs="仿宋"/>
          <w:position w:val="10"/>
          <w:sz w:val="34"/>
        </w:rPr>
        <w:t>人事考试项目经费增加。</w:t>
      </w:r>
    </w:p>
    <w:p>
      <w:pPr>
        <w:ind w:left="200" w:right="200" w:firstLine="500"/>
        <w:jc w:val="both"/>
      </w:pPr>
      <w:r>
        <w:rPr>
          <w:rFonts w:ascii="仿宋" w:hAnsi="仿宋" w:eastAsia="仿宋" w:cs="仿宋"/>
          <w:position w:val="10"/>
          <w:sz w:val="34"/>
        </w:rPr>
        <w:t>上级一般公共预算安排的转移支付资金未安排。</w:t>
      </w:r>
    </w:p>
    <w:p>
      <w:pPr>
        <w:ind w:left="200" w:right="200" w:firstLine="500"/>
        <w:jc w:val="both"/>
      </w:pPr>
      <w:r>
        <w:rPr>
          <w:rFonts w:ascii="仿宋" w:hAnsi="仿宋" w:eastAsia="仿宋" w:cs="仿宋"/>
          <w:position w:val="10"/>
          <w:sz w:val="34"/>
        </w:rPr>
        <w:t>政府性基金预算未安排。</w:t>
      </w:r>
    </w:p>
    <w:p>
      <w:pPr>
        <w:ind w:left="200" w:right="200" w:firstLine="500"/>
        <w:jc w:val="both"/>
      </w:pPr>
      <w:r>
        <w:rPr>
          <w:rFonts w:ascii="仿宋" w:hAnsi="仿宋" w:eastAsia="仿宋" w:cs="仿宋"/>
          <w:position w:val="10"/>
          <w:sz w:val="34"/>
        </w:rPr>
        <w:t>上级政府性基金安排的转移支付资金未安排。</w:t>
      </w:r>
    </w:p>
    <w:p>
      <w:pPr>
        <w:ind w:left="200" w:right="200" w:firstLine="500"/>
        <w:jc w:val="both"/>
      </w:pPr>
      <w:r>
        <w:rPr>
          <w:rFonts w:ascii="仿宋" w:hAnsi="仿宋" w:eastAsia="仿宋" w:cs="仿宋"/>
          <w:position w:val="10"/>
          <w:sz w:val="34"/>
        </w:rPr>
        <w:t>国有资本经营预算未安排。</w:t>
      </w:r>
    </w:p>
    <w:p>
      <w:pPr>
        <w:ind w:left="200" w:right="200" w:firstLine="500"/>
        <w:jc w:val="both"/>
      </w:pPr>
      <w:r>
        <w:rPr>
          <w:rFonts w:ascii="仿宋" w:hAnsi="仿宋" w:eastAsia="仿宋" w:cs="仿宋"/>
          <w:position w:val="10"/>
          <w:sz w:val="34"/>
        </w:rPr>
        <w:t>上级国有资本经营预算安排的转移支付资金未安排。</w:t>
      </w:r>
    </w:p>
    <w:p>
      <w:pPr>
        <w:spacing w:before="150"/>
        <w:ind w:left="200" w:right="200" w:firstLine="500"/>
        <w:jc w:val="both"/>
      </w:pPr>
      <w:r>
        <w:rPr>
          <w:rFonts w:ascii="黑体" w:hAnsi="黑体" w:eastAsia="黑体" w:cs="黑体"/>
          <w:position w:val="20"/>
          <w:sz w:val="34"/>
        </w:rPr>
        <w:t>三、关于乌鲁木齐市人事考试中心2023年支出预算情况说明</w:t>
      </w:r>
    </w:p>
    <w:p>
      <w:pPr>
        <w:ind w:left="200" w:right="200" w:firstLine="500"/>
        <w:jc w:val="both"/>
      </w:pPr>
      <w:r>
        <w:rPr>
          <w:rFonts w:ascii="仿宋" w:hAnsi="仿宋" w:eastAsia="仿宋" w:cs="仿宋"/>
          <w:position w:val="10"/>
          <w:sz w:val="34"/>
        </w:rPr>
        <w:t>乌鲁木齐市人事考试中心2023年支出预算381.51万元，其中：</w:t>
      </w:r>
    </w:p>
    <w:p>
      <w:pPr>
        <w:ind w:left="200" w:right="200" w:firstLine="500"/>
        <w:jc w:val="both"/>
      </w:pPr>
      <w:r>
        <w:rPr>
          <w:rFonts w:ascii="仿宋" w:hAnsi="仿宋" w:eastAsia="仿宋" w:cs="仿宋"/>
          <w:position w:val="10"/>
          <w:sz w:val="34"/>
        </w:rPr>
        <w:t>基本支出170.56万元，占44.71%，比上年预算增加26.93万元，增长18.75%，主要原因是中心新增在编人员1人，人员类、公用类支出预算增加。</w:t>
      </w:r>
    </w:p>
    <w:p>
      <w:pPr>
        <w:ind w:left="200" w:right="200" w:firstLine="500"/>
        <w:jc w:val="both"/>
      </w:pPr>
      <w:r>
        <w:rPr>
          <w:rFonts w:ascii="仿宋" w:hAnsi="仿宋" w:eastAsia="仿宋" w:cs="仿宋"/>
          <w:position w:val="10"/>
          <w:sz w:val="34"/>
        </w:rPr>
        <w:t>项目支出210.95万元，占55.29%，比上年预算增加74.15万元，增长54.20%，主要原因是人事考试业务量增加，人事考试项目预算经费增加。</w:t>
      </w:r>
    </w:p>
    <w:p>
      <w:pPr>
        <w:spacing w:before="150"/>
        <w:ind w:left="200" w:right="200" w:firstLine="500"/>
        <w:jc w:val="both"/>
      </w:pPr>
      <w:r>
        <w:rPr>
          <w:rFonts w:ascii="黑体" w:hAnsi="黑体" w:eastAsia="黑体" w:cs="黑体"/>
          <w:position w:val="20"/>
          <w:sz w:val="34"/>
        </w:rPr>
        <w:t>四、关于乌鲁木齐市人事考试中心2023年财政拨款收支预算情况的总体说明</w:t>
      </w:r>
    </w:p>
    <w:p>
      <w:pPr>
        <w:ind w:left="200" w:right="200" w:firstLine="500"/>
        <w:jc w:val="both"/>
      </w:pPr>
      <w:r>
        <w:rPr>
          <w:rFonts w:ascii="仿宋" w:hAnsi="仿宋" w:eastAsia="仿宋" w:cs="仿宋"/>
          <w:position w:val="10"/>
          <w:sz w:val="34"/>
        </w:rPr>
        <w:t>2023年财政拨款收支总预算381.51万元。</w:t>
      </w:r>
    </w:p>
    <w:p>
      <w:pPr>
        <w:ind w:left="200" w:right="200" w:firstLine="500"/>
        <w:jc w:val="both"/>
      </w:pPr>
      <w:r>
        <w:rPr>
          <w:rFonts w:ascii="仿宋" w:hAnsi="仿宋" w:eastAsia="仿宋" w:cs="仿宋"/>
          <w:position w:val="10"/>
          <w:sz w:val="34"/>
        </w:rPr>
        <w:t>收入全部为一般公共预算拨款，无政府性基金预算拨款和国有资本经营预算。</w:t>
      </w:r>
    </w:p>
    <w:p>
      <w:pPr>
        <w:ind w:left="200" w:right="200" w:firstLine="500"/>
        <w:jc w:val="both"/>
        <w:rPr>
          <w:rFonts w:ascii="仿宋" w:hAnsi="仿宋" w:eastAsia="仿宋" w:cs="仿宋"/>
          <w:position w:val="10"/>
          <w:sz w:val="34"/>
        </w:rPr>
      </w:pPr>
      <w:r>
        <w:rPr>
          <w:rFonts w:ascii="仿宋" w:hAnsi="仿宋" w:eastAsia="仿宋" w:cs="仿宋"/>
          <w:position w:val="10"/>
          <w:sz w:val="34"/>
        </w:rPr>
        <w:t>收入预算包括：一般公共预算拨款381.51万元。</w:t>
      </w:r>
    </w:p>
    <w:p>
      <w:pPr>
        <w:ind w:left="200" w:right="200" w:firstLine="500"/>
        <w:jc w:val="both"/>
        <w:rPr>
          <w:rFonts w:hint="default" w:eastAsia="仿宋"/>
          <w:lang w:val="en-US" w:eastAsia="zh-CN"/>
        </w:rPr>
      </w:pPr>
      <w:r>
        <w:rPr>
          <w:rFonts w:ascii="仿宋" w:hAnsi="仿宋" w:eastAsia="仿宋" w:cs="仿宋"/>
          <w:position w:val="10"/>
          <w:sz w:val="34"/>
        </w:rPr>
        <w:t>一般公共预算支出包括：社会保障和就业支</w:t>
      </w:r>
      <w:r>
        <w:rPr>
          <w:rFonts w:hint="eastAsia" w:ascii="仿宋" w:hAnsi="仿宋" w:eastAsia="仿宋" w:cs="仿宋"/>
          <w:position w:val="10"/>
          <w:sz w:val="34"/>
          <w:lang w:val="en-US" w:eastAsia="zh-CN"/>
        </w:rPr>
        <w:t>出</w:t>
      </w:r>
      <w:r>
        <w:rPr>
          <w:rFonts w:ascii="仿宋" w:hAnsi="仿宋" w:eastAsia="仿宋" w:cs="仿宋"/>
          <w:position w:val="10"/>
          <w:sz w:val="34"/>
        </w:rPr>
        <w:t>381.51万元，主要用于</w:t>
      </w:r>
      <w:r>
        <w:rPr>
          <w:rFonts w:hint="eastAsia" w:ascii="仿宋" w:hAnsi="仿宋" w:eastAsia="仿宋" w:cs="仿宋"/>
          <w:position w:val="10"/>
          <w:sz w:val="34"/>
          <w:lang w:val="en-US" w:eastAsia="zh-CN"/>
        </w:rPr>
        <w:t>基本支出中的工资福利支出、商品服务支出及项目支出。</w:t>
      </w:r>
    </w:p>
    <w:p>
      <w:pPr>
        <w:spacing w:before="150"/>
        <w:ind w:left="200" w:right="200" w:firstLine="500"/>
        <w:jc w:val="both"/>
      </w:pPr>
      <w:r>
        <w:rPr>
          <w:rFonts w:ascii="黑体" w:hAnsi="黑体" w:eastAsia="黑体" w:cs="黑体"/>
          <w:position w:val="20"/>
          <w:sz w:val="34"/>
        </w:rPr>
        <w:t>五、关于乌鲁木齐市人事考试中心2023年一般公共预算当年拨款情况说明</w:t>
      </w:r>
    </w:p>
    <w:p>
      <w:pPr>
        <w:spacing w:before="150"/>
        <w:ind w:left="200" w:right="200" w:firstLine="500"/>
        <w:jc w:val="both"/>
      </w:pPr>
      <w:r>
        <w:rPr>
          <w:rFonts w:ascii="黑体" w:hAnsi="黑体" w:eastAsia="黑体" w:cs="黑体"/>
          <w:position w:val="20"/>
          <w:sz w:val="34"/>
        </w:rPr>
        <w:t>（一）一般公共预算当年拨款规模变化情况</w:t>
      </w:r>
    </w:p>
    <w:p>
      <w:pPr>
        <w:ind w:left="200" w:right="200" w:firstLine="500"/>
        <w:jc w:val="both"/>
      </w:pPr>
      <w:r>
        <w:rPr>
          <w:rFonts w:ascii="仿宋" w:hAnsi="仿宋" w:eastAsia="仿宋" w:cs="仿宋"/>
          <w:position w:val="10"/>
          <w:sz w:val="34"/>
        </w:rPr>
        <w:t>乌鲁木齐市人事考试中心2023年一般公共预算拨款合计381.51万元，其中：</w:t>
      </w:r>
    </w:p>
    <w:p>
      <w:pPr>
        <w:ind w:left="200" w:right="200" w:firstLine="500"/>
        <w:jc w:val="both"/>
      </w:pPr>
      <w:r>
        <w:rPr>
          <w:rFonts w:ascii="仿宋" w:hAnsi="仿宋" w:eastAsia="仿宋" w:cs="仿宋"/>
          <w:position w:val="10"/>
          <w:sz w:val="34"/>
        </w:rPr>
        <w:t>基本支出170.56万元，比上年预算增加26.93万元，增长18.75%。主要原因是：中心新增在编人员1人，人员类、公用类支出预算增加。</w:t>
      </w:r>
    </w:p>
    <w:p>
      <w:pPr>
        <w:ind w:left="200" w:right="200" w:firstLine="500"/>
        <w:jc w:val="both"/>
      </w:pPr>
      <w:r>
        <w:rPr>
          <w:rFonts w:ascii="仿宋" w:hAnsi="仿宋" w:eastAsia="仿宋" w:cs="仿宋"/>
          <w:position w:val="10"/>
          <w:sz w:val="34"/>
        </w:rPr>
        <w:t>项目支出210.95万元，比上年预算增加74.15万元，增长54.20%。主要原因是：人事考试业务量增加，人事考试项目预算经费增加。</w:t>
      </w:r>
    </w:p>
    <w:p>
      <w:pPr>
        <w:spacing w:before="150"/>
        <w:ind w:left="200" w:right="200" w:firstLine="500"/>
        <w:jc w:val="both"/>
      </w:pPr>
      <w:r>
        <w:rPr>
          <w:rFonts w:ascii="黑体" w:hAnsi="黑体" w:eastAsia="黑体" w:cs="黑体"/>
          <w:position w:val="20"/>
          <w:sz w:val="34"/>
        </w:rPr>
        <w:t>（二）一般公共预算当年拨款结构情况</w:t>
      </w:r>
    </w:p>
    <w:p>
      <w:pPr>
        <w:ind w:left="200" w:right="200" w:firstLine="500"/>
        <w:jc w:val="both"/>
      </w:pPr>
      <w:r>
        <w:rPr>
          <w:rFonts w:ascii="仿宋" w:hAnsi="仿宋" w:eastAsia="仿宋" w:cs="仿宋"/>
          <w:position w:val="10"/>
          <w:sz w:val="34"/>
        </w:rPr>
        <w:t>1.社会保障和就业支出（类）381.51万元，占100.00%。</w:t>
      </w:r>
    </w:p>
    <w:p>
      <w:pPr>
        <w:spacing w:before="150"/>
        <w:ind w:left="200" w:right="200" w:firstLine="500"/>
        <w:jc w:val="both"/>
      </w:pPr>
      <w:r>
        <w:rPr>
          <w:rFonts w:ascii="黑体" w:hAnsi="黑体" w:eastAsia="黑体" w:cs="黑体"/>
          <w:position w:val="20"/>
          <w:sz w:val="34"/>
        </w:rPr>
        <w:t>（三）一般公共预算当年拨款具体使用情况</w:t>
      </w:r>
    </w:p>
    <w:p>
      <w:pPr>
        <w:ind w:left="200" w:right="200" w:firstLine="500"/>
        <w:jc w:val="both"/>
      </w:pPr>
      <w:r>
        <w:rPr>
          <w:rFonts w:ascii="仿宋" w:hAnsi="仿宋" w:eastAsia="仿宋" w:cs="仿宋"/>
          <w:position w:val="10"/>
          <w:sz w:val="34"/>
        </w:rPr>
        <w:t>1.社会保障和就业支出（类）人力资源和社会保障管理事务（款）公共就业服务和职业技能鉴定机构（项）:2023年预算数为210.95万元，比上年预算数增加74.15万元，增长54.20%，主要原因是：人事考试业务量增加，人事考试项目预算经费增加。</w:t>
      </w:r>
    </w:p>
    <w:p>
      <w:pPr>
        <w:ind w:left="200" w:right="200" w:firstLine="500"/>
        <w:jc w:val="both"/>
      </w:pPr>
      <w:r>
        <w:rPr>
          <w:rFonts w:ascii="仿宋" w:hAnsi="仿宋" w:eastAsia="仿宋" w:cs="仿宋"/>
          <w:position w:val="10"/>
          <w:sz w:val="34"/>
        </w:rPr>
        <w:t>2.社会保障和就业支出（类）人力资源和社会保障管理事务（款）事业运行 （项）:2023年预算数为152.86万元，比上年预算数增加23.44万元，增长18.11%，主要原因是：新增在编人员1人，人员类、公用类支出预算增加。</w:t>
      </w:r>
    </w:p>
    <w:p>
      <w:pPr>
        <w:ind w:left="200" w:right="200" w:firstLine="500"/>
        <w:jc w:val="both"/>
      </w:pPr>
      <w:r>
        <w:rPr>
          <w:rFonts w:ascii="仿宋" w:hAnsi="仿宋" w:eastAsia="仿宋" w:cs="仿宋"/>
          <w:position w:val="10"/>
          <w:sz w:val="34"/>
        </w:rPr>
        <w:t>3.社会保障和就业支出（类）行政事业单位离退休（款）机关事业单位基本养老保险缴费支出（项）:2023年预算数为17.7万元，比上年预算数增加3.49万元，增长24.56%，主要原因是：新增在编人员1人，人员类支出预算增加。</w:t>
      </w:r>
    </w:p>
    <w:p>
      <w:pPr>
        <w:spacing w:before="150"/>
        <w:ind w:left="200" w:right="200" w:firstLine="500"/>
        <w:jc w:val="both"/>
      </w:pPr>
      <w:r>
        <w:rPr>
          <w:rFonts w:ascii="黑体" w:hAnsi="黑体" w:eastAsia="黑体" w:cs="黑体"/>
          <w:position w:val="20"/>
          <w:sz w:val="34"/>
        </w:rPr>
        <w:t>六、关于乌鲁木齐市人事考试中心2023年一般公共预算基本支出情况说明</w:t>
      </w:r>
    </w:p>
    <w:p>
      <w:pPr>
        <w:ind w:left="200" w:right="200" w:firstLine="500"/>
        <w:jc w:val="both"/>
      </w:pPr>
      <w:r>
        <w:rPr>
          <w:rFonts w:ascii="仿宋" w:hAnsi="仿宋" w:eastAsia="仿宋" w:cs="仿宋"/>
          <w:position w:val="10"/>
          <w:sz w:val="34"/>
        </w:rPr>
        <w:t>乌鲁木齐市人事考试中心2023年一般公共预算基本支出170.56万元，其中：</w:t>
      </w:r>
    </w:p>
    <w:p>
      <w:pPr>
        <w:ind w:left="200" w:right="200" w:firstLine="500"/>
        <w:jc w:val="both"/>
      </w:pPr>
      <w:r>
        <w:rPr>
          <w:rFonts w:ascii="仿宋" w:hAnsi="仿宋" w:eastAsia="仿宋" w:cs="仿宋"/>
          <w:position w:val="10"/>
          <w:sz w:val="34"/>
        </w:rPr>
        <w:t>人员经费154.31万元，主要包括：基本工资、津贴补贴、奖金、绩效工资、机关事业单位基本养老保险缴费、职工基本医疗保险缴费、公务员医疗补助缴费、其他社会保障缴费、住房公积金。</w:t>
      </w:r>
    </w:p>
    <w:p>
      <w:pPr>
        <w:ind w:left="200" w:right="200" w:firstLine="500"/>
        <w:jc w:val="both"/>
      </w:pPr>
      <w:r>
        <w:rPr>
          <w:rFonts w:ascii="仿宋" w:hAnsi="仿宋" w:eastAsia="仿宋" w:cs="仿宋"/>
          <w:position w:val="10"/>
          <w:sz w:val="34"/>
        </w:rPr>
        <w:t>公用经费16.25万元，主要包括：</w:t>
      </w:r>
      <w:r>
        <w:rPr>
          <w:rFonts w:hint="eastAsia" w:ascii="仿宋" w:hAnsi="仿宋" w:eastAsia="仿宋" w:cs="仿宋"/>
          <w:position w:val="10"/>
          <w:sz w:val="34"/>
          <w:lang w:val="en-US" w:eastAsia="zh-CN"/>
        </w:rPr>
        <w:t>办公费、</w:t>
      </w:r>
      <w:r>
        <w:rPr>
          <w:rFonts w:ascii="仿宋" w:hAnsi="仿宋" w:eastAsia="仿宋" w:cs="仿宋"/>
          <w:position w:val="10"/>
          <w:sz w:val="34"/>
        </w:rPr>
        <w:t>印刷费、电费、邮电费、维修(护)费、工会经费、福利费。</w:t>
      </w:r>
    </w:p>
    <w:p>
      <w:pPr>
        <w:spacing w:before="150"/>
        <w:ind w:left="200" w:right="200" w:firstLine="500"/>
        <w:jc w:val="both"/>
      </w:pPr>
      <w:r>
        <w:rPr>
          <w:rFonts w:ascii="黑体" w:hAnsi="黑体" w:eastAsia="黑体" w:cs="黑体"/>
          <w:position w:val="20"/>
          <w:sz w:val="34"/>
        </w:rPr>
        <w:t>七、关于乌鲁木齐市人事考试中心2023年一般公共预算项目支出情况说明</w:t>
      </w:r>
    </w:p>
    <w:p>
      <w:pPr>
        <w:ind w:left="200" w:right="200" w:firstLine="500"/>
        <w:jc w:val="both"/>
      </w:pPr>
      <w:r>
        <w:rPr>
          <w:rFonts w:ascii="仿宋" w:hAnsi="仿宋" w:eastAsia="仿宋" w:cs="仿宋"/>
          <w:position w:val="10"/>
          <w:sz w:val="34"/>
        </w:rPr>
        <w:t>1.项目名称：人事考试业务费政府采购项目。</w:t>
      </w:r>
    </w:p>
    <w:p>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pPr>
        <w:ind w:left="200" w:right="200" w:firstLine="500"/>
        <w:jc w:val="both"/>
      </w:pPr>
      <w:r>
        <w:rPr>
          <w:rFonts w:ascii="仿宋" w:hAnsi="仿宋" w:eastAsia="仿宋" w:cs="仿宋"/>
          <w:position w:val="10"/>
          <w:sz w:val="34"/>
        </w:rPr>
        <w:t>预算安排规模：20.00万元</w:t>
      </w:r>
    </w:p>
    <w:p>
      <w:pPr>
        <w:ind w:left="200" w:right="200" w:firstLine="500"/>
        <w:jc w:val="both"/>
      </w:pPr>
      <w:r>
        <w:rPr>
          <w:rFonts w:ascii="仿宋" w:hAnsi="仿宋" w:eastAsia="仿宋" w:cs="仿宋"/>
          <w:position w:val="10"/>
          <w:sz w:val="34"/>
        </w:rPr>
        <w:t>项目承担单位：乌鲁木齐市人事考试中心。</w:t>
      </w:r>
    </w:p>
    <w:p>
      <w:pPr>
        <w:ind w:left="200" w:right="200" w:firstLine="500"/>
        <w:jc w:val="both"/>
      </w:pPr>
      <w:r>
        <w:rPr>
          <w:rFonts w:ascii="仿宋" w:hAnsi="仿宋" w:eastAsia="仿宋" w:cs="仿宋"/>
          <w:position w:val="10"/>
          <w:sz w:val="34"/>
        </w:rPr>
        <w:t>资金分配情况：印刷费20万元。</w:t>
      </w:r>
    </w:p>
    <w:p>
      <w:pPr>
        <w:ind w:left="200" w:right="200" w:firstLine="500"/>
        <w:jc w:val="both"/>
      </w:pPr>
      <w:r>
        <w:rPr>
          <w:rFonts w:ascii="仿宋" w:hAnsi="仿宋" w:eastAsia="仿宋" w:cs="仿宋"/>
          <w:position w:val="10"/>
          <w:sz w:val="34"/>
        </w:rPr>
        <w:t>资金执行时间：2023年1月—12月。</w:t>
      </w:r>
    </w:p>
    <w:p>
      <w:pPr>
        <w:ind w:left="200" w:right="200" w:firstLine="500"/>
        <w:jc w:val="both"/>
      </w:pPr>
      <w:r>
        <w:rPr>
          <w:rFonts w:ascii="仿宋" w:hAnsi="仿宋" w:eastAsia="仿宋" w:cs="仿宋"/>
          <w:position w:val="10"/>
          <w:sz w:val="34"/>
        </w:rPr>
        <w:t>2.项目名称：人事考试业务费非政府采购项目。</w:t>
      </w:r>
    </w:p>
    <w:p>
      <w:pPr>
        <w:ind w:left="200" w:right="200" w:firstLine="500"/>
        <w:jc w:val="both"/>
      </w:pPr>
      <w:r>
        <w:rPr>
          <w:rFonts w:ascii="仿宋" w:hAnsi="仿宋" w:eastAsia="仿宋" w:cs="仿宋"/>
          <w:position w:val="10"/>
          <w:sz w:val="34"/>
        </w:rPr>
        <w:t>设立的政策依据：《关于明确自治区人事考试考务费支出具体标准的通知》（新人社发〔2018〕51 号）。</w:t>
      </w:r>
    </w:p>
    <w:p>
      <w:pPr>
        <w:ind w:left="200" w:right="200" w:firstLine="500"/>
        <w:jc w:val="both"/>
      </w:pPr>
      <w:r>
        <w:rPr>
          <w:rFonts w:ascii="仿宋" w:hAnsi="仿宋" w:eastAsia="仿宋" w:cs="仿宋"/>
          <w:position w:val="10"/>
          <w:sz w:val="34"/>
        </w:rPr>
        <w:t>预算安排规模：190.95万元</w:t>
      </w:r>
    </w:p>
    <w:p>
      <w:pPr>
        <w:ind w:left="200" w:right="200" w:firstLine="500"/>
        <w:jc w:val="both"/>
      </w:pPr>
      <w:r>
        <w:rPr>
          <w:rFonts w:ascii="仿宋" w:hAnsi="仿宋" w:eastAsia="仿宋" w:cs="仿宋"/>
          <w:position w:val="10"/>
          <w:sz w:val="34"/>
        </w:rPr>
        <w:t>项目承担单位：乌鲁木齐市人事考试中心。</w:t>
      </w:r>
    </w:p>
    <w:p>
      <w:pPr>
        <w:ind w:left="200" w:right="200" w:firstLine="500"/>
        <w:jc w:val="both"/>
      </w:pPr>
      <w:r>
        <w:rPr>
          <w:rFonts w:ascii="仿宋" w:hAnsi="仿宋" w:eastAsia="仿宋" w:cs="仿宋"/>
          <w:position w:val="10"/>
          <w:sz w:val="34"/>
        </w:rPr>
        <w:t>资金分配情况：劳务费182.95万元、办公费6.4万元、其他商品和服务支出1.6万元。</w:t>
      </w:r>
    </w:p>
    <w:p>
      <w:pPr>
        <w:ind w:left="200" w:right="200" w:firstLine="500"/>
        <w:jc w:val="both"/>
      </w:pPr>
      <w:r>
        <w:rPr>
          <w:rFonts w:ascii="仿宋" w:hAnsi="仿宋" w:eastAsia="仿宋" w:cs="仿宋"/>
          <w:position w:val="10"/>
          <w:sz w:val="34"/>
        </w:rPr>
        <w:t>资金执行时间：2023年1月—12月。</w:t>
      </w:r>
    </w:p>
    <w:p>
      <w:pPr>
        <w:spacing w:before="150"/>
        <w:ind w:left="200" w:right="200" w:firstLine="500"/>
        <w:jc w:val="both"/>
      </w:pPr>
      <w:r>
        <w:rPr>
          <w:rFonts w:ascii="黑体" w:hAnsi="黑体" w:eastAsia="黑体" w:cs="黑体"/>
          <w:position w:val="20"/>
          <w:sz w:val="34"/>
        </w:rPr>
        <w:t>八、关于乌鲁木齐市人事考试中心2023年政府性基金预算拨款情况说明</w:t>
      </w:r>
    </w:p>
    <w:p>
      <w:pPr>
        <w:ind w:left="200" w:right="200" w:firstLine="500"/>
        <w:jc w:val="both"/>
      </w:pPr>
      <w:r>
        <w:rPr>
          <w:rFonts w:ascii="仿宋" w:hAnsi="仿宋" w:eastAsia="仿宋" w:cs="仿宋"/>
          <w:position w:val="10"/>
          <w:sz w:val="34"/>
        </w:rPr>
        <w:t>乌鲁木齐市人事考试中心2023年没有使用政府性基金预算拨款安排的支出，政府性基金预算支出情况表为空表。</w:t>
      </w:r>
    </w:p>
    <w:p>
      <w:pPr>
        <w:spacing w:before="150"/>
        <w:ind w:left="200" w:right="200" w:firstLine="500"/>
        <w:jc w:val="both"/>
      </w:pPr>
      <w:r>
        <w:rPr>
          <w:rFonts w:ascii="黑体" w:hAnsi="黑体" w:eastAsia="黑体" w:cs="黑体"/>
          <w:position w:val="20"/>
          <w:sz w:val="34"/>
        </w:rPr>
        <w:t>九、关于乌鲁木齐市人事考试中心2023年国有资本经营预算拨款情况说明</w:t>
      </w:r>
    </w:p>
    <w:p>
      <w:pPr>
        <w:ind w:left="200" w:right="200" w:firstLine="500"/>
        <w:jc w:val="both"/>
      </w:pPr>
      <w:r>
        <w:rPr>
          <w:rFonts w:ascii="仿宋" w:hAnsi="仿宋" w:eastAsia="仿宋" w:cs="仿宋"/>
          <w:position w:val="10"/>
          <w:sz w:val="34"/>
        </w:rPr>
        <w:t>乌鲁木齐市人事考试中心2023年没有使用国有资本经营预算拨款安排的支出，国有资本经营预算支出情况表为空表。</w:t>
      </w:r>
    </w:p>
    <w:p>
      <w:pPr>
        <w:spacing w:before="150"/>
        <w:ind w:left="200" w:right="200" w:firstLine="500"/>
        <w:jc w:val="both"/>
      </w:pPr>
      <w:r>
        <w:rPr>
          <w:rFonts w:ascii="黑体" w:hAnsi="黑体" w:eastAsia="黑体" w:cs="黑体"/>
          <w:position w:val="20"/>
          <w:sz w:val="34"/>
        </w:rPr>
        <w:t>十、关于乌鲁木齐市人事考试中心2023年财政拨款“三公”经费预算情况说明</w:t>
      </w:r>
    </w:p>
    <w:p>
      <w:pPr>
        <w:ind w:left="200" w:right="200" w:firstLine="500"/>
        <w:jc w:val="both"/>
      </w:pPr>
      <w:r>
        <w:rPr>
          <w:rFonts w:ascii="仿宋" w:hAnsi="仿宋" w:eastAsia="仿宋" w:cs="仿宋"/>
          <w:position w:val="10"/>
          <w:sz w:val="34"/>
        </w:rPr>
        <w:t>乌鲁木齐市人事考试中心2023年财政拨款“三公”经费数为0万元，其中：因公出国（境）费0万元，公务用车购置费0万元，公务用车运行费0万元，公务接待费0万元。</w:t>
      </w:r>
    </w:p>
    <w:p>
      <w:pPr>
        <w:ind w:left="200" w:right="200" w:firstLine="500"/>
        <w:jc w:val="both"/>
      </w:pPr>
      <w:r>
        <w:rPr>
          <w:rFonts w:ascii="仿宋" w:hAnsi="仿宋" w:eastAsia="仿宋" w:cs="仿宋"/>
          <w:position w:val="10"/>
          <w:sz w:val="34"/>
        </w:rPr>
        <w:t>2023年财政拨款“三公”经费比上年预算增加0万元，增长0%，其中：</w:t>
      </w:r>
    </w:p>
    <w:p>
      <w:pPr>
        <w:ind w:left="200" w:right="200" w:firstLine="500"/>
        <w:jc w:val="both"/>
      </w:pPr>
      <w:r>
        <w:rPr>
          <w:rFonts w:ascii="仿宋" w:hAnsi="仿宋" w:eastAsia="仿宋" w:cs="仿宋"/>
          <w:position w:val="10"/>
          <w:sz w:val="34"/>
        </w:rPr>
        <w:t>因公出国（境）费增加0万元，增长0%，主要原因是单位无公出国（境）预算。公务用车购置费增加0万元，增长0%，主要原因是单位无公务用车购置预算。</w:t>
      </w:r>
      <w:bookmarkStart w:id="0" w:name="OLE_LINK1"/>
      <w:r>
        <w:rPr>
          <w:rFonts w:ascii="仿宋" w:hAnsi="仿宋" w:eastAsia="仿宋" w:cs="仿宋"/>
          <w:position w:val="10"/>
          <w:sz w:val="34"/>
        </w:rPr>
        <w:t>公务用车运行费</w:t>
      </w:r>
      <w:bookmarkEnd w:id="0"/>
      <w:r>
        <w:rPr>
          <w:rFonts w:ascii="仿宋" w:hAnsi="仿宋" w:eastAsia="仿宋" w:cs="仿宋"/>
          <w:position w:val="10"/>
          <w:sz w:val="34"/>
        </w:rPr>
        <w:t>增加0万元，增长0%，主要原因是</w:t>
      </w:r>
      <w:r>
        <w:rPr>
          <w:rFonts w:hint="eastAsia" w:ascii="仿宋" w:hAnsi="仿宋" w:eastAsia="仿宋" w:cs="仿宋"/>
          <w:position w:val="10"/>
          <w:sz w:val="34"/>
          <w:lang w:val="en-US" w:eastAsia="zh-CN"/>
        </w:rPr>
        <w:t>2022年与2023年均无</w:t>
      </w:r>
      <w:r>
        <w:rPr>
          <w:rFonts w:ascii="仿宋" w:hAnsi="仿宋" w:eastAsia="仿宋" w:cs="仿宋"/>
          <w:position w:val="10"/>
          <w:sz w:val="34"/>
        </w:rPr>
        <w:t>公务用车运行费</w:t>
      </w:r>
      <w:r>
        <w:rPr>
          <w:rFonts w:hint="eastAsia" w:ascii="仿宋" w:hAnsi="仿宋" w:eastAsia="仿宋" w:cs="仿宋"/>
          <w:position w:val="10"/>
          <w:sz w:val="34"/>
          <w:lang w:eastAsia="zh-CN"/>
        </w:rPr>
        <w:t>预算，</w:t>
      </w:r>
      <w:r>
        <w:rPr>
          <w:rFonts w:hint="eastAsia" w:ascii="仿宋" w:hAnsi="仿宋" w:eastAsia="仿宋" w:cs="仿宋"/>
          <w:position w:val="10"/>
          <w:sz w:val="34"/>
          <w:lang w:val="en-US" w:eastAsia="zh-CN"/>
        </w:rPr>
        <w:t>无公务用车运行预算</w:t>
      </w:r>
      <w:r>
        <w:rPr>
          <w:rFonts w:ascii="仿宋" w:hAnsi="仿宋" w:eastAsia="仿宋" w:cs="仿宋"/>
          <w:position w:val="10"/>
          <w:sz w:val="34"/>
        </w:rPr>
        <w:t>。公务接待费增加0万元，增长0%，主要原因是单位无公务接待事项。</w:t>
      </w:r>
    </w:p>
    <w:p>
      <w:pPr>
        <w:spacing w:before="150"/>
        <w:ind w:left="200" w:right="200" w:firstLine="500"/>
        <w:jc w:val="both"/>
      </w:pPr>
      <w:r>
        <w:rPr>
          <w:rFonts w:ascii="黑体" w:hAnsi="黑体" w:eastAsia="黑体" w:cs="黑体"/>
          <w:position w:val="20"/>
          <w:sz w:val="34"/>
        </w:rPr>
        <w:t>十一、其他重要事项的情况说明</w:t>
      </w:r>
    </w:p>
    <w:p>
      <w:pPr>
        <w:spacing w:before="150"/>
        <w:ind w:left="200" w:right="200" w:firstLine="500"/>
        <w:jc w:val="both"/>
      </w:pPr>
      <w:r>
        <w:rPr>
          <w:rFonts w:ascii="黑体" w:hAnsi="黑体" w:eastAsia="黑体" w:cs="黑体"/>
          <w:position w:val="20"/>
          <w:sz w:val="34"/>
        </w:rPr>
        <w:t>（一）机关运行经费情况</w:t>
      </w:r>
    </w:p>
    <w:p>
      <w:pPr>
        <w:ind w:left="200" w:right="200" w:firstLine="500"/>
        <w:jc w:val="both"/>
      </w:pPr>
      <w:r>
        <w:rPr>
          <w:rFonts w:ascii="仿宋" w:hAnsi="仿宋" w:eastAsia="仿宋" w:cs="仿宋"/>
          <w:position w:val="10"/>
          <w:sz w:val="34"/>
        </w:rPr>
        <w:t>2023年，乌鲁木齐市人事考试中心本级及下属0家行政单位和0家事业单位的机关运行经费财政拨款预算16.25万元，比上年预算增加1.25万元，增长8.33%。主要原因是新增在编人员1人，机关运行预算经费增加。</w:t>
      </w:r>
    </w:p>
    <w:p>
      <w:pPr>
        <w:spacing w:before="150"/>
        <w:ind w:left="200" w:right="200" w:firstLine="500"/>
        <w:jc w:val="both"/>
      </w:pPr>
      <w:r>
        <w:rPr>
          <w:rFonts w:ascii="黑体" w:hAnsi="黑体" w:eastAsia="黑体" w:cs="黑体"/>
          <w:position w:val="20"/>
          <w:sz w:val="34"/>
        </w:rPr>
        <w:t>（二）政府采购情况</w:t>
      </w:r>
    </w:p>
    <w:p>
      <w:pPr>
        <w:ind w:left="200" w:right="200" w:firstLine="500"/>
        <w:jc w:val="both"/>
      </w:pPr>
      <w:r>
        <w:rPr>
          <w:rFonts w:ascii="仿宋" w:hAnsi="仿宋" w:eastAsia="仿宋" w:cs="仿宋"/>
          <w:position w:val="10"/>
          <w:sz w:val="34"/>
        </w:rPr>
        <w:t>2023年，乌鲁木齐市人事考试中心政府采购预算22.31万元，其中：政府采购货物预算0.61万元，政府采购工程预算0.00万元，政府采购服务预算21.70万元。</w:t>
      </w:r>
    </w:p>
    <w:p>
      <w:pPr>
        <w:ind w:left="200" w:right="200" w:firstLine="500"/>
        <w:jc w:val="both"/>
      </w:pPr>
      <w:r>
        <w:rPr>
          <w:rFonts w:ascii="仿宋" w:hAnsi="仿宋" w:eastAsia="仿宋" w:cs="仿宋"/>
          <w:position w:val="10"/>
          <w:sz w:val="34"/>
        </w:rPr>
        <w:t>2023年度本单位面向中小企业预留政府采购项目预算金额20.96万元，其中：面向小微企业预留政府采购项目预算金额0.00万元。</w:t>
      </w:r>
    </w:p>
    <w:p>
      <w:pPr>
        <w:spacing w:before="150"/>
        <w:ind w:left="200" w:right="200" w:firstLine="500"/>
        <w:jc w:val="both"/>
      </w:pPr>
      <w:r>
        <w:rPr>
          <w:rFonts w:ascii="黑体" w:hAnsi="黑体" w:eastAsia="黑体" w:cs="黑体"/>
          <w:position w:val="20"/>
          <w:sz w:val="34"/>
        </w:rPr>
        <w:t>（三）国有资产占用使用情况</w:t>
      </w:r>
    </w:p>
    <w:p>
      <w:pPr>
        <w:ind w:left="200" w:right="200" w:firstLine="500"/>
        <w:jc w:val="both"/>
      </w:pPr>
      <w:r>
        <w:rPr>
          <w:rFonts w:ascii="仿宋" w:hAnsi="仿宋" w:eastAsia="仿宋" w:cs="仿宋"/>
          <w:position w:val="10"/>
          <w:sz w:val="34"/>
        </w:rPr>
        <w:t>截至2022年底，乌鲁木齐市人事考试中心及下属各预算单位占用使用国有资产总体情况为</w:t>
      </w:r>
    </w:p>
    <w:p>
      <w:pPr>
        <w:ind w:left="200" w:right="200" w:firstLine="500"/>
        <w:jc w:val="both"/>
      </w:pPr>
      <w:r>
        <w:rPr>
          <w:rFonts w:ascii="仿宋" w:hAnsi="仿宋" w:eastAsia="仿宋" w:cs="仿宋"/>
          <w:position w:val="10"/>
          <w:sz w:val="34"/>
        </w:rPr>
        <w:t>1.房屋0.00平方米，价值0.00万元。</w:t>
      </w:r>
    </w:p>
    <w:p>
      <w:pPr>
        <w:ind w:left="200" w:right="200" w:firstLine="500"/>
        <w:jc w:val="both"/>
      </w:pPr>
      <w:r>
        <w:rPr>
          <w:rFonts w:ascii="仿宋" w:hAnsi="仿宋" w:eastAsia="仿宋" w:cs="仿宋"/>
          <w:position w:val="10"/>
          <w:sz w:val="34"/>
        </w:rPr>
        <w:t>2.车辆0辆，价值0.00万元；其中：一般公务用车0辆，价值0.00万元；执法执勤用车0辆，价值0.00万元；其他车辆0辆，价值0.00万元。</w:t>
      </w:r>
    </w:p>
    <w:p>
      <w:pPr>
        <w:ind w:left="200" w:right="200" w:firstLine="500"/>
        <w:jc w:val="both"/>
      </w:pPr>
      <w:r>
        <w:rPr>
          <w:rFonts w:ascii="仿宋" w:hAnsi="仿宋" w:eastAsia="仿宋" w:cs="仿宋"/>
          <w:position w:val="10"/>
          <w:sz w:val="34"/>
        </w:rPr>
        <w:t>3.办公家具价值0.00万元。</w:t>
      </w:r>
    </w:p>
    <w:p>
      <w:pPr>
        <w:ind w:left="200" w:right="200" w:firstLine="500"/>
        <w:jc w:val="both"/>
      </w:pPr>
      <w:r>
        <w:rPr>
          <w:rFonts w:ascii="仿宋" w:hAnsi="仿宋" w:eastAsia="仿宋" w:cs="仿宋"/>
          <w:position w:val="10"/>
          <w:sz w:val="34"/>
        </w:rPr>
        <w:t>4.其他资产价值0.00万元。</w:t>
      </w:r>
    </w:p>
    <w:p>
      <w:pPr>
        <w:ind w:left="200" w:right="200" w:firstLine="500"/>
        <w:jc w:val="both"/>
      </w:pPr>
      <w:r>
        <w:rPr>
          <w:rFonts w:ascii="仿宋" w:hAnsi="仿宋" w:eastAsia="仿宋" w:cs="仿宋"/>
          <w:position w:val="10"/>
          <w:sz w:val="34"/>
        </w:rPr>
        <w:t>单位价值50万元以上大型设备0台（套），单位价值100万元以上大型设备0台（套）。</w:t>
      </w:r>
    </w:p>
    <w:p>
      <w:pPr>
        <w:ind w:left="200" w:right="200" w:firstLine="500"/>
        <w:jc w:val="both"/>
      </w:pPr>
      <w:r>
        <w:rPr>
          <w:rFonts w:ascii="仿宋" w:hAnsi="仿宋" w:eastAsia="仿宋" w:cs="仿宋"/>
          <w:position w:val="10"/>
          <w:sz w:val="34"/>
        </w:rPr>
        <w:t>2023年单位预算安排购置车辆经费0.00万元，安排购置50万元以上大型设备0台（套），单位价值100万元以上大型设备0台（套）。</w:t>
      </w:r>
    </w:p>
    <w:p>
      <w:pPr>
        <w:spacing w:before="150"/>
        <w:ind w:left="200" w:right="200" w:firstLine="500"/>
        <w:jc w:val="both"/>
      </w:pPr>
      <w:r>
        <w:rPr>
          <w:rFonts w:ascii="黑体" w:hAnsi="黑体" w:eastAsia="黑体" w:cs="黑体"/>
          <w:position w:val="20"/>
          <w:sz w:val="34"/>
        </w:rPr>
        <w:t>（四）预算绩效情况</w:t>
      </w:r>
    </w:p>
    <w:p>
      <w:pPr>
        <w:ind w:left="200" w:right="200" w:firstLine="500"/>
        <w:jc w:val="both"/>
      </w:pPr>
      <w:r>
        <w:rPr>
          <w:rFonts w:ascii="仿宋" w:hAnsi="仿宋" w:eastAsia="仿宋" w:cs="仿宋"/>
          <w:position w:val="10"/>
          <w:sz w:val="34"/>
        </w:rPr>
        <w:t>2023年，本年度预算绩效管理的财政拨款项目2个，涉及预算金额210.95万元；非财政拨款项目0个，涉及预算金额0.00万元。</w:t>
      </w:r>
    </w:p>
    <w:p>
      <w:pPr>
        <w:ind w:left="200" w:right="200" w:firstLine="500"/>
        <w:jc w:val="both"/>
        <w:rPr>
          <w:rFonts w:ascii="仿宋" w:hAnsi="仿宋" w:eastAsia="仿宋" w:cs="仿宋"/>
          <w:position w:val="10"/>
          <w:sz w:val="34"/>
        </w:rPr>
      </w:pPr>
      <w:r>
        <w:rPr>
          <w:rFonts w:ascii="仿宋" w:hAnsi="仿宋" w:eastAsia="仿宋" w:cs="仿宋"/>
          <w:position w:val="10"/>
          <w:sz w:val="34"/>
        </w:rPr>
        <w:t>具体情况见下表：</w:t>
      </w: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left="200" w:right="200" w:firstLine="500"/>
        <w:jc w:val="both"/>
        <w:rPr>
          <w:rFonts w:ascii="仿宋" w:hAnsi="仿宋" w:eastAsia="仿宋" w:cs="仿宋"/>
          <w:position w:val="10"/>
          <w:sz w:val="34"/>
        </w:rPr>
      </w:pPr>
    </w:p>
    <w:p>
      <w:pPr>
        <w:ind w:right="200"/>
        <w:jc w:val="both"/>
        <w:rPr>
          <w:rFonts w:hint="eastAsia" w:ascii="仿宋" w:hAnsi="仿宋" w:eastAsia="仿宋" w:cs="仿宋"/>
          <w:position w:val="10"/>
          <w:sz w:val="34"/>
          <w:lang w:eastAsia="zh-CN"/>
        </w:rPr>
      </w:pPr>
    </w:p>
    <w:p>
      <w:pPr>
        <w:ind w:right="200"/>
        <w:jc w:val="both"/>
        <w:rPr>
          <w:rFonts w:hint="eastAsia" w:ascii="仿宋" w:hAnsi="仿宋" w:eastAsia="仿宋" w:cs="仿宋"/>
          <w:position w:val="10"/>
          <w:sz w:val="34"/>
          <w:lang w:eastAsia="zh-CN"/>
        </w:rPr>
      </w:pPr>
    </w:p>
    <w:p>
      <w:pPr>
        <w:ind w:right="200"/>
        <w:jc w:val="both"/>
        <w:rPr>
          <w:rFonts w:hint="eastAsia" w:ascii="仿宋" w:hAnsi="仿宋" w:eastAsia="仿宋" w:cs="仿宋"/>
          <w:position w:val="10"/>
          <w:sz w:val="34"/>
          <w:lang w:eastAsia="zh-CN"/>
        </w:rPr>
      </w:pPr>
    </w:p>
    <w:tbl>
      <w:tblPr>
        <w:tblStyle w:val="2"/>
        <w:tblpPr w:leftFromText="180" w:rightFromText="180" w:vertAnchor="text" w:horzAnchor="page" w:tblpX="1588" w:tblpY="243"/>
        <w:tblOverlap w:val="never"/>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095"/>
        <w:gridCol w:w="1236"/>
        <w:gridCol w:w="1832"/>
        <w:gridCol w:w="978"/>
        <w:gridCol w:w="885"/>
        <w:gridCol w:w="599"/>
        <w:gridCol w:w="780"/>
        <w:gridCol w:w="840"/>
        <w:gridCol w:w="9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370" w:hRule="atLeast"/>
        </w:trPr>
        <w:tc>
          <w:tcPr>
            <w:tcW w:w="9180" w:type="dxa"/>
            <w:gridSpan w:val="9"/>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ascii="仿宋" w:hAnsi="仿宋" w:eastAsia="仿宋" w:cs="仿宋"/>
                <w:position w:val="8"/>
                <w:sz w:val="20"/>
              </w:rPr>
              <w:t>项  目  支  出  绩  效  目  标  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9180" w:type="dxa"/>
            <w:gridSpan w:val="9"/>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(2023年)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预算单位</w:t>
            </w:r>
          </w:p>
        </w:tc>
        <w:tc>
          <w:tcPr>
            <w:tcW w:w="6849"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乌鲁木齐市人事考试中心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项目名称</w:t>
            </w:r>
          </w:p>
        </w:tc>
        <w:tc>
          <w:tcPr>
            <w:tcW w:w="3695" w:type="dxa"/>
            <w:gridSpan w:val="3"/>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人事考试业务费政府采购项目</w:t>
            </w:r>
          </w:p>
        </w:tc>
        <w:tc>
          <w:tcPr>
            <w:tcW w:w="1379"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项目负责人</w:t>
            </w:r>
          </w:p>
        </w:tc>
        <w:tc>
          <w:tcPr>
            <w:tcW w:w="1775"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张喻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项目资金（万元）</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年度预算总额：</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其中：财政拨款</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其他资金：</w:t>
            </w:r>
          </w:p>
        </w:tc>
        <w:tc>
          <w:tcPr>
            <w:tcW w:w="1775"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2331" w:type="dxa"/>
            <w:gridSpan w:val="2"/>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项目总体目标</w:t>
            </w:r>
          </w:p>
        </w:tc>
        <w:tc>
          <w:tcPr>
            <w:tcW w:w="6849" w:type="dxa"/>
            <w:gridSpan w:val="7"/>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为人事考试工作提供必备的考试印刷品，比如印刷试卷、答题卡、试卷袋等。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一级指标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二级指标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三级指标</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指标值设置依据</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上年完成值</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指标分值权重</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指标赋分规则</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产出指标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纸质印刷品份数</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&gt;=10000份</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30000份</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rPr>
          <w:trHeight w:val="595" w:hRule="atLeast"/>
        </w:trPr>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数量指标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纸质印刷品重量</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&lt;=100克</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100克</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质量指标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印刷质量合格率（%）</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100%</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产出指标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时效指标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印刷完成及时性</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&lt;=12月底</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12月底</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成本指标</w:t>
            </w:r>
          </w:p>
        </w:tc>
        <w:tc>
          <w:tcPr>
            <w:tcW w:w="1236" w:type="dxa"/>
            <w:vMerge w:val="restart"/>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草稿纸、答题卡、试卷袋等考务印刷品</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&lt;=8万元</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8万元</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成本指标</w:t>
            </w:r>
          </w:p>
        </w:tc>
        <w:tc>
          <w:tcPr>
            <w:tcW w:w="1236" w:type="dxa"/>
            <w:vMerge w:val="continue"/>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经济成本指标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试卷印刷费</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&lt;=12万元</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11.47万元</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按照正常比例赋分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原始凭证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效益指标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社会效益指标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保障考试顺利，为社会甄选人才</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有效保障</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20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按评判等级赋分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09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236"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满意度指标</w:t>
            </w:r>
          </w:p>
        </w:tc>
        <w:tc>
          <w:tcPr>
            <w:tcW w:w="1832"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left"/>
              <w:textAlignment w:val="auto"/>
            </w:pPr>
            <w:r>
              <w:rPr>
                <w:rFonts w:ascii="仿宋" w:hAnsi="仿宋" w:eastAsia="仿宋" w:cs="仿宋"/>
                <w:position w:val="8"/>
                <w:sz w:val="20"/>
              </w:rPr>
              <w:t>企事业单位满意度</w:t>
            </w:r>
          </w:p>
        </w:tc>
        <w:tc>
          <w:tcPr>
            <w:tcW w:w="978"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&gt;=98%</w:t>
            </w:r>
          </w:p>
        </w:tc>
        <w:tc>
          <w:tcPr>
            <w:tcW w:w="88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自定义</w:t>
            </w:r>
          </w:p>
        </w:tc>
        <w:tc>
          <w:tcPr>
            <w:tcW w:w="599"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98%</w:t>
            </w:r>
          </w:p>
        </w:tc>
        <w:tc>
          <w:tcPr>
            <w:tcW w:w="78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10</w:t>
            </w:r>
          </w:p>
        </w:tc>
        <w:tc>
          <w:tcPr>
            <w:tcW w:w="840"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满意度赋分</w:t>
            </w:r>
          </w:p>
        </w:tc>
        <w:tc>
          <w:tcPr>
            <w:tcW w:w="935" w:type="dxa"/>
            <w:tcBorders>
              <w:top w:val="single" w:color="auto" w:sz="0" w:space="0"/>
              <w:left w:val="single" w:color="auto" w:sz="0" w:space="0"/>
              <w:bottom w:val="single" w:color="auto" w:sz="0" w:space="0"/>
              <w:righ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30"/>
              <w:jc w:val="center"/>
              <w:textAlignment w:val="auto"/>
            </w:pPr>
            <w:r>
              <w:rPr>
                <w:rFonts w:ascii="仿宋" w:hAnsi="仿宋" w:eastAsia="仿宋" w:cs="仿宋"/>
                <w:position w:val="8"/>
                <w:sz w:val="20"/>
              </w:rPr>
              <w:t>说明材料</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2"/>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673"/>
        <w:gridCol w:w="784"/>
        <w:gridCol w:w="1751"/>
        <w:gridCol w:w="1083"/>
        <w:gridCol w:w="984"/>
        <w:gridCol w:w="883"/>
        <w:gridCol w:w="874"/>
        <w:gridCol w:w="1003"/>
        <w:gridCol w:w="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  目  支  出  绩  效  目  标  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8600" w:type="dxa"/>
            <w:gridSpan w:val="9"/>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(2023年)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预算单位</w:t>
            </w:r>
          </w:p>
        </w:tc>
        <w:tc>
          <w:tcPr>
            <w:tcW w:w="7143" w:type="dxa"/>
            <w:gridSpan w:val="7"/>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乌鲁木齐市人事考试中心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项目名称</w:t>
            </w:r>
          </w:p>
        </w:tc>
        <w:tc>
          <w:tcPr>
            <w:tcW w:w="3818"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人事考试业务费非政府采购项目</w:t>
            </w:r>
          </w:p>
        </w:tc>
        <w:tc>
          <w:tcPr>
            <w:tcW w:w="17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项目负责人</w:t>
            </w:r>
          </w:p>
        </w:tc>
        <w:tc>
          <w:tcPr>
            <w:tcW w:w="1568"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张喻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项目资金（万元）</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年度预算总额：</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190.95</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其中：财政拨款</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190.95</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其他资金：</w:t>
            </w:r>
          </w:p>
        </w:tc>
        <w:tc>
          <w:tcPr>
            <w:tcW w:w="1568"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1457"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项目总体目标</w:t>
            </w:r>
          </w:p>
        </w:tc>
        <w:tc>
          <w:tcPr>
            <w:tcW w:w="7143" w:type="dxa"/>
            <w:gridSpan w:val="7"/>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有效保障人事考试工作顺利开展，合理安排考务工作，达到计划考场数、考点数等目标。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center"/>
            </w:pP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一级指标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二级指标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三级指标</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指标值</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指标值设置依据</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上年完成值</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指标分值权重</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指标赋分规则</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佐证资料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产出指标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考点个数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&gt;=50个</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64个</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考试人数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&gt;=3万人</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3.7万人</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组织考试次数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&gt;=4次</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10次</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阅卷份数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&gt;=2万份</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3万份</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4</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数量指标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考场个数</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&gt;=1000场</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1200场</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工作资料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质量指标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考试完成率</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100%</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产出指标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时效指标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项目完成时间</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=12月底</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12月底</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6</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3"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成本指标</w:t>
            </w:r>
          </w:p>
        </w:tc>
        <w:tc>
          <w:tcPr>
            <w:tcW w:w="784"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劳务费</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&lt;=182.95万元</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132.01万元</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成本指标</w:t>
            </w:r>
          </w:p>
        </w:tc>
        <w:tc>
          <w:tcPr>
            <w:tcW w:w="784" w:type="dxa"/>
            <w:vMerge w:val="continue"/>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经济成本指标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办公费</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&lt;=8万元</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8.2万元</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按照正常比例赋分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效益指标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社会效益指标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hint="eastAsia" w:ascii="仿宋" w:hAnsi="仿宋" w:eastAsia="仿宋" w:cs="仿宋"/>
                <w:position w:val="8"/>
                <w:sz w:val="20"/>
                <w:lang w:eastAsia="zh-CN"/>
              </w:rPr>
              <w:t>选拔</w:t>
            </w:r>
            <w:bookmarkStart w:id="1" w:name="_GoBack"/>
            <w:bookmarkEnd w:id="1"/>
            <w:r>
              <w:rPr>
                <w:rFonts w:ascii="仿宋" w:hAnsi="仿宋" w:eastAsia="仿宋" w:cs="仿宋"/>
                <w:position w:val="8"/>
                <w:sz w:val="20"/>
              </w:rPr>
              <w:t>人才甄信度、效度、影响力</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有效保障</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20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按评判等级赋分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0" w:type="dxa"/>
            <w:bottom w:w="0" w:type="dxa"/>
            <w:right w:w="0" w:type="dxa"/>
          </w:tblCellMar>
        </w:tblPrEx>
        <w:tc>
          <w:tcPr>
            <w:tcW w:w="67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满意度指标</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满意度指标</w:t>
            </w:r>
          </w:p>
        </w:tc>
        <w:tc>
          <w:tcPr>
            <w:tcW w:w="175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企事业单位满意度</w:t>
            </w:r>
          </w:p>
        </w:tc>
        <w:tc>
          <w:tcPr>
            <w:tcW w:w="10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&gt;=98%</w:t>
            </w:r>
          </w:p>
        </w:tc>
        <w:tc>
          <w:tcPr>
            <w:tcW w:w="9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自定义</w:t>
            </w:r>
          </w:p>
        </w:tc>
        <w:tc>
          <w:tcPr>
            <w:tcW w:w="88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98%</w:t>
            </w:r>
          </w:p>
        </w:tc>
        <w:tc>
          <w:tcPr>
            <w:tcW w:w="87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仿宋" w:hAnsi="仿宋" w:eastAsia="仿宋" w:cs="仿宋"/>
                <w:position w:val="8"/>
                <w:sz w:val="20"/>
              </w:rPr>
              <w:t>10</w:t>
            </w:r>
          </w:p>
        </w:tc>
        <w:tc>
          <w:tcPr>
            <w:tcW w:w="100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满意度赋分</w:t>
            </w:r>
          </w:p>
        </w:tc>
        <w:tc>
          <w:tcPr>
            <w:tcW w:w="56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说明材料</w:t>
            </w:r>
          </w:p>
        </w:tc>
      </w:tr>
    </w:tbl>
    <w:p>
      <w:pPr>
        <w:spacing w:before="150"/>
        <w:ind w:left="200" w:right="200" w:firstLine="500"/>
        <w:jc w:val="left"/>
      </w:pPr>
      <w:r>
        <w:rPr>
          <w:rFonts w:ascii="黑体" w:hAnsi="黑体" w:eastAsia="黑体" w:cs="黑体"/>
          <w:position w:val="20"/>
          <w:sz w:val="34"/>
        </w:rPr>
        <w:t>（五）其他需说明的事项</w:t>
      </w:r>
    </w:p>
    <w:p>
      <w:pPr>
        <w:ind w:left="200" w:right="200" w:firstLine="500"/>
        <w:jc w:val="left"/>
      </w:pPr>
      <w:r>
        <w:rPr>
          <w:rFonts w:ascii="仿宋" w:hAnsi="仿宋" w:eastAsia="仿宋" w:cs="仿宋"/>
          <w:position w:val="10"/>
          <w:sz w:val="34"/>
        </w:rPr>
        <w:t>无。</w:t>
      </w:r>
    </w:p>
    <w:p>
      <w:pPr>
        <w:rPr>
          <w:rFonts w:hint="eastAsia" w:eastAsia="宋体"/>
          <w:lang w:val="en-US" w:eastAsia="zh-CN"/>
        </w:rPr>
      </w:pPr>
    </w:p>
    <w:p>
      <w:pPr>
        <w:ind w:left="200" w:right="200" w:firstLine="500"/>
        <w:jc w:val="center"/>
      </w:pPr>
      <w:r>
        <w:rPr>
          <w:rFonts w:ascii="黑体" w:hAnsi="黑体" w:eastAsia="黑体" w:cs="黑体"/>
          <w:position w:val="30"/>
          <w:sz w:val="42"/>
        </w:rPr>
        <w:t>第四部分 名词解释</w:t>
      </w:r>
    </w:p>
    <w:p>
      <w:pPr>
        <w:ind w:left="200" w:right="200" w:firstLine="500"/>
        <w:jc w:val="left"/>
      </w:pPr>
      <w:r>
        <w:rPr>
          <w:rFonts w:ascii="仿宋" w:hAnsi="仿宋" w:eastAsia="仿宋" w:cs="仿宋"/>
          <w:position w:val="10"/>
          <w:sz w:val="34"/>
        </w:rPr>
        <w:t>一、财政拨款：指由一般公共预算、政府性基金预算、国有资本经营预算安排的财政拨款数。</w:t>
      </w:r>
    </w:p>
    <w:p>
      <w:pPr>
        <w:ind w:left="200" w:right="200" w:firstLine="500"/>
        <w:jc w:val="left"/>
      </w:pPr>
      <w:r>
        <w:rPr>
          <w:rFonts w:ascii="仿宋" w:hAnsi="仿宋" w:eastAsia="仿宋" w:cs="仿宋"/>
          <w:position w:val="10"/>
          <w:sz w:val="34"/>
        </w:rPr>
        <w:t>二、一般公共预算：包括公共财政拨款（补助）资金、专项收入。</w:t>
      </w:r>
    </w:p>
    <w:p>
      <w:pPr>
        <w:ind w:left="200" w:right="200" w:firstLine="500"/>
        <w:jc w:val="left"/>
      </w:pPr>
      <w:r>
        <w:rPr>
          <w:rFonts w:ascii="仿宋" w:hAnsi="仿宋" w:eastAsia="仿宋" w:cs="仿宋"/>
          <w:position w:val="10"/>
          <w:sz w:val="34"/>
        </w:rPr>
        <w:t>三、财政专户管理资金：包括专户管理行政事业性收费（主要是教育收费）、其他非税收入。</w:t>
      </w:r>
    </w:p>
    <w:p>
      <w:pPr>
        <w:ind w:left="200" w:right="200" w:firstLine="500"/>
        <w:jc w:val="left"/>
      </w:pPr>
      <w:r>
        <w:rPr>
          <w:rFonts w:ascii="仿宋" w:hAnsi="仿宋" w:eastAsia="仿宋" w:cs="仿宋"/>
          <w:position w:val="10"/>
          <w:sz w:val="34"/>
        </w:rPr>
        <w:t>四、其他资金：包括事业收入、事业经营收入、其他收入等。</w:t>
      </w:r>
    </w:p>
    <w:p>
      <w:pPr>
        <w:ind w:left="200" w:right="200" w:firstLine="500"/>
        <w:jc w:val="left"/>
      </w:pPr>
      <w:r>
        <w:rPr>
          <w:rFonts w:ascii="仿宋" w:hAnsi="仿宋" w:eastAsia="仿宋" w:cs="仿宋"/>
          <w:position w:val="10"/>
          <w:sz w:val="34"/>
        </w:rPr>
        <w:t>五、基本支出：包括人员经费、公用经费（定额）。其中，人员经费包括工资福利支出、对个人和家庭的补助。</w:t>
      </w:r>
    </w:p>
    <w:p>
      <w:pPr>
        <w:ind w:left="200" w:right="200" w:firstLine="500"/>
        <w:jc w:val="left"/>
      </w:pPr>
      <w:r>
        <w:rPr>
          <w:rFonts w:ascii="仿宋" w:hAnsi="仿宋" w:eastAsia="仿宋" w:cs="仿宋"/>
          <w:position w:val="10"/>
          <w:sz w:val="34"/>
        </w:rPr>
        <w:t>六、项目支出：部门（单位）支出预算的组成部分，是各部门（单位）为完成其特定的行政任务或事业发展目标，在基本支出预算之外编制的年度项目支出计划。</w:t>
      </w:r>
    </w:p>
    <w:p>
      <w:pPr>
        <w:ind w:left="200" w:right="200" w:firstLine="500"/>
        <w:jc w:val="left"/>
      </w:pPr>
      <w:r>
        <w:rPr>
          <w:rFonts w:ascii="仿宋" w:hAnsi="仿宋" w:eastAsia="仿宋" w:cs="仿宋"/>
          <w:position w:val="10"/>
          <w:sz w:val="34"/>
        </w:rPr>
        <w:t>七、“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ind w:left="200" w:right="200" w:firstLine="500"/>
        <w:jc w:val="left"/>
        <w:rPr>
          <w:rFonts w:ascii="仿宋" w:hAnsi="仿宋" w:eastAsia="仿宋" w:cs="仿宋"/>
          <w:position w:val="10"/>
          <w:sz w:val="34"/>
        </w:rPr>
      </w:pPr>
      <w:r>
        <w:rPr>
          <w:rFonts w:ascii="仿宋" w:hAnsi="仿宋" w:eastAsia="仿宋" w:cs="仿宋"/>
          <w:position w:val="10"/>
          <w:sz w:val="34"/>
        </w:rPr>
        <w:t>八、机关运行经费：指各部门（单位）的公用经费，包括办公及印刷费、邮电费、差旅费、会议费、福利费、日常维修费、专用材料及一般设备购置费、办公用房水电费、办公用房取暖费、办公用房物业管理费、公务用车运行维护费及其他费用。</w:t>
      </w:r>
    </w:p>
    <w:p>
      <w:pPr>
        <w:ind w:left="200" w:right="200" w:firstLine="500"/>
        <w:jc w:val="left"/>
        <w:rPr>
          <w:rFonts w:ascii="仿宋" w:hAnsi="仿宋" w:eastAsia="仿宋" w:cs="仿宋"/>
          <w:position w:val="10"/>
          <w:sz w:val="34"/>
        </w:rPr>
      </w:pPr>
    </w:p>
    <w:p>
      <w:pPr>
        <w:ind w:left="200" w:right="200" w:firstLine="500"/>
        <w:jc w:val="left"/>
        <w:rPr>
          <w:rFonts w:ascii="仿宋" w:hAnsi="仿宋" w:eastAsia="仿宋" w:cs="仿宋"/>
          <w:position w:val="10"/>
          <w:sz w:val="34"/>
        </w:rPr>
      </w:pPr>
    </w:p>
    <w:p>
      <w:pPr>
        <w:ind w:left="200" w:right="200" w:firstLine="500"/>
        <w:jc w:val="left"/>
        <w:rPr>
          <w:rFonts w:ascii="仿宋" w:hAnsi="仿宋" w:eastAsia="仿宋" w:cs="仿宋"/>
          <w:position w:val="10"/>
          <w:sz w:val="34"/>
        </w:rPr>
      </w:pPr>
    </w:p>
    <w:p>
      <w:pPr>
        <w:ind w:right="200" w:firstLine="3740" w:firstLineChars="1100"/>
        <w:jc w:val="left"/>
      </w:pPr>
      <w:r>
        <w:rPr>
          <w:rFonts w:hint="eastAsia" w:ascii="仿宋" w:hAnsi="仿宋" w:eastAsia="仿宋" w:cs="仿宋"/>
          <w:position w:val="10"/>
          <w:sz w:val="34"/>
          <w:lang w:val="en-US" w:eastAsia="zh-CN"/>
        </w:rPr>
        <w:t xml:space="preserve"> </w:t>
      </w:r>
      <w:r>
        <w:rPr>
          <w:rFonts w:ascii="仿宋" w:hAnsi="仿宋" w:eastAsia="仿宋" w:cs="仿宋"/>
          <w:position w:val="10"/>
          <w:sz w:val="34"/>
        </w:rPr>
        <w:t>乌鲁木齐市人事考试中心</w:t>
      </w:r>
    </w:p>
    <w:p>
      <w:pPr>
        <w:ind w:left="200" w:right="200" w:firstLine="500"/>
        <w:jc w:val="center"/>
      </w:pPr>
      <w:r>
        <w:rPr>
          <w:rFonts w:hint="eastAsia" w:ascii="仿宋" w:hAnsi="仿宋" w:eastAsia="仿宋" w:cs="仿宋"/>
          <w:position w:val="10"/>
          <w:sz w:val="34"/>
          <w:lang w:val="en-US" w:eastAsia="zh-CN"/>
        </w:rPr>
        <w:t xml:space="preserve">                 </w:t>
      </w:r>
      <w:r>
        <w:rPr>
          <w:rFonts w:ascii="仿宋" w:hAnsi="仿宋" w:eastAsia="仿宋" w:cs="仿宋"/>
          <w:position w:val="10"/>
          <w:sz w:val="34"/>
        </w:rPr>
        <w:t>2023年02月10日</w:t>
      </w:r>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Bold"/>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MathJax_Vector-Bold"/>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jJjMTlkNmIyZjZkMzZiNjQ3OTk5ZDU0YmYyN2UifQ=="/>
  </w:docVars>
  <w:rsids>
    <w:rsidRoot w:val="00000000"/>
    <w:rsid w:val="025804DC"/>
    <w:rsid w:val="05994793"/>
    <w:rsid w:val="0AE75EE7"/>
    <w:rsid w:val="19CF5F9E"/>
    <w:rsid w:val="3F134F7F"/>
    <w:rsid w:val="44FE2F7E"/>
    <w:rsid w:val="46C21AF5"/>
    <w:rsid w:val="588E3E23"/>
    <w:rsid w:val="5A7E2CE7"/>
    <w:rsid w:val="5EDB3717"/>
    <w:rsid w:val="74312486"/>
    <w:rsid w:val="78077BB4"/>
    <w:rsid w:val="79E917C7"/>
    <w:rsid w:val="7AFC4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7509</Words>
  <Characters>8828</Characters>
  <TotalTime>3</TotalTime>
  <ScaleCrop>false</ScaleCrop>
  <LinksUpToDate>false</LinksUpToDate>
  <CharactersWithSpaces>9118</CharactersWithSpaces>
  <Application>WPS Office_11.8.2.12344_F1E327BC-269C-435d-A152-05C5408002CA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2023-03-07T17:53:00Z</dcterms:created>
  <dc:creator>Apache POI</dc:creator>
  <cp:lastModifiedBy>HUAWEI</cp:lastModifiedBy>
  <cp:lastPrinted>2023-03-07T20:14:00Z</cp:lastPrinted>
  <dcterms:modified xsi:type="dcterms:W3CDTF">2025-07-16T12:57:35Z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DAE0786A79EA3DDC3F317768CC6353EE</vt:lpwstr>
  </property>
</Properties>
</file>