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sz w:val="32"/>
          <w:szCs w:val="32"/>
        </w:rPr>
      </w:pPr>
    </w:p>
    <w:p>
      <w:pPr>
        <w:jc w:val="center"/>
        <w:rPr>
          <w:rFonts w:hint="eastAsia" w:ascii="方正小标宋_GBK" w:hAnsi="宋体" w:eastAsia="方正小标宋_GBK"/>
          <w:sz w:val="44"/>
          <w:szCs w:val="44"/>
        </w:rPr>
      </w:pPr>
    </w:p>
    <w:p>
      <w:pPr>
        <w:jc w:val="center"/>
        <w:rPr>
          <w:rFonts w:hint="eastAsia" w:ascii="方正小标宋_GBK" w:hAnsi="宋体" w:eastAsia="方正小标宋_GBK"/>
          <w:sz w:val="44"/>
          <w:szCs w:val="44"/>
        </w:rPr>
      </w:pPr>
    </w:p>
    <w:p>
      <w:pPr>
        <w:jc w:val="center"/>
        <w:rPr>
          <w:rFonts w:hint="eastAsia" w:ascii="方正小标宋_GBK" w:hAnsi="宋体" w:eastAsia="方正小标宋_GBK"/>
          <w:sz w:val="44"/>
          <w:szCs w:val="44"/>
        </w:rPr>
      </w:pPr>
    </w:p>
    <w:p>
      <w:pPr>
        <w:jc w:val="center"/>
        <w:rPr>
          <w:rFonts w:hint="eastAsia" w:ascii="方正小标宋_GBK" w:hAnsi="宋体" w:eastAsia="方正小标宋_GBK"/>
          <w:sz w:val="44"/>
          <w:szCs w:val="44"/>
        </w:rPr>
      </w:pPr>
    </w:p>
    <w:p>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乌鲁木齐市财政局</w:t>
      </w:r>
    </w:p>
    <w:p>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部门概况</w:t>
      </w:r>
      <w:r>
        <w:rPr>
          <w:rFonts w:hint="eastAsia" w:ascii="仿宋_GB2312" w:hAnsi="仿宋_GB2312" w:eastAsia="仿宋_GB2312" w:cs="仿宋_GB2312"/>
          <w:b/>
          <w:bCs/>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部门概况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贯彻执行国家、自治区和我市有关财政、税收、行政事业单位国有资产管理的方针、政策和法律法规，起草有关地方性法规、规章草案和政策措施，组织编制我市财政工作中长期规划、年度计划，并组织实施和监督检查；参与有关税收制度和办法的拟订。</w:t>
      </w:r>
    </w:p>
    <w:p>
      <w:pPr>
        <w:spacing w:line="580" w:lineRule="exact"/>
        <w:ind w:firstLine="640"/>
        <w:jc w:val="both"/>
      </w:pPr>
      <w:r>
        <w:rPr>
          <w:rFonts w:ascii="仿宋_GB2312" w:hAnsi="仿宋_GB2312" w:eastAsia="仿宋_GB2312"/>
          <w:sz w:val="32"/>
        </w:rPr>
        <w:t>（二）根据我市国民经济和社会发展战略，拟订财政发展战略和中长期规划；分析预测宏观经济形势，参与制定宏观经济政策，提出运用财税政策实施宏观经济调控和综合平衡社会财力的建议；拟订市本级与区（县）、财政与企业的分配政策，制定调节收入分配的财税政策，完善促进社会事业发展的财税政策。</w:t>
      </w:r>
    </w:p>
    <w:p>
      <w:pPr>
        <w:spacing w:line="580" w:lineRule="exact"/>
        <w:ind w:firstLine="640"/>
        <w:jc w:val="both"/>
      </w:pPr>
      <w:r>
        <w:rPr>
          <w:rFonts w:ascii="仿宋_GB2312" w:hAnsi="仿宋_GB2312" w:eastAsia="仿宋_GB2312"/>
          <w:sz w:val="32"/>
        </w:rPr>
        <w:t>（三）承担全市各项财政收支管理责任；负责编制市本级预决算草案并组织执行；受市人民政府委托向市人民代表大会报告预算及执行情况，向市人大常委会报告决算；组织制定经费开支标准、定额，负责财政预决算工作；完善对区（县）转移支付制度。</w:t>
      </w:r>
    </w:p>
    <w:p>
      <w:pPr>
        <w:spacing w:line="580" w:lineRule="exact"/>
        <w:ind w:firstLine="640"/>
        <w:jc w:val="both"/>
      </w:pPr>
      <w:r>
        <w:rPr>
          <w:rFonts w:ascii="仿宋_GB2312" w:hAnsi="仿宋_GB2312" w:eastAsia="仿宋_GB2312"/>
          <w:sz w:val="32"/>
        </w:rPr>
        <w:t>（四）根据预算安排，拟订财政税收入计划，并组织实施、管理和监督；按管理权限拟订上报减免税事项和对全市预算影响较大的临时和特殊的地方税减免事项；负责政府非税收入和政府性基金管理；监督指导区（县）、各部门非税收入政策的执行；监管财政票据；参与行政事业性收费标准的确定；执行彩票管理政策和有关办法，健全彩票公益金监督机制，提高资金使用效益。</w:t>
      </w:r>
    </w:p>
    <w:p>
      <w:pPr>
        <w:spacing w:line="580" w:lineRule="exact"/>
        <w:ind w:firstLine="640"/>
        <w:jc w:val="both"/>
      </w:pPr>
      <w:r>
        <w:rPr>
          <w:rFonts w:ascii="仿宋_GB2312" w:hAnsi="仿宋_GB2312" w:eastAsia="仿宋_GB2312"/>
          <w:sz w:val="32"/>
        </w:rPr>
        <w:t>（五）组织实施国库管理和国库集中收付制度、公务卡制度，以及预算执行动态监控制度；监督管理区（县）国库资金缴拨使用；负责实施全市财政总预决算、部门预决算公开和政府债务管理工作；负责制定全市政府采购制度并监督管理，研究拟订政府向社会力量购买服务的政策措施和管理办法并组织实施；管理全市财政统一发放工资津贴工作。</w:t>
      </w:r>
    </w:p>
    <w:p>
      <w:pPr>
        <w:spacing w:line="580" w:lineRule="exact"/>
        <w:ind w:firstLine="640"/>
        <w:jc w:val="both"/>
      </w:pPr>
      <w:r>
        <w:rPr>
          <w:rFonts w:ascii="仿宋_GB2312" w:hAnsi="仿宋_GB2312" w:eastAsia="仿宋_GB2312"/>
          <w:sz w:val="32"/>
        </w:rPr>
        <w:t>（六）拟订和执行政府性债务管理制度和办法，负责管理政府外债，组织实施外国政府、国际金融组织贷款项目和审核、申报、转贷、签订贷款协定以及资金管理工作；负责建立全市政府债务监控管理机制；研究控制政府债务规模；负责制定化解政府债务的政策措施并组织实施；负责全市政府债券的管理工作；指导区（县）政府债务管理工作。</w:t>
      </w:r>
    </w:p>
    <w:p>
      <w:pPr>
        <w:spacing w:line="580" w:lineRule="exact"/>
        <w:ind w:firstLine="640"/>
        <w:jc w:val="both"/>
      </w:pPr>
      <w:r>
        <w:rPr>
          <w:rFonts w:ascii="仿宋_GB2312" w:hAnsi="仿宋_GB2312" w:eastAsia="仿宋_GB2312"/>
          <w:sz w:val="32"/>
        </w:rPr>
        <w:t>（七）参与拟订建设投资的有关政策，制定全市基本建设财务管理制度，负责政府性投资项目财政资金管理工作；制定政府和社会资本合作有关政策制度，承担相关规范管理工作；承担有关政策性补贴和专项储备资金财政管理工作；管理农业综合开发资金及财务；管理各项扶贫资金。</w:t>
      </w:r>
    </w:p>
    <w:p>
      <w:pPr>
        <w:spacing w:line="580" w:lineRule="exact"/>
        <w:ind w:firstLine="640"/>
        <w:jc w:val="both"/>
      </w:pPr>
      <w:r>
        <w:rPr>
          <w:rFonts w:ascii="仿宋_GB2312" w:hAnsi="仿宋_GB2312" w:eastAsia="仿宋_GB2312"/>
          <w:sz w:val="32"/>
        </w:rPr>
        <w:t>（八）贯彻执行国家行政事业单位国有资产管理法规、制度和方针政策，制定全市行政事业单位国有资产管理政策制度并组织实施，按规定管理行政事业单位国有资产，拟订和执行需要全市统一规定的开支标准和支出政策；负责市属国有文化资产监管工作。</w:t>
      </w:r>
    </w:p>
    <w:p>
      <w:pPr>
        <w:spacing w:line="580" w:lineRule="exact"/>
        <w:ind w:firstLine="640"/>
        <w:jc w:val="both"/>
      </w:pPr>
      <w:r>
        <w:rPr>
          <w:rFonts w:ascii="仿宋_GB2312" w:hAnsi="仿宋_GB2312" w:eastAsia="仿宋_GB2312"/>
          <w:sz w:val="32"/>
        </w:rPr>
        <w:t>（九）会同有关部门管理市财政社会保障和就业及医疗卫生资金管理工作，会同有关部门研究制定社会保障资金（基金）政策和有关的财务管理制度，编制全市社会保障预决算草案。</w:t>
      </w:r>
    </w:p>
    <w:p>
      <w:pPr>
        <w:spacing w:line="580" w:lineRule="exact"/>
        <w:ind w:firstLine="640"/>
        <w:jc w:val="both"/>
      </w:pPr>
      <w:r>
        <w:rPr>
          <w:rFonts w:ascii="仿宋_GB2312" w:hAnsi="仿宋_GB2312" w:eastAsia="仿宋_GB2312"/>
          <w:sz w:val="32"/>
        </w:rPr>
        <w:t>（十）负责审核和汇总编制全市国有资本经营预决算草案，制定国有资本经营预算的制度和办法，收取市属企业国有资本收益；组织实施企业财务制度，参与制定企业国有资产管理相关制度。</w:t>
      </w:r>
    </w:p>
    <w:p>
      <w:pPr>
        <w:spacing w:line="580" w:lineRule="exact"/>
        <w:ind w:firstLine="640"/>
        <w:jc w:val="both"/>
      </w:pPr>
      <w:r>
        <w:rPr>
          <w:rFonts w:ascii="仿宋_GB2312" w:hAnsi="仿宋_GB2312" w:eastAsia="仿宋_GB2312"/>
          <w:sz w:val="32"/>
        </w:rPr>
        <w:t>（十一）管理和指导全市会计工作，规范会计行为；负责实施全市会计基础规范化、会计信息标准化工作；组织管理会计人员继续教育培训工作；承担会计专业技术资格考试和我市高级会计师评价初评工作。</w:t>
      </w:r>
    </w:p>
    <w:p>
      <w:pPr>
        <w:spacing w:line="580" w:lineRule="exact"/>
        <w:ind w:firstLine="640"/>
        <w:jc w:val="both"/>
      </w:pPr>
      <w:r>
        <w:rPr>
          <w:rFonts w:ascii="仿宋_GB2312" w:hAnsi="仿宋_GB2312" w:eastAsia="仿宋_GB2312"/>
          <w:sz w:val="32"/>
        </w:rPr>
        <w:t>（十二）监督检查财税法规、政策的执行情况，反映财政收支管理中的重大问题，提出加强财政管理的政策建议；贯彻落实财政绩效管理相关政策制度，组织指导市本级和区（县）预算绩效管理工作；组织实施专项资金绩效考核工作；研究建立财政支出绩效评价制度和评价体系并组织实施；负责全市财政系统信息化建设规划并组织实施。</w:t>
      </w:r>
    </w:p>
    <w:p>
      <w:pPr>
        <w:spacing w:line="580" w:lineRule="exact"/>
        <w:ind w:firstLine="640"/>
        <w:jc w:val="both"/>
      </w:pPr>
      <w:r>
        <w:rPr>
          <w:rFonts w:ascii="仿宋_GB2312" w:hAnsi="仿宋_GB2312" w:eastAsia="仿宋_GB2312"/>
          <w:sz w:val="32"/>
        </w:rPr>
        <w:t>（十三）承担</w:t>
      </w:r>
      <w:r>
        <w:rPr>
          <w:rFonts w:hint="eastAsia" w:ascii="仿宋_GB2312" w:hAnsi="仿宋_GB2312" w:eastAsia="仿宋_GB2312"/>
          <w:sz w:val="32"/>
          <w:lang w:eastAsia="zh-CN"/>
        </w:rPr>
        <w:t>财政</w:t>
      </w:r>
      <w:bookmarkStart w:id="0" w:name="_GoBack"/>
      <w:bookmarkEnd w:id="0"/>
      <w:r>
        <w:rPr>
          <w:rFonts w:ascii="仿宋_GB2312" w:hAnsi="仿宋_GB2312" w:eastAsia="仿宋_GB2312"/>
          <w:sz w:val="32"/>
        </w:rPr>
        <w:t>政策和金融政策协调配合的政策研究工作；参与防范金融风险政策研究；承担地方金融机构的国有资产和财务监管工作；承担中央和自治区政策性农业保险相关工作；承担政策性金融业务管理工作。</w:t>
      </w:r>
    </w:p>
    <w:p>
      <w:pPr>
        <w:spacing w:line="580" w:lineRule="exact"/>
        <w:ind w:firstLine="640"/>
        <w:jc w:val="both"/>
      </w:pPr>
      <w:r>
        <w:rPr>
          <w:rFonts w:ascii="仿宋_GB2312" w:hAnsi="仿宋_GB2312" w:eastAsia="仿宋_GB2312"/>
          <w:sz w:val="32"/>
        </w:rPr>
        <w:t>（十四）指导全市注册会计师、资产评估师行业党建工作；负责市注册会计师、资产评估师行业党委的日常管理。</w:t>
      </w:r>
    </w:p>
    <w:p>
      <w:pPr>
        <w:spacing w:line="580" w:lineRule="exact"/>
        <w:ind w:firstLine="640"/>
        <w:jc w:val="both"/>
      </w:pPr>
      <w:r>
        <w:rPr>
          <w:rFonts w:ascii="仿宋_GB2312" w:hAnsi="仿宋_GB2312" w:eastAsia="仿宋_GB2312"/>
          <w:sz w:val="32"/>
        </w:rPr>
        <w:t>（十五）承办市委、市人民政府交办的其他事项。</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乌鲁木齐市财政局无下属预算单位。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2025年度收入总计4,035.82万元，</w:t>
      </w:r>
      <w:r>
        <w:rPr>
          <w:rFonts w:ascii="仿宋_GB2312" w:hAnsi="仿宋_GB2312" w:eastAsia="仿宋_GB2312"/>
          <w:b w:val="0"/>
          <w:sz w:val="32"/>
        </w:rPr>
        <w:t>其中：本年收入合计4,035.67万元，使用非财政拨款结余（含专用结余）0.00万元，年初结转和结余0.15万元。</w:t>
      </w:r>
    </w:p>
    <w:p>
      <w:pPr>
        <w:spacing w:line="580" w:lineRule="exact"/>
        <w:ind w:firstLine="640"/>
        <w:jc w:val="both"/>
      </w:pPr>
      <w:r>
        <w:rPr>
          <w:rFonts w:ascii="仿宋_GB2312" w:hAnsi="仿宋_GB2312" w:eastAsia="仿宋_GB2312"/>
          <w:b/>
          <w:sz w:val="32"/>
        </w:rPr>
        <w:t>2025年度支出总计4,035.82万元，</w:t>
      </w:r>
      <w:r>
        <w:rPr>
          <w:rFonts w:ascii="仿宋_GB2312" w:hAnsi="仿宋_GB2312" w:eastAsia="仿宋_GB2312"/>
          <w:b w:val="0"/>
          <w:sz w:val="32"/>
        </w:rPr>
        <w:t>其中：本年支出合计4,035.82万元，结余分配0.00万元，年末结转和结余0.00万元。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增加8.40万元，增长0.21%，主要原因是：一是本年在职人员工资调增，社保、公积金基数调增，人员经费增加；二是本年增加辅助履职人员支出项目。</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本年收入4,035.67万元，</w:t>
      </w:r>
      <w:r>
        <w:rPr>
          <w:rFonts w:ascii="仿宋_GB2312" w:hAnsi="仿宋_GB2312" w:eastAsia="仿宋_GB2312"/>
          <w:b w:val="0"/>
          <w:sz w:val="32"/>
        </w:rPr>
        <w:t>其中：财政拨款收入4,035.67万元，占100.00%；上级补助收入0.00万元，占0.00%；事业收入0.00万元，占0.00%；经营收入0.00万元，占0.00%；附属单位上缴收入0.00万元，占0.00%；其他收入0.00万元，占0.00%。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本年支出4,035.82万元，</w:t>
      </w:r>
      <w:r>
        <w:rPr>
          <w:rFonts w:ascii="仿宋_GB2312" w:hAnsi="仿宋_GB2312" w:eastAsia="仿宋_GB2312"/>
          <w:b w:val="0"/>
          <w:sz w:val="32"/>
        </w:rPr>
        <w:t>其中：基本支出2,777.72万元，占68.83%；项目支出1,258.10万元，占31.17%；上缴上级支出0.00万元，占0.00%；经营支出0.00万元，占0.00%；对附属单位补助支出0.00万元，占0.00%。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2025年度财政拨款收入总计4,035.67万元，</w:t>
      </w:r>
      <w:r>
        <w:rPr>
          <w:rFonts w:ascii="仿宋_GB2312" w:hAnsi="仿宋_GB2312" w:eastAsia="仿宋_GB2312"/>
          <w:b w:val="0"/>
          <w:sz w:val="32"/>
        </w:rPr>
        <w:t>其中：年初财政拨款结转和结余0.00万元，本年财政拨款收入4,035.67万元。</w:t>
      </w:r>
      <w:r>
        <w:rPr>
          <w:rFonts w:ascii="仿宋_GB2312" w:hAnsi="仿宋_GB2312" w:eastAsia="仿宋_GB2312"/>
          <w:b/>
          <w:sz w:val="32"/>
        </w:rPr>
        <w:t>财政拨款支出总计4,035.67万元，</w:t>
      </w:r>
      <w:r>
        <w:rPr>
          <w:rFonts w:ascii="仿宋_GB2312" w:hAnsi="仿宋_GB2312" w:eastAsia="仿宋_GB2312"/>
          <w:b w:val="0"/>
          <w:sz w:val="32"/>
        </w:rPr>
        <w:t>其中：年末财政拨款结转和结余0.00万元，本年财政拨款支出4,035.67万元。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增加68.25万元，增长1.72%，主要原因是：一是本年在职人员工资调增，社保、公积金基数调增，人员经费增加；二是本年增加辅助履职人员支出项目。</w:t>
      </w:r>
      <w:r>
        <w:rPr>
          <w:rFonts w:ascii="仿宋_GB2312" w:hAnsi="仿宋_GB2312" w:eastAsia="仿宋_GB2312"/>
          <w:b/>
          <w:sz w:val="32"/>
        </w:rPr>
        <w:t>与年初预算相比，</w:t>
      </w:r>
      <w:r>
        <w:rPr>
          <w:rFonts w:ascii="仿宋_GB2312" w:hAnsi="仿宋_GB2312" w:eastAsia="仿宋_GB2312"/>
          <w:b w:val="0"/>
          <w:sz w:val="32"/>
        </w:rPr>
        <w:t>年初预算数4,084.26万元，决算数4,035.67万元，预决算差异率-1.19%，主要原因是：年中调减会计事务管理项目、政府采购与财政监督检查项目资金，导致预决算存在差异。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预算改革、会计事务管理、财政资金综合评价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财政事务（款）行政运行（项）的支出占本年财政拨款支出总额的比重最高，2025年度决算数为1,824.98万元，占比45.22%，主要用于人员基本工资、津贴补贴、日常公用经费等。</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2025年度一般公共预算财政拨款支出4,035.67万元，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增加68.25万元，增长1.72%，主要原因是：一是本年在职人员工资调增，社保、公积金基数调增，人员经费增加；二是本年增加辅助履职人员支出项目。</w:t>
      </w:r>
      <w:r>
        <w:rPr>
          <w:rFonts w:ascii="仿宋_GB2312" w:hAnsi="仿宋_GB2312" w:eastAsia="仿宋_GB2312"/>
          <w:b/>
          <w:sz w:val="32"/>
        </w:rPr>
        <w:t>与年初预算相比，</w:t>
      </w:r>
      <w:r>
        <w:rPr>
          <w:rFonts w:ascii="仿宋_GB2312" w:hAnsi="仿宋_GB2312" w:eastAsia="仿宋_GB2312"/>
          <w:b w:val="0"/>
          <w:sz w:val="32"/>
        </w:rPr>
        <w:t>年初预算数4,084.26万元，决算数4,035.67万元，预决算差异率-1.19%，主要原因是：年中调减会计事务管理项目、政府采购与财政监督检查项目资金，导致预决算存在差异。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1.一般公共服务支出（类）3,584.72万元，占88.83%。</w:t>
      </w:r>
    </w:p>
    <w:p>
      <w:pPr>
        <w:spacing w:line="580" w:lineRule="exact"/>
        <w:ind w:firstLine="640"/>
        <w:jc w:val="both"/>
      </w:pPr>
      <w:r>
        <w:rPr>
          <w:rFonts w:ascii="仿宋_GB2312" w:hAnsi="仿宋_GB2312" w:eastAsia="仿宋_GB2312"/>
          <w:b w:val="0"/>
          <w:sz w:val="32"/>
        </w:rPr>
        <w:t>2.社会保障和就业支出（类）450.95万元，占11.17%。</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1.一般公共服务支出（类）财政事务（款）行政运行（项）：支出决算数为1,824.98万元，比上年决算减少21.57万元，下降1.17%，主要原因是：本年在职人员减少，相应人员经费较上年减少。</w:t>
      </w:r>
    </w:p>
    <w:p>
      <w:pPr>
        <w:spacing w:line="580" w:lineRule="exact"/>
        <w:ind w:firstLine="640"/>
        <w:jc w:val="both"/>
      </w:pPr>
      <w:r>
        <w:rPr>
          <w:rFonts w:ascii="仿宋_GB2312" w:hAnsi="仿宋_GB2312" w:eastAsia="仿宋_GB2312"/>
          <w:b w:val="0"/>
          <w:sz w:val="32"/>
        </w:rPr>
        <w:t>2.一般公共服务支出（类）财政事务（款）一般行政管理事务（项）：支出决算数为262.37万元，比上年决算减少25.96万元，下降9.00%，主要原因是：本年会计事务管理经费项目支出较上年减少。</w:t>
      </w:r>
    </w:p>
    <w:p>
      <w:pPr>
        <w:spacing w:line="580" w:lineRule="exact"/>
        <w:ind w:firstLine="640"/>
        <w:jc w:val="both"/>
      </w:pPr>
      <w:r>
        <w:rPr>
          <w:rFonts w:ascii="仿宋_GB2312" w:hAnsi="仿宋_GB2312" w:eastAsia="仿宋_GB2312"/>
          <w:b w:val="0"/>
          <w:sz w:val="32"/>
        </w:rPr>
        <w:t>3.一般公共服务支出（类）财政事务（款）预算改革业务（项）：支出决算数为433.99万元，比上年决算增加68.11万元，增长18.62%，主要原因是：本年预算改革经费项目支出较上年增加。</w:t>
      </w:r>
    </w:p>
    <w:p>
      <w:pPr>
        <w:spacing w:line="580" w:lineRule="exact"/>
        <w:ind w:firstLine="640"/>
        <w:jc w:val="both"/>
      </w:pPr>
      <w:r>
        <w:rPr>
          <w:rFonts w:ascii="仿宋_GB2312" w:hAnsi="仿宋_GB2312" w:eastAsia="仿宋_GB2312"/>
          <w:b w:val="0"/>
          <w:sz w:val="32"/>
        </w:rPr>
        <w:t>4.一般公共服务支出（类）财政事务（款）信息化建设（项）：支出决算数为122.55万元，比上年决算增加25.26万元，增长25.96%，主要原因是：本年财政信息一体化项目支出较上年增加。</w:t>
      </w:r>
    </w:p>
    <w:p>
      <w:pPr>
        <w:spacing w:line="580" w:lineRule="exact"/>
        <w:ind w:firstLine="640"/>
        <w:jc w:val="both"/>
      </w:pPr>
      <w:r>
        <w:rPr>
          <w:rFonts w:ascii="仿宋_GB2312" w:hAnsi="仿宋_GB2312" w:eastAsia="仿宋_GB2312"/>
          <w:b w:val="0"/>
          <w:sz w:val="32"/>
        </w:rPr>
        <w:t>5.一般公共服务支出（类）财政事务（款）财政委托业务支出（项）：支出决算数为439.19万元，比上年决算增加1.81万元，增长0.41%，主要原因是：本年财政资金综合评价中心项目支出较上年增加。</w:t>
      </w:r>
    </w:p>
    <w:p>
      <w:pPr>
        <w:spacing w:line="580" w:lineRule="exact"/>
        <w:ind w:firstLine="640"/>
        <w:jc w:val="both"/>
      </w:pPr>
      <w:r>
        <w:rPr>
          <w:rFonts w:ascii="仿宋_GB2312" w:hAnsi="仿宋_GB2312" w:eastAsia="仿宋_GB2312"/>
          <w:b w:val="0"/>
          <w:sz w:val="32"/>
        </w:rPr>
        <w:t>6.一般公共服务支出（类）财政事务（款）事业运行（项）：支出决算数为501.65万元，比上年决算增加9.35万元，增长1.90%，主要原因是：本年事业在职人员工资调增，导致相关人员经费较上年有所增加。</w:t>
      </w:r>
    </w:p>
    <w:p>
      <w:pPr>
        <w:spacing w:line="580" w:lineRule="exact"/>
        <w:ind w:firstLine="640"/>
        <w:jc w:val="both"/>
      </w:pPr>
      <w:r>
        <w:rPr>
          <w:rFonts w:ascii="仿宋_GB2312" w:hAnsi="仿宋_GB2312" w:eastAsia="仿宋_GB2312"/>
          <w:b w:val="0"/>
          <w:sz w:val="32"/>
        </w:rPr>
        <w:t>7.一般公共服务支出（类）财政事务（款）其他财政事务支出（项）：支出决算数为0.00万元，比上年决算减少7.17万元，下降100.00%，主要原因是：本年减少全区会计专业技术资格考试考务工作经费项目。</w:t>
      </w:r>
    </w:p>
    <w:p>
      <w:pPr>
        <w:spacing w:line="580" w:lineRule="exact"/>
        <w:ind w:firstLine="640"/>
        <w:jc w:val="both"/>
      </w:pPr>
      <w:r>
        <w:rPr>
          <w:rFonts w:ascii="仿宋_GB2312" w:hAnsi="仿宋_GB2312" w:eastAsia="仿宋_GB2312"/>
          <w:b w:val="0"/>
          <w:sz w:val="32"/>
        </w:rPr>
        <w:t>8.科学技术支出（类）其他科学技术支出（款）其他科学技术支出（项）：支出决算数为0.00万元，比上年决算减少2.93万元，下降100.00%，主要原因是：本年减少信息化设备购置项目。</w:t>
      </w:r>
    </w:p>
    <w:p>
      <w:pPr>
        <w:spacing w:line="580" w:lineRule="exact"/>
        <w:ind w:firstLine="640"/>
        <w:jc w:val="both"/>
      </w:pPr>
      <w:r>
        <w:rPr>
          <w:rFonts w:ascii="仿宋_GB2312" w:hAnsi="仿宋_GB2312" w:eastAsia="仿宋_GB2312"/>
          <w:b w:val="0"/>
          <w:sz w:val="32"/>
        </w:rPr>
        <w:t>9.社会保障和就业支出（类）行政事业单位养老支出（款）行政单位离退休（项）：支出决算数为89.38万元，比上年决算增加20.25万元，增长29.29%，主要原因是：本年退休人员增加，退休费支出增加。</w:t>
      </w:r>
    </w:p>
    <w:p>
      <w:pPr>
        <w:spacing w:line="580" w:lineRule="exact"/>
        <w:ind w:firstLine="640"/>
        <w:jc w:val="both"/>
      </w:pPr>
      <w:r>
        <w:rPr>
          <w:rFonts w:ascii="仿宋_GB2312" w:hAnsi="仿宋_GB2312" w:eastAsia="仿宋_GB2312"/>
          <w:b w:val="0"/>
          <w:sz w:val="32"/>
        </w:rPr>
        <w:t>10.社会保障和就业支出（类）行政事业单位养老支出（款）机关事业单位基本养老保险缴费支出（项）：支出决算数为253.62万元，比上年决算增加6.24万元，增长2.52%，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11.社会保障和就业支出（类）行政事业单位养老支出（款）机关事业单位职业年金缴费支出（项）：支出决算数为107.95万元，比上年决算增加40.35万元，增长59.69%，主要原因是：一是本年新增退休人员，职业年金缴费支出增加；二是根据政策要求，2025年7月开始，在职人员职业年金单位缴纳部分做实，导致职业年金缴费较上年增加。</w:t>
      </w:r>
    </w:p>
    <w:p>
      <w:pPr>
        <w:spacing w:line="580" w:lineRule="exact"/>
        <w:ind w:firstLine="640"/>
        <w:jc w:val="both"/>
      </w:pPr>
      <w:r>
        <w:rPr>
          <w:rFonts w:ascii="仿宋_GB2312" w:hAnsi="仿宋_GB2312" w:eastAsia="仿宋_GB2312"/>
          <w:b w:val="0"/>
          <w:sz w:val="32"/>
        </w:rPr>
        <w:t>12.社会保障和就业支出（类）抚恤（款）死亡抚恤（项）：支出决算数为0.00万元，比上年决算减少45.49万元，下降100.00%，主要原因是：本年无新增死亡人员，死亡抚恤支出较上年减少。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2025年度一般公共预算财政拨款基本支出2,777.57万元，其中：</w:t>
      </w:r>
      <w:r>
        <w:rPr>
          <w:rFonts w:ascii="仿宋_GB2312" w:hAnsi="仿宋_GB2312" w:eastAsia="仿宋_GB2312"/>
          <w:b/>
          <w:sz w:val="32"/>
        </w:rPr>
        <w:t>人员经费2,563.99万元，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包括：基本工资、津贴补贴、奖金、绩效工资、机关事业单位基本养老保险缴费、职业年金缴费、职工基本医疗保险缴费、公务员医疗补助缴费、其他社会保障缴费、住房公积金、退休费、生活补助。</w:t>
      </w:r>
    </w:p>
    <w:p>
      <w:pPr>
        <w:spacing w:line="580" w:lineRule="exact"/>
        <w:ind w:firstLine="640"/>
        <w:jc w:val="both"/>
      </w:pPr>
      <w:r>
        <w:rPr>
          <w:rFonts w:ascii="仿宋_GB2312" w:hAnsi="仿宋_GB2312" w:eastAsia="仿宋_GB2312"/>
          <w:b/>
          <w:sz w:val="32"/>
        </w:rPr>
        <w:t>公用经费213.59万元，</w:t>
      </w:r>
      <w:r>
        <w:rPr>
          <w:rFonts w:ascii="仿宋_GB2312" w:hAnsi="仿宋_GB2312" w:eastAsia="仿宋_GB2312"/>
          <w:b w:val="0"/>
          <w:sz w:val="32"/>
        </w:rPr>
        <w:t>包括：办公费、印刷费、邮电费、差旅费、维修（护）费、公务接待费、劳务费、工会经费、福利费、公务用车运行维护费、其他商品和服务支出。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本部门本年度无政府性基金预算财政拨款收入、支出及结转和结余，政府性基金预算财政拨款收入支出决算表为空表。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本部门本年度无国有资本经营预算财政拨款收入、支出及结转和结余，国有资本经营预算财政拨款收入支出决算表为空表。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2025年度财政拨款“三公”经费支出17.23万元，</w:t>
      </w:r>
      <w:r>
        <w:rPr>
          <w:rFonts w:ascii="仿宋_GB2312" w:hAnsi="仿宋_GB2312" w:eastAsia="仿宋_GB2312"/>
          <w:b w:val="0"/>
          <w:sz w:val="32"/>
        </w:rPr>
        <w:t>比上年减少2.35万元，下降12.00%，主要原因是：严格落实中央八项规定精神，厉行节约，减少公务用车运行维护费。其中：因公出国（境）费用支出0.00万元，占0.00%，比上年增加0.00万元，增长0.00%，主要原因是：2024年与2025年均无因公出国（境）费用支出。公务用车购置及运行维护费支出17.19万元，占99.77%，比上年减少2.34万元，下降11.98%，主要原因是：严格落实中央八项规定精神，厉行节约，减少公务用车运行维护费。公务接待费支出0.04万元，占0.23%，比上年减少0.01万元，下降20.00%，主要原因是：严格落实中央八项规定精神，厉行节约，减少公务接待费。</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因公出国（境）费用0.00万元，开支内容包括本部门无因公出国（境）费用。部门全年安排的因公出国（境）团组0个，因公出国（境）0人次。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17.19万元，其中：公务用车购置费0.00万元，公务用车运行维护费17.19万元。公务用车运行维护费开支内容包括车辆加油费、维修费、保险费等。公务用车购置数0辆，公务用车保有量8辆。国有资产占用情况中固定资产车辆30辆，与公务用车保有量差异原因是：差异车辆为单位业务用车，预算未安排公务用车运行维护费，车辆当年未进行使用。</w:t>
      </w:r>
    </w:p>
    <w:p>
      <w:pPr>
        <w:spacing w:line="580" w:lineRule="exact"/>
        <w:ind w:firstLine="640"/>
        <w:jc w:val="both"/>
      </w:pPr>
      <w:r>
        <w:rPr>
          <w:rFonts w:ascii="仿宋_GB2312" w:hAnsi="仿宋_GB2312" w:eastAsia="仿宋_GB2312"/>
          <w:b w:val="0"/>
          <w:sz w:val="32"/>
        </w:rPr>
        <w:t>公务接待费0.04万元，开支内容包括哈密市财政局调研小组来我局调研学习产生的就餐费。部门全年安排的国内公务接待1批次，4人次。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17.23万元，决算数17.23万元，预决算差异率0.00%，主要原因是：严格按照预算执行，预决算无差异。其中：因公出国（境）费用全年预算数0.00万元，决算数0.00万元，预决算差异率0.00%，主要原因是：本部门无因公出国（境）费用。公务用车购置费全年预算数0.00万元，决算数0.00万元，预决算差异率0.00%，主要原因是：本部门无公务用车购置费。公务用车运行维护费全年预算数17.19万元，决算数17.19万元，预决算差异率0.00%，主要原因是：严格按照预算执行，预决算无差异。公务接待费全年预算数0.04万元，决算数0.04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2025年度乌鲁木齐市财政局（行政单位和参照公务员法管理事业单位）机关运行经费支出213.59万元，比上年减少21.49万元，下降9.14%，主要原因是：严格控制公用经费，合理节约办公用品，减少不必要开支。</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2025年度政府采购支出总额343.47万元，其中：政府采购货物支出4.70万元、政府采购工程支出0.00万元、政府采购服务支出338.78万元。</w:t>
      </w:r>
    </w:p>
    <w:p>
      <w:pPr>
        <w:spacing w:line="580" w:lineRule="exact"/>
        <w:ind w:firstLine="640"/>
        <w:jc w:val="both"/>
      </w:pPr>
      <w:r>
        <w:rPr>
          <w:rFonts w:ascii="仿宋_GB2312" w:hAnsi="仿宋_GB2312" w:eastAsia="仿宋_GB2312"/>
          <w:b w:val="0"/>
          <w:sz w:val="32"/>
        </w:rPr>
        <w:t>授予中小企业合同金额313.64万元，占政府采购支出总额的91.32%，其中：授予小微企业合同金额313.64万元，占政府采购支出总额的91.32%。</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1,396.06平方米，价值500.22万元。车辆30辆，价值527.32万元，其中：副部（省）级及以上领导用车0辆、主要负责人用车0辆、机要通信用车0辆、应急保障用车0辆、执法执勤用车0辆、特种专业技术用车3辆、离退休干部服务用车0辆、其他用车27辆，其他用车主要是：一般公务用车和单位业务用车。单价100万元（含）以上设备（不含车辆）3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部门2025年度预算绩效管理形成整体支出绩效自评表1个，全年预算总额4,035.82万元，实际执行总额4,035.82万元；预算绩效评价项目6个，全年预算数1,479.86万元，全年执行数1,326.92万元。预算绩效管理取得的成效：一是规范预算绩效目标设定，开展项目支出绩效目标执行监控，强化事中预算绩效管理，严格执行有关财经法规和财政财务规定，明确工作职责，规范预算支出管理；二是及时跟踪查找项目执行中资金使用和业务管理的薄弱环节，夯实预算管理主体责任，提升财政资金管理使用效益。发现的问题及原因：一是工作人员对预算绩效管理工作的意义、框架、思路、操作规程等认识不够深入，工作素质还需进一步提高；二是预算绩效管理工作涉及政策面广、专业性较强，相关指标设置的科学性和规范性还有待提高，申报绩效目标不够准确，设计的评价指标体系不够完善。下一步改进措施：一是加强组织领导。进一步转变观念，牢固树立“花钱必问效，无效必问责”的预算绩效管理理念，切实提高绩效评价在日常管理中的重要作用，确保财政资金安全、高效使用。二是强化绩效监控。按月对项目支出绩效目标的实现程度和预算执行情况进行“双监控”，发现问题及时纠正，确保项目绩效目标如期保质保量实现。三是强化结果应用。进一步强化绩效评价结果与预算安排挂钩机制，坚决做到将政策和项目支出预算绩效与项目资金安排挂钩，对绩效评价结果差的项目资金一律削减或取消。具体附整体支出绩效自评表、项目支出绩效自评表及项目支出绩效评价报告。</w:t>
      </w:r>
    </w:p>
    <w:p>
      <w:r>
        <w:br w:type="page"/>
      </w:r>
    </w:p>
    <w:tbl>
      <w:tblPr>
        <w:tblStyle w:val="8"/>
        <w:tblW w:w="8844" w:type="dxa"/>
        <w:tblInd w:w="0" w:type="dxa"/>
        <w:tblLayout w:type="fixed"/>
        <w:tblCellMar>
          <w:top w:w="36" w:type="dxa"/>
          <w:left w:w="36" w:type="dxa"/>
          <w:bottom w:w="36" w:type="dxa"/>
          <w:right w:w="36" w:type="dxa"/>
        </w:tblCellMar>
      </w:tblPr>
      <w:tblGrid>
        <w:gridCol w:w="1240"/>
        <w:gridCol w:w="933"/>
        <w:gridCol w:w="1957"/>
        <w:gridCol w:w="1240"/>
        <w:gridCol w:w="1483"/>
        <w:gridCol w:w="592"/>
        <w:gridCol w:w="696"/>
        <w:gridCol w:w="703"/>
      </w:tblGrid>
      <w:tr>
        <w:tblPrEx>
          <w:tblLayout w:type="fixed"/>
          <w:tblCellMar>
            <w:top w:w="36" w:type="dxa"/>
            <w:left w:w="36" w:type="dxa"/>
            <w:bottom w:w="36" w:type="dxa"/>
            <w:right w:w="36" w:type="dxa"/>
          </w:tblCellMar>
        </w:tblPrEx>
        <w:trPr>
          <w:cantSplit/>
          <w:trHeight w:val="522" w:hRule="atLeast"/>
        </w:trPr>
        <w:tc>
          <w:tcPr>
            <w:tcW w:w="8844"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blPrEx>
          <w:tblLayout w:type="fixed"/>
          <w:tblCellMar>
            <w:top w:w="36" w:type="dxa"/>
            <w:left w:w="36" w:type="dxa"/>
            <w:bottom w:w="36" w:type="dxa"/>
            <w:right w:w="36" w:type="dxa"/>
          </w:tblCellMar>
        </w:tblPrEx>
        <w:trPr>
          <w:cantSplit/>
          <w:trHeight w:val="360" w:hRule="atLeast"/>
        </w:trPr>
        <w:tc>
          <w:tcPr>
            <w:tcW w:w="8844"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cantSplit/>
          <w:trHeight w:val="660" w:hRule="atLeast"/>
        </w:trPr>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部门（单位）名称</w:t>
            </w:r>
          </w:p>
        </w:tc>
        <w:tc>
          <w:tcPr>
            <w:tcW w:w="760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乌鲁木齐市财政局</w:t>
            </w:r>
          </w:p>
        </w:tc>
      </w:tr>
      <w:tr>
        <w:tblPrEx>
          <w:tblLayout w:type="fixed"/>
          <w:tblCellMar>
            <w:top w:w="36" w:type="dxa"/>
            <w:left w:w="36" w:type="dxa"/>
            <w:bottom w:w="36" w:type="dxa"/>
            <w:right w:w="36" w:type="dxa"/>
          </w:tblCellMar>
        </w:tblPrEx>
        <w:trPr>
          <w:cantSplit/>
          <w:trHeight w:val="570" w:hRule="atLeast"/>
        </w:trPr>
        <w:tc>
          <w:tcPr>
            <w:tcW w:w="124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部门资金（万元）</w:t>
            </w:r>
          </w:p>
        </w:tc>
        <w:tc>
          <w:tcPr>
            <w:tcW w:w="93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资金来源</w:t>
            </w:r>
          </w:p>
        </w:tc>
        <w:tc>
          <w:tcPr>
            <w:tcW w:w="195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14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分值权重</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执行率</w:t>
            </w: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cantSplit/>
          <w:trHeight w:val="882" w:hRule="atLeast"/>
        </w:trPr>
        <w:tc>
          <w:tcPr>
            <w:tcW w:w="12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3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年度总资金</w:t>
            </w:r>
          </w:p>
        </w:tc>
        <w:tc>
          <w:tcPr>
            <w:tcW w:w="195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4,118.20</w:t>
            </w:r>
          </w:p>
        </w:tc>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4,035.82</w:t>
            </w:r>
          </w:p>
        </w:tc>
        <w:tc>
          <w:tcPr>
            <w:tcW w:w="14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4,035.82</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w:t>
            </w:r>
          </w:p>
        </w:tc>
      </w:tr>
      <w:tr>
        <w:tblPrEx>
          <w:tblLayout w:type="fixed"/>
          <w:tblCellMar>
            <w:top w:w="36" w:type="dxa"/>
            <w:left w:w="36" w:type="dxa"/>
            <w:bottom w:w="36" w:type="dxa"/>
            <w:right w:w="36" w:type="dxa"/>
          </w:tblCellMar>
        </w:tblPrEx>
        <w:trPr>
          <w:cantSplit/>
          <w:trHeight w:val="882" w:hRule="atLeast"/>
        </w:trPr>
        <w:tc>
          <w:tcPr>
            <w:tcW w:w="12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3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上级资金：</w:t>
            </w:r>
          </w:p>
        </w:tc>
        <w:tc>
          <w:tcPr>
            <w:tcW w:w="195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4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cantSplit/>
          <w:trHeight w:val="882" w:hRule="atLeast"/>
        </w:trPr>
        <w:tc>
          <w:tcPr>
            <w:tcW w:w="12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3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本级资金：</w:t>
            </w:r>
          </w:p>
        </w:tc>
        <w:tc>
          <w:tcPr>
            <w:tcW w:w="195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4,084.26</w:t>
            </w:r>
          </w:p>
        </w:tc>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4,035.67</w:t>
            </w:r>
          </w:p>
        </w:tc>
        <w:tc>
          <w:tcPr>
            <w:tcW w:w="14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4,035.67</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cantSplit/>
          <w:trHeight w:val="882" w:hRule="atLeast"/>
        </w:trPr>
        <w:tc>
          <w:tcPr>
            <w:tcW w:w="12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3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195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33.94</w:t>
            </w:r>
          </w:p>
        </w:tc>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0.15</w:t>
            </w:r>
          </w:p>
        </w:tc>
        <w:tc>
          <w:tcPr>
            <w:tcW w:w="14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0.15</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cantSplit/>
          <w:trHeight w:val="705" w:hRule="atLeast"/>
        </w:trPr>
        <w:tc>
          <w:tcPr>
            <w:tcW w:w="124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4130"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474"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1999" w:hRule="atLeast"/>
        </w:trPr>
        <w:tc>
          <w:tcPr>
            <w:tcW w:w="12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30"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贯彻执行《中华人民共和国预算法》及《预算法实施条例》，全面落实国家、自治区财政、税收、会计相关法律法规及有关方针政策，加强财政资源统筹，强化预算约束和绩效管理，优化支出结构，全力保障上级重大决策部署和教育、医疗等民生领域重点支出，提高财政资金使用效益，为全市经济社会发展提供有力的财政保障。2025年重点聚焦以下工作：1.按照财政部统一规定的时间和程序组织开展本市全国会计专业技术职称考试，组织会计初级职称考试1次，会计中级职称考试1次，持续为社会输送会计专业人才；2.加大财会监督力度，按计划完成预决算公开检查、会计信息质量检查等财会领域专项监督检查工作任务至少3次，进一步提高财会监督深度和覆盖面；3.按照《中华人民共和国预算法》要求组织好全市各部门单位的预算、决算编制工作，坚持量入为出、有保有压、全面统筹、科学精准原则，确保财政平稳可持续运行；4.按照《中华人民共和国预算法》要求在规定时限内及时批复各部门预算、决算，并督促部门单位在法定时限内完整准确公开预算、决算，增强预算的透明度，接受广大人民监督。</w:t>
            </w:r>
          </w:p>
        </w:tc>
        <w:tc>
          <w:tcPr>
            <w:tcW w:w="3474"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截至2025年底，单位实际完成：组织2次全国会计专业技术资格考试，提升了会计人员素质能力，持续为社会输送会计专业人才；圆满完成地方财经纪律重点问题专项整治、预决算公开检查、会计信息质量检查等3项财政监督检查工作任务，提高了财会监督深度和覆盖面；组织和审核全市部门预算和部门决算编制工作，预决算编制覆盖率达100%；按照《中华人民共和国预算法》要求在规定时限内及时批复各部门预算、决算，批复及时率达100%，并督促部门单位在法定时限内完整准确公开预算、决算，保障了公众知情权与监督权，提升了财政管理效能。</w:t>
            </w:r>
          </w:p>
        </w:tc>
      </w:tr>
      <w:tr>
        <w:tblPrEx>
          <w:tblLayout w:type="fixed"/>
          <w:tblCellMar>
            <w:top w:w="36" w:type="dxa"/>
            <w:left w:w="36" w:type="dxa"/>
            <w:bottom w:w="36" w:type="dxa"/>
            <w:right w:w="36" w:type="dxa"/>
          </w:tblCellMar>
        </w:tblPrEx>
        <w:trPr>
          <w:cantSplit/>
          <w:trHeight w:val="582" w:hRule="atLeast"/>
        </w:trPr>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93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1957"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预期指标值</w:t>
            </w:r>
          </w:p>
        </w:tc>
        <w:tc>
          <w:tcPr>
            <w:tcW w:w="148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指标值设定依据</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分值权重</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实际完成指标值</w:t>
            </w: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cantSplit/>
          <w:trHeight w:val="739" w:hRule="atLeast"/>
        </w:trPr>
        <w:tc>
          <w:tcPr>
            <w:tcW w:w="124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履职效能</w:t>
            </w:r>
          </w:p>
        </w:tc>
        <w:tc>
          <w:tcPr>
            <w:tcW w:w="93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195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组织会计专业技术资格考试次数</w:t>
            </w:r>
          </w:p>
        </w:tc>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&gt;=2次</w:t>
            </w:r>
          </w:p>
        </w:tc>
        <w:tc>
          <w:tcPr>
            <w:tcW w:w="14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《关于2025年度全国会计专业技术资格考试考务日程安排的通知》（会考【2024】3号）</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2次</w:t>
            </w: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w:t>
            </w:r>
          </w:p>
        </w:tc>
      </w:tr>
      <w:tr>
        <w:tblPrEx>
          <w:tblLayout w:type="fixed"/>
          <w:tblCellMar>
            <w:top w:w="36" w:type="dxa"/>
            <w:left w:w="36" w:type="dxa"/>
            <w:bottom w:w="36" w:type="dxa"/>
            <w:right w:w="36" w:type="dxa"/>
          </w:tblCellMar>
        </w:tblPrEx>
        <w:trPr>
          <w:cantSplit/>
          <w:trHeight w:val="739" w:hRule="atLeast"/>
        </w:trPr>
        <w:tc>
          <w:tcPr>
            <w:tcW w:w="12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3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95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开展财会专项监督检查及评价工作次数</w:t>
            </w:r>
          </w:p>
        </w:tc>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&gt;=3次</w:t>
            </w:r>
          </w:p>
        </w:tc>
        <w:tc>
          <w:tcPr>
            <w:tcW w:w="14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市财政局2024年度工作总结</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3次</w:t>
            </w: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30</w:t>
            </w:r>
          </w:p>
        </w:tc>
      </w:tr>
      <w:tr>
        <w:tblPrEx>
          <w:tblLayout w:type="fixed"/>
          <w:tblCellMar>
            <w:top w:w="36" w:type="dxa"/>
            <w:left w:w="36" w:type="dxa"/>
            <w:bottom w:w="36" w:type="dxa"/>
            <w:right w:w="36" w:type="dxa"/>
          </w:tblCellMar>
        </w:tblPrEx>
        <w:trPr>
          <w:cantSplit/>
          <w:trHeight w:val="739" w:hRule="atLeast"/>
        </w:trPr>
        <w:tc>
          <w:tcPr>
            <w:tcW w:w="12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3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195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组织市本级部门单位开展预决算编制工作覆盖率</w:t>
            </w:r>
          </w:p>
        </w:tc>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4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《中华人民共和国预算法》</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25</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25</w:t>
            </w:r>
          </w:p>
        </w:tc>
      </w:tr>
      <w:tr>
        <w:tblPrEx>
          <w:tblLayout w:type="fixed"/>
          <w:tblCellMar>
            <w:top w:w="36" w:type="dxa"/>
            <w:left w:w="36" w:type="dxa"/>
            <w:bottom w:w="36" w:type="dxa"/>
            <w:right w:w="36" w:type="dxa"/>
          </w:tblCellMar>
        </w:tblPrEx>
        <w:trPr>
          <w:cantSplit/>
          <w:trHeight w:val="739" w:hRule="atLeast"/>
        </w:trPr>
        <w:tc>
          <w:tcPr>
            <w:tcW w:w="12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3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195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市本级部门预决算批复及时率</w:t>
            </w:r>
          </w:p>
        </w:tc>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4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《中华人民共和国预算法》</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15</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会计事务管理经费</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乌鲁木齐市财政局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乌鲁木齐市财政局</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312.14</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208.66</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208.66</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312.14</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208.66</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208.66</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1.按照财政部统一规定的时间、程序做好2025年度会计职称考试考务管理各环节工作，确保考试圆满完成；2.按照财政部、自治区财政厅规定的时间和要求组织全市各部门单位高质量完成行政事业单位内部控制报告编报工作，提升财会监督效能；3.组织会计人员参加培训，提升会计人员专业素质和职业道德水平。</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实际完成组织会计专业资格考试报名工作，报考人数34371人，考生实际出考率达到64.11%，全年会计专业技术考试按时完成率100%，组织开展会计人员内部控制报告编报培训1次，培训人员满意度为100%，内控报告编报及时率100%，编报质量较高。项目实际支出208.66万元，通过项目实施提升了全市会计人员专业素质及职业道德，促进了会计人员队伍建设。</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会计专业技术资格考试总人数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&gt;=38200人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=34371人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考试总人数的目标值是根据以前年度会计考试报名情况预计得出，与当年实际报考人数存在差异。</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89.98</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会计人员培训次数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&gt;=1次</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=1次</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初、中级会计考试平均出考率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&gt;=55%</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=64.11%</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会计专业技术资格考试按时完成率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行政事业单位内控报告编报及时率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促进会计人员队伍建设</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有效促进</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该社会效益指标为定性指标，基本达成目标，指标完成率95%属于合理区间。</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培训人员满意度</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99.00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政府采购与财政监督检查项目经费</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乌鲁木齐市财政局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乌鲁木齐市财政局</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162.48</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95.61</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95.61</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162.48</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95.61</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95.61</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1.开展预决算公开检查、会计信息质量检查等财会领域专项监督检查工作，促进各单位严肃财经纪律、规范财政财务管理、提高会计信息质量；2.加强政采云平台运行维护服务，确保政采云平台平稳运行、政府采购业务顺利开展；3.依法及时受理政府采购投诉事项，组织专家进行评审论证，保障采购人和供应商的合法权益。</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实际完成政府采购投诉事项依法受理率100%，投诉事项均在28个工作日内作出处理决定，预决算公开检查覆盖率达100%，政采云平台365天正常运行，委托第三方协助开展预决算公开检查、会计信息质量检查等财会领域专项监督检查工作，项目实际支出95.61万元，通过项目实施促进了各单位进一步严肃财经纪律、规范财务管理，提高了会计信息质量，同时确保了各单位政府采购业务顺利开展，保障了采购人和供应商的合法权益。</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政采云平台正常运行天数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&gt;=360天</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=365天</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政府采购投诉依法受理率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预算单位预决算公开检查覆盖率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受理政府采购投诉事项作出处理决定时限</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&lt;=30个工作日</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=28个工作日</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成本指标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经济成本指标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政采云平台运行维护费</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&lt;=35万元</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=35万元</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专家劳务费</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&lt;=1.8万元</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=1.8万元</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监督检查工作委托业务费</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&lt;=48.33万元</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=48.33万元</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车辆租赁费等其他支出</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&lt;=10.48万元</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=10.48万元</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保障政府采购业务正常开展</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有效保障</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定性指标，完成率95%属于合理范围。</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财政信息一体化项目经费</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乌鲁木齐市财政局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乌鲁木齐市财政局</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131.51</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131.51</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122.55</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93.19%</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9.32分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131.51</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131.51</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122.55</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1.通过租用电信、移动运营线路，保障全市金财专网的网络畅通；
2.做好预算管理一体化系统、绩效管理系统、财政内网平台等财政网络信息系统的运行维护，保证财政各项业务的顺利开展；
3.采购安装正版办公软件，保护知识产权，保障信息完全。</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实际完成运行维护财政信息化系统3个，一体化平台系统现场常驻运维人员2人，安装正版办公软件195台，金财专网移动线路带宽达到50M，电信线路带宽达到20M，系统运行维护响应时间均在24小时以内。项目实际支出122.55万元，通过项目实施为财政信息化建设与业务高效运转提供了坚实保障，达到了保障财政业务的顺利开展，推动信息化建设的效益。</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一体化平台系统现场常驻人数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&gt;=2人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维护系统数量</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&gt;=3个</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=3个</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正版办公软件安装台数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&gt;=252台</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6.19</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=195台</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目标值为预估最大安装数量，执行中根据工作实际需求，仅需安装195台。</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77.38</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移动线路带宽</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&gt;=50M</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=50M</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电信线路带宽</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&gt;=20M</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=20M</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系统运行维护响应时间</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&lt;=24小时</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=24小时</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保障财政业务的顺利开展，推动信息化建设</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有效保障</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40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36</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定性指标，完成值90%属于合理范围。</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93.51</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财政资金综合评价中心项目经费</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乌鲁木齐市财政局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乌鲁木齐市财政局</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481.90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481.90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406.41</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84.33%</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8.43分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481.90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481.90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406.41</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2025年，保障财政票据电子化正常运行，提高财政电子票据系统技术服务单位数量；加强财政预算项目评审，提高评审项目受理审核率和现场核查率；组织实施预算绩效管理，加强预算绩效培训和绩效评价管理，指导预算单位开展绩效管理工作。</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项目完成财政电子票据系统技术单位380家，预算绩效培训10次，重点绩效评价项目10个，评审受理审核、现场核查覆盖率均达100%，建成评审信息系统1个，项目实际支出406.41万元，通过项目实施，达成了提高财政资金使用效率、遏制财政资金浪费的效益。</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财政电子票据系统技术服务单位数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&gt;=380个</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=380个</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评审项目受理审核率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&gt;=95%</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预算绩效培训次数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&gt;=10次</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=10次</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评审信息系统建设数量</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=1个</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=1个</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财政重点绩效评价项目个数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&gt;=10个</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=10个</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评审现场核查率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&gt;=95%</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提高财政资金使用效率，控制财政资金浪费</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有效提高</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绩效咨询服务单位满意度</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票据系统使用单位满意度</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98.43</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辅助履职人员支出</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乌鲁木齐市财政局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乌鲁木齐市财政局</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53.70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53.70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53.70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53.70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53.70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53.70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依据每月考勤情况每月及时发放辅助履职人员工资、按时缴纳社保，充分做好后勤保障工作。</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实际完成聘用司机7名，聘用保洁员2名，聘用人员出勤率达到100%，每月及时发放辅助履职人员工资、按时缴纳社保，项目实际支出53.7万元，通过项目实施，我单位后勤保障质量稳步提升，切实为单位日常运转提供了坚实的人力支撑，充分发挥了辅助履职人员的岗位效能，在保障公务出行效率、维持良好的办公区域环境卫生方面取得显著成效。</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聘用司机人数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8.75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=7人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原定聘用8名司机，实际因1名司机6月主动辞职，仅完成7人聘用指标。</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87.5</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聘用保洁人数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聘用人员出勤率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每月工资及社保按时支付率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提高单位后勤保障力度</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有效提高</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40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40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社会效益指标基本达成目标，完成值95%属于合理区间。</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98.75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预算改革经费</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乌鲁木齐市财政局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乌鲁木齐市财政局</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508.48</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508.48</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439.99</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86.53%</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8.65分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508.48</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508.48</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439.99</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1.通过开展培训促进财政干部素质能力提升，提高财政管理工作能力水平；
2.加强PPP项目全生命周期管理，组织开展PPP项目预算审核、绩效评价等工作，提高公共服务供给质量；
3.加强国有企业财务会计决算报告编制审核力度，提高报告质量，完整准确反映国有资产管理情况；
4.落实国库集中支付电子化管理要求，确保资金支付准确及时；
5.加强地方政府专项债券项目重点绩效评价，提高专项债券资金使用效益，有效防范政府债务风险。</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实际完成PPP项目预算评审25个，组织开展财政系统干部业务素质提升培训班1期，参训人数52人，专项债券项目重点绩效评价比例达到10%，参与国库集中支付业务的代理银行共6家，财政资金国库集中支付及时率100%，国有企业财务会计编制审核通过率100%，项目实际支出439.99万元，通过项目实施促进了财政干部素质能力提升，提高了财政管理工作能力水平，提高了公共服务供给质量，完整准确反映了国有资产管理情况，提高了专项债券资金使用效益，为财政管理规范化、精细化奠定了良好基础。</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PPP项目预算评审个数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&gt;=24个</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=25个</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参与国库集中支付的代理银行数量</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&gt;=6个</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=6个</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财政干部业务素质提升培训人数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&gt;=50人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=52人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专项债券项目重点绩效评价比例</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&gt;=10%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国有企业财务会计决算报表编制审核通过率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国库集中支付及时率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&gt;=95%</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提高财政资金使用效益</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有效提高</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40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34</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社会效益指标基本达成目标，完成率85%属于合理区间。</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85</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92.65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本部门无其他需说明的事项。</w:t>
      </w:r>
    </w:p>
    <w:p>
      <w:r>
        <w:br w:type="page"/>
      </w:r>
    </w:p>
    <w:p>
      <w:pPr>
        <w:spacing w:line="600" w:lineRule="exact"/>
        <w:jc w:val="center"/>
        <w:outlineLvl w:val="0"/>
      </w:pPr>
      <w:r>
        <w:rPr>
          <w:rFonts w:ascii="黑体" w:hAnsi="黑体" w:eastAsia="黑体"/>
          <w:sz w:val="32"/>
        </w:rPr>
        <w:t>第三部分 专业名词解释</w:t>
      </w:r>
    </w:p>
    <w:p>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autoSpaceDE w:val="0"/>
        <w:autoSpaceDN w:val="0"/>
        <w:spacing w:line="600" w:lineRule="exact"/>
        <w:ind w:firstLine="640" w:firstLineChars="200"/>
      </w:pPr>
      <w:r>
        <w:rPr>
          <w:rFonts w:ascii="仿宋_GB2312" w:hAnsi="仿宋_GB2312" w:eastAsia="仿宋_GB2312"/>
          <w:b w:val="0"/>
          <w:sz w:val="32"/>
        </w:rPr>
        <w:t>一、《收入支出决算总表》</w:t>
      </w:r>
    </w:p>
    <w:p>
      <w:pPr>
        <w:autoSpaceDE w:val="0"/>
        <w:autoSpaceDN w:val="0"/>
        <w:spacing w:line="600" w:lineRule="exact"/>
        <w:ind w:firstLine="640" w:firstLineChars="200"/>
      </w:pPr>
      <w:r>
        <w:rPr>
          <w:rFonts w:ascii="仿宋_GB2312" w:hAnsi="仿宋_GB2312" w:eastAsia="仿宋_GB2312"/>
          <w:b w:val="0"/>
          <w:sz w:val="32"/>
        </w:rPr>
        <w:t>二、《收入决算表》</w:t>
      </w:r>
    </w:p>
    <w:p>
      <w:pPr>
        <w:autoSpaceDE w:val="0"/>
        <w:autoSpaceDN w:val="0"/>
        <w:spacing w:line="600" w:lineRule="exact"/>
        <w:ind w:firstLine="640" w:firstLineChars="200"/>
      </w:pPr>
      <w:r>
        <w:rPr>
          <w:rFonts w:ascii="仿宋_GB2312" w:hAnsi="仿宋_GB2312" w:eastAsia="仿宋_GB2312"/>
          <w:b w:val="0"/>
          <w:sz w:val="32"/>
        </w:rPr>
        <w:t>三、《支出决算表》</w:t>
      </w:r>
    </w:p>
    <w:p>
      <w:pPr>
        <w:autoSpaceDE w:val="0"/>
        <w:autoSpaceDN w:val="0"/>
        <w:spacing w:line="600" w:lineRule="exact"/>
        <w:ind w:firstLine="640" w:firstLineChars="200"/>
      </w:pPr>
      <w:r>
        <w:rPr>
          <w:rFonts w:ascii="仿宋_GB2312" w:hAnsi="仿宋_GB2312" w:eastAsia="仿宋_GB2312"/>
          <w:b w:val="0"/>
          <w:sz w:val="32"/>
        </w:rPr>
        <w:t>四、《财政拨款收入支出决算总表》</w:t>
      </w:r>
    </w:p>
    <w:p>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pPr>
        <w:autoSpaceDE w:val="0"/>
        <w:autoSpaceDN w:val="0"/>
        <w:spacing w:line="600" w:lineRule="exact"/>
        <w:ind w:firstLine="640" w:firstLineChars="200"/>
      </w:pPr>
    </w:p>
    <w:p>
      <w:pPr>
        <w:autoSpaceDE w:val="0"/>
        <w:autoSpaceDN w:val="0"/>
        <w:spacing w:line="600" w:lineRule="exact"/>
        <w:ind w:firstLine="640" w:firstLineChars="200"/>
      </w:pPr>
    </w:p>
    <w:p>
      <w:pPr>
        <w:autoSpaceDE w:val="0"/>
        <w:autoSpaceDN w:val="0"/>
        <w:spacing w:line="600" w:lineRule="exact"/>
        <w:ind w:firstLine="640" w:firstLineChars="200"/>
      </w:pPr>
    </w:p>
    <w:p>
      <w:pPr>
        <w:autoSpaceDE w:val="0"/>
        <w:autoSpaceDN w:val="0"/>
        <w:spacing w:line="600" w:lineRule="exact"/>
        <w:ind w:firstLine="640" w:firstLineChars="200"/>
      </w:pPr>
    </w:p>
    <w:p>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AA9B085-839E-49AB-8B52-9A4FA84FD1C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embedRegular r:id="rId2" w:fontKey="{1A518A94-5835-41E4-8A24-F5AE09568B09}"/>
  </w:font>
  <w:font w:name="仿宋_GB2312">
    <w:panose1 w:val="02010609030101010101"/>
    <w:charset w:val="86"/>
    <w:family w:val="modern"/>
    <w:pitch w:val="default"/>
    <w:sig w:usb0="00000001" w:usb1="080E0000" w:usb2="00000000" w:usb3="00000000" w:csb0="00040000" w:csb1="00000000"/>
    <w:embedRegular r:id="rId3" w:fontKey="{E2E4BAFF-9A51-48D2-B054-2A64579DC0BA}"/>
  </w:font>
  <w:font w:name="楷体_GB2312">
    <w:panose1 w:val="02010609030101010101"/>
    <w:charset w:val="86"/>
    <w:family w:val="auto"/>
    <w:pitch w:val="default"/>
    <w:sig w:usb0="00000001" w:usb1="080E0000" w:usb2="00000000" w:usb3="00000000" w:csb0="00040000" w:csb1="00000000"/>
    <w:embedRegular r:id="rId4" w:fontKey="{01319085-20AF-4A43-B9A6-4A5FF8A1B36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tSP0LwBAABkAwAADgAAAGRycy9lMm9Eb2MueG1srVPBbtswDL0P6D8I&#10;ujdychgCI07RregwYNgGdPsARZZiAZIoSGrs7AO2P9hpl933XfmOUbKddt2t6EWmSOrxPZLeXA3W&#10;kIMMUYNr6HJRUSKdgFa7fUO/frm9XFMSE3ctN+BkQ48y0qvtxatN72u5gg5MKwNBEBfr3je0S8nX&#10;jEXRScvjArx0GFQQLE94DXvWBt4jujVsVVWvWQ+h9QGEjBG9N2OQbgu+UlKkT0pFmYhpKHJL5Qzl&#10;3OWTbTe83gfuOy0mGvwZLCzXDoueoW544uQ+6P+grBYBIqi0EGAZKKWFLBpQzbJ6ouau414WLdic&#10;6M9tii8HKz4ePgeiW5wdJY5bHNHp54/Trz+n39/JMren97HGrDuPeWl4A0NOnfwRnVn1oILNX9RD&#10;MI6NPp6bK4dERH60Xq3XFYYExuYL4rCH5z7E9E6CJdloaMDplabyw4eYxtQ5JVdzcKuNQT+vjfvH&#10;gZjZwzL3kWO20rAbJuI7aI+oBxcX63QQvlHS4xI01OGWUmLeO+xx3pfZCLOxmw3uBD5saKJkNN+m&#10;sleZSPTX9wnZFdK59FhvYoSjLLKntcu78vhesh5+ju1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ql5uc8AAAAFAQAADwAAAAAAAAABACAAAAAiAAAAZHJzL2Rvd25yZXYueG1sUEsBAhQAFAAAAAgA&#10;h07iQBbUj9C8AQAAZAMAAA4AAAAAAAAAAQAgAAAAHgEAAGRycy9lMm9Eb2MueG1sUEsFBgAAAAAG&#10;AAYAWQEAAEwFAAAAAA==&#10;">
              <v:fill on="f" focussize="0,0"/>
              <v:stroke on="f"/>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2BC0907"/>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10</TotalTime>
  <ScaleCrop>false</ScaleCrop>
  <LinksUpToDate>false</LinksUpToDate>
  <CharactersWithSpaces>543</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Administrator</cp:lastModifiedBy>
  <cp:lastPrinted>2024-07-22T11:58:00Z</cp:lastPrinted>
  <dcterms:modified xsi:type="dcterms:W3CDTF">2026-09-21T11:59:56Z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