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6933D">
      <w:pPr>
        <w:spacing w:line="480" w:lineRule="auto"/>
        <w:ind w:firstLine="0" w:firstLineChars="0"/>
        <w:rPr>
          <w:rFonts w:ascii="Times New Roman" w:hAnsi="Times New Roman" w:eastAsia="黑体" w:cs="Times New Roman"/>
          <w:b/>
          <w:kern w:val="0"/>
          <w:sz w:val="50"/>
          <w:szCs w:val="50"/>
          <w:lang w:bidi="en-US"/>
        </w:rPr>
      </w:pPr>
    </w:p>
    <w:p w14:paraId="7C456503">
      <w:pPr>
        <w:spacing w:line="480" w:lineRule="auto"/>
        <w:ind w:firstLine="0" w:firstLineChars="0"/>
        <w:rPr>
          <w:rFonts w:ascii="Times New Roman" w:hAnsi="Times New Roman" w:eastAsia="黑体" w:cs="Times New Roman"/>
          <w:b/>
          <w:kern w:val="0"/>
          <w:sz w:val="50"/>
          <w:szCs w:val="50"/>
          <w:lang w:bidi="en-US"/>
        </w:rPr>
      </w:pPr>
    </w:p>
    <w:p w14:paraId="504B429B">
      <w:pPr>
        <w:spacing w:line="480" w:lineRule="auto"/>
        <w:ind w:firstLine="0" w:firstLineChars="0"/>
        <w:jc w:val="center"/>
        <w:rPr>
          <w:rFonts w:ascii="Times New Roman" w:hAnsi="Times New Roman" w:eastAsia="黑体" w:cs="Times New Roman"/>
          <w:b/>
          <w:kern w:val="0"/>
          <w:sz w:val="50"/>
          <w:szCs w:val="50"/>
          <w:lang w:bidi="en-US"/>
        </w:rPr>
      </w:pPr>
    </w:p>
    <w:p w14:paraId="69C6CC2A">
      <w:pPr>
        <w:spacing w:line="540" w:lineRule="exact"/>
        <w:ind w:firstLine="960"/>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A934BAA">
      <w:pPr>
        <w:spacing w:line="540" w:lineRule="exact"/>
        <w:ind w:firstLine="1041"/>
        <w:jc w:val="center"/>
        <w:rPr>
          <w:rFonts w:ascii="华文中宋" w:hAnsi="华文中宋" w:eastAsia="华文中宋" w:cs="宋体"/>
          <w:b/>
          <w:kern w:val="0"/>
          <w:sz w:val="52"/>
          <w:szCs w:val="52"/>
        </w:rPr>
      </w:pPr>
    </w:p>
    <w:p w14:paraId="4FCA7B85">
      <w:pPr>
        <w:spacing w:line="540" w:lineRule="exact"/>
        <w:ind w:firstLine="720"/>
        <w:jc w:val="center"/>
        <w:rPr>
          <w:rFonts w:hAnsi="宋体" w:cs="宋体"/>
          <w:kern w:val="0"/>
          <w:sz w:val="36"/>
          <w:szCs w:val="36"/>
        </w:rPr>
      </w:pPr>
      <w:r>
        <w:rPr>
          <w:rFonts w:hint="eastAsia" w:hAnsi="宋体" w:cs="宋体"/>
          <w:kern w:val="0"/>
          <w:sz w:val="36"/>
          <w:szCs w:val="36"/>
        </w:rPr>
        <w:t xml:space="preserve">（   </w:t>
      </w:r>
      <w:r>
        <w:rPr>
          <w:rStyle w:val="20"/>
          <w:rFonts w:hint="eastAsia" w:ascii="楷体" w:hAnsi="楷体" w:eastAsia="楷体"/>
          <w:spacing w:val="-4"/>
          <w:sz w:val="32"/>
          <w:szCs w:val="32"/>
        </w:rPr>
        <w:t>2023</w:t>
      </w:r>
      <w:r>
        <w:rPr>
          <w:rFonts w:hint="eastAsia" w:hAnsi="宋体" w:cs="宋体"/>
          <w:kern w:val="0"/>
          <w:sz w:val="36"/>
          <w:szCs w:val="36"/>
        </w:rPr>
        <w:t xml:space="preserve">  年度）</w:t>
      </w:r>
    </w:p>
    <w:p w14:paraId="25F17117">
      <w:pPr>
        <w:spacing w:line="540" w:lineRule="exact"/>
        <w:jc w:val="center"/>
        <w:rPr>
          <w:rFonts w:hAnsi="宋体" w:cs="宋体"/>
          <w:kern w:val="0"/>
          <w:sz w:val="30"/>
          <w:szCs w:val="30"/>
        </w:rPr>
      </w:pPr>
    </w:p>
    <w:p w14:paraId="3A8C35AE">
      <w:pPr>
        <w:spacing w:line="540" w:lineRule="exact"/>
        <w:jc w:val="center"/>
        <w:rPr>
          <w:rFonts w:hAnsi="宋体" w:cs="宋体"/>
          <w:kern w:val="0"/>
          <w:sz w:val="30"/>
          <w:szCs w:val="30"/>
        </w:rPr>
      </w:pPr>
    </w:p>
    <w:p w14:paraId="2FF42223">
      <w:pPr>
        <w:spacing w:line="540" w:lineRule="exact"/>
        <w:jc w:val="center"/>
        <w:rPr>
          <w:rFonts w:hAnsi="宋体" w:cs="宋体"/>
          <w:kern w:val="0"/>
          <w:sz w:val="30"/>
          <w:szCs w:val="30"/>
        </w:rPr>
      </w:pPr>
    </w:p>
    <w:p w14:paraId="43CE6EF5">
      <w:pPr>
        <w:spacing w:line="540" w:lineRule="exact"/>
        <w:jc w:val="center"/>
        <w:rPr>
          <w:rFonts w:hAnsi="宋体" w:cs="宋体"/>
          <w:kern w:val="0"/>
          <w:sz w:val="30"/>
          <w:szCs w:val="30"/>
        </w:rPr>
      </w:pPr>
    </w:p>
    <w:p w14:paraId="61838977">
      <w:pPr>
        <w:spacing w:line="540" w:lineRule="exact"/>
        <w:jc w:val="center"/>
        <w:rPr>
          <w:rFonts w:hAnsi="宋体" w:cs="宋体"/>
          <w:kern w:val="0"/>
          <w:sz w:val="30"/>
          <w:szCs w:val="30"/>
        </w:rPr>
      </w:pPr>
    </w:p>
    <w:p w14:paraId="0E3D799E">
      <w:pPr>
        <w:spacing w:line="540" w:lineRule="exact"/>
        <w:jc w:val="center"/>
        <w:rPr>
          <w:rFonts w:hAnsi="宋体" w:cs="宋体"/>
          <w:kern w:val="0"/>
          <w:sz w:val="30"/>
          <w:szCs w:val="30"/>
        </w:rPr>
      </w:pPr>
    </w:p>
    <w:p w14:paraId="676F5EA4">
      <w:pPr>
        <w:spacing w:line="540" w:lineRule="exact"/>
        <w:rPr>
          <w:rFonts w:hAnsi="宋体" w:cs="宋体"/>
          <w:kern w:val="0"/>
          <w:sz w:val="30"/>
          <w:szCs w:val="30"/>
        </w:rPr>
      </w:pPr>
    </w:p>
    <w:p w14:paraId="368E94EB">
      <w:pPr>
        <w:spacing w:line="700" w:lineRule="exact"/>
        <w:ind w:firstLine="720"/>
        <w:jc w:val="left"/>
        <w:rPr>
          <w:rFonts w:hAnsi="宋体" w:cs="宋体"/>
          <w:kern w:val="0"/>
          <w:sz w:val="36"/>
          <w:szCs w:val="36"/>
        </w:rPr>
      </w:pPr>
      <w:r>
        <w:rPr>
          <w:rFonts w:hint="eastAsia" w:hAnsi="宋体" w:cs="宋体"/>
          <w:kern w:val="0"/>
          <w:sz w:val="36"/>
          <w:szCs w:val="36"/>
        </w:rPr>
        <w:t xml:space="preserve">     </w:t>
      </w:r>
    </w:p>
    <w:p w14:paraId="16F3BEF6">
      <w:pPr>
        <w:spacing w:line="700" w:lineRule="exact"/>
        <w:ind w:firstLine="900" w:firstLineChars="250"/>
        <w:jc w:val="left"/>
        <w:rPr>
          <w:rFonts w:hAnsi="宋体" w:cs="宋体"/>
          <w:kern w:val="0"/>
          <w:sz w:val="36"/>
          <w:szCs w:val="36"/>
        </w:rPr>
      </w:pPr>
      <w:r>
        <w:rPr>
          <w:rFonts w:hint="eastAsia" w:hAnsi="宋体" w:cs="宋体"/>
          <w:kern w:val="0"/>
          <w:sz w:val="36"/>
          <w:szCs w:val="36"/>
        </w:rPr>
        <w:t>项目名称：</w:t>
      </w:r>
      <w:r>
        <w:rPr>
          <w:rStyle w:val="20"/>
          <w:rFonts w:hint="eastAsia" w:ascii="楷体" w:hAnsi="楷体" w:eastAsia="楷体"/>
          <w:spacing w:val="-4"/>
          <w:sz w:val="32"/>
          <w:szCs w:val="32"/>
        </w:rPr>
        <w:t>市第二十三中学新校区建设项目</w:t>
      </w:r>
    </w:p>
    <w:p w14:paraId="1FF190B3">
      <w:pPr>
        <w:spacing w:line="540" w:lineRule="exact"/>
        <w:ind w:firstLine="720"/>
        <w:rPr>
          <w:rFonts w:ascii="楷体" w:hAnsi="楷体" w:eastAsia="楷体"/>
          <w:b/>
          <w:bCs/>
          <w:spacing w:val="-4"/>
          <w:sz w:val="32"/>
          <w:szCs w:val="32"/>
        </w:rPr>
      </w:pPr>
      <w:r>
        <w:rPr>
          <w:rFonts w:hint="eastAsia" w:hAnsi="宋体" w:cs="宋体"/>
          <w:kern w:val="0"/>
          <w:sz w:val="36"/>
          <w:szCs w:val="36"/>
        </w:rPr>
        <w:t xml:space="preserve"> 实施单位（公章）：</w:t>
      </w:r>
      <w:r>
        <w:rPr>
          <w:rStyle w:val="20"/>
          <w:rFonts w:hint="eastAsia" w:ascii="楷体" w:hAnsi="楷体" w:eastAsia="楷体"/>
          <w:spacing w:val="-4"/>
          <w:szCs w:val="28"/>
        </w:rPr>
        <w:t>乌鲁木齐市第二十三中学</w:t>
      </w:r>
    </w:p>
    <w:p w14:paraId="1148F8C0">
      <w:pPr>
        <w:spacing w:line="540" w:lineRule="exact"/>
        <w:ind w:firstLine="900" w:firstLineChars="250"/>
        <w:rPr>
          <w:rFonts w:ascii="楷体" w:hAnsi="楷体" w:eastAsia="楷体"/>
          <w:b/>
          <w:bCs/>
          <w:spacing w:val="-4"/>
          <w:szCs w:val="28"/>
        </w:rPr>
      </w:pPr>
      <w:r>
        <w:rPr>
          <w:rFonts w:hint="eastAsia" w:hAnsi="宋体" w:cs="宋体"/>
          <w:kern w:val="0"/>
          <w:sz w:val="36"/>
          <w:szCs w:val="36"/>
        </w:rPr>
        <w:t>主管部门（公章）：</w:t>
      </w:r>
      <w:r>
        <w:rPr>
          <w:rStyle w:val="20"/>
          <w:rFonts w:hint="eastAsia" w:ascii="楷体" w:hAnsi="楷体" w:eastAsia="楷体"/>
          <w:spacing w:val="-4"/>
          <w:szCs w:val="28"/>
        </w:rPr>
        <w:t>乌鲁木齐市第二十三中学</w:t>
      </w:r>
    </w:p>
    <w:p w14:paraId="708F189E">
      <w:pPr>
        <w:spacing w:line="540" w:lineRule="exact"/>
        <w:ind w:firstLine="900" w:firstLineChars="250"/>
        <w:rPr>
          <w:rFonts w:ascii="楷体" w:hAnsi="楷体" w:eastAsia="楷体"/>
          <w:b/>
          <w:bCs/>
          <w:spacing w:val="-4"/>
          <w:sz w:val="32"/>
          <w:szCs w:val="32"/>
        </w:rPr>
      </w:pPr>
      <w:r>
        <w:rPr>
          <w:rFonts w:hint="eastAsia" w:hAnsi="宋体" w:cs="宋体"/>
          <w:kern w:val="0"/>
          <w:sz w:val="36"/>
          <w:szCs w:val="36"/>
        </w:rPr>
        <w:t>项目负责人（签章）：</w:t>
      </w:r>
      <w:r>
        <w:rPr>
          <w:rStyle w:val="20"/>
          <w:rFonts w:hint="eastAsia" w:ascii="楷体" w:hAnsi="楷体" w:eastAsia="楷体"/>
          <w:spacing w:val="-4"/>
          <w:sz w:val="32"/>
          <w:szCs w:val="32"/>
        </w:rPr>
        <w:t>吴克利</w:t>
      </w:r>
    </w:p>
    <w:p w14:paraId="60F8FEFE">
      <w:pPr>
        <w:spacing w:line="540" w:lineRule="exact"/>
        <w:ind w:firstLine="900" w:firstLineChars="250"/>
        <w:rPr>
          <w:rFonts w:ascii="楷体" w:hAnsi="楷体" w:eastAsia="楷体"/>
          <w:b/>
          <w:bCs/>
          <w:spacing w:val="-4"/>
          <w:sz w:val="32"/>
          <w:szCs w:val="32"/>
        </w:rPr>
      </w:pPr>
      <w:r>
        <w:rPr>
          <w:rFonts w:hint="eastAsia" w:hAnsi="宋体" w:cs="宋体"/>
          <w:kern w:val="0"/>
          <w:sz w:val="36"/>
          <w:szCs w:val="36"/>
        </w:rPr>
        <w:t>填报时间：</w:t>
      </w:r>
      <w:r>
        <w:rPr>
          <w:rStyle w:val="20"/>
          <w:rFonts w:hint="eastAsia" w:ascii="楷体" w:hAnsi="楷体" w:eastAsia="楷体"/>
          <w:spacing w:val="-4"/>
          <w:sz w:val="32"/>
          <w:szCs w:val="32"/>
        </w:rPr>
        <w:t>2024年05月07日</w:t>
      </w:r>
    </w:p>
    <w:p w14:paraId="3656D592">
      <w:pPr>
        <w:ind w:firstLine="598" w:firstLineChars="187"/>
        <w:rPr>
          <w:rFonts w:ascii="仿宋_GB2312" w:hAnsi="Times New Roman" w:cs="Times New Roman"/>
          <w:sz w:val="32"/>
          <w:szCs w:val="32"/>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29C75A7E">
      <w:pPr>
        <w:pStyle w:val="2"/>
        <w:ind w:firstLine="0" w:firstLineChars="0"/>
        <w:jc w:val="left"/>
        <w:rPr>
          <w:rFonts w:ascii="仿宋" w:hAnsi="仿宋" w:eastAsia="仿宋"/>
          <w:sz w:val="36"/>
          <w:szCs w:val="36"/>
          <w:lang w:bidi="en-US"/>
        </w:rPr>
      </w:pPr>
      <w:bookmarkStart w:id="0" w:name="_Toc67911601"/>
      <w:bookmarkStart w:id="1" w:name="_Toc165277220"/>
      <w:r>
        <w:rPr>
          <w:rFonts w:hint="eastAsia" w:ascii="仿宋" w:hAnsi="仿宋" w:eastAsia="仿宋"/>
          <w:sz w:val="36"/>
          <w:szCs w:val="36"/>
          <w:lang w:bidi="en-US"/>
        </w:rPr>
        <w:t>一、基本情况</w:t>
      </w:r>
      <w:bookmarkEnd w:id="0"/>
      <w:bookmarkEnd w:id="1"/>
    </w:p>
    <w:p w14:paraId="6B66B8E8">
      <w:pPr>
        <w:pStyle w:val="3"/>
        <w:ind w:firstLine="643"/>
        <w:rPr>
          <w:rFonts w:ascii="仿宋" w:hAnsi="仿宋" w:eastAsia="仿宋"/>
          <w:lang w:bidi="en-US"/>
        </w:rPr>
      </w:pPr>
      <w:bookmarkStart w:id="2" w:name="_Toc165277221"/>
      <w:bookmarkStart w:id="3" w:name="_Toc67911602"/>
      <w:r>
        <w:rPr>
          <w:rFonts w:hint="eastAsia" w:ascii="仿宋" w:hAnsi="仿宋" w:eastAsia="仿宋"/>
          <w:lang w:bidi="en-US"/>
        </w:rPr>
        <w:t>（一）项目概况：</w:t>
      </w:r>
      <w:bookmarkEnd w:id="2"/>
      <w:bookmarkEnd w:id="3"/>
    </w:p>
    <w:p w14:paraId="61E89559">
      <w:pPr>
        <w:pStyle w:val="4"/>
        <w:ind w:firstLine="643"/>
      </w:pPr>
      <w:bookmarkStart w:id="4" w:name="_Toc165277222"/>
      <w:r>
        <w:rPr>
          <w:rFonts w:hint="eastAsia"/>
        </w:rPr>
        <w:t>1．项目背景、主要内容及实施情况</w:t>
      </w:r>
      <w:bookmarkEnd w:id="4"/>
    </w:p>
    <w:p w14:paraId="053C11AF">
      <w:pPr>
        <w:spacing w:line="540" w:lineRule="exact"/>
        <w:ind w:firstLine="560"/>
        <w:rPr>
          <w:rStyle w:val="38"/>
          <w:rFonts w:ascii="仿宋" w:hAnsi="仿宋" w:eastAsia="仿宋" w:cs="方正仿宋_GBK"/>
          <w:b w:val="0"/>
          <w:spacing w:val="-4"/>
          <w:szCs w:val="28"/>
        </w:rPr>
      </w:pPr>
      <w:r>
        <w:rPr>
          <w:rFonts w:hint="eastAsia" w:ascii="仿宋_GB2312"/>
        </w:rPr>
        <w:t>该项目实施背景：</w:t>
      </w:r>
      <w:r>
        <w:rPr>
          <w:rStyle w:val="38"/>
          <w:rFonts w:hint="eastAsia" w:ascii="仿宋" w:hAnsi="仿宋" w:eastAsia="仿宋" w:cs="方正仿宋_GBK"/>
          <w:b w:val="0"/>
          <w:spacing w:val="-4"/>
          <w:szCs w:val="28"/>
        </w:rPr>
        <w:t>乌鲁木齐市第二十中学新校区建设项目是由乌鲁木齐市发展和改革委员会（乌发改函【2017】822号《关于对乌鲁木齐市第二十中学新校区建设项目立项的批复》）于2017年10月批准立项的乌鲁木齐市2019年双重点工程项目之一。建设规模：项目总建筑面积92000平方米，办学规模计划为72个教学班，其中：高中48个教学班，初中24个教学班。项目总投资5.2亿元，建设年限2018年至2021年。</w:t>
      </w:r>
      <w:r>
        <w:rPr>
          <w:rStyle w:val="38"/>
          <w:rFonts w:ascii="仿宋" w:hAnsi="仿宋" w:eastAsia="仿宋" w:cs="方正仿宋_GBK"/>
          <w:b w:val="0"/>
          <w:spacing w:val="-4"/>
          <w:szCs w:val="28"/>
        </w:rPr>
        <w:t>建设内容包括:综合教学楼、高中教学楼、初中教学楼、科技信息楼、艺术楼、体育楼、男生宿舍楼、女生宿舍楼、学生生活服务楼、室外卫生间、消防水池、室外400米标准塑胶运动场、看台、塑胶篮球场、羽毛球场、排球场地及校园围墙、学校大门值班室、校园景观及绿化、路面硬化、校园供电系统，校园排水系统、供水系统、供暖系统、燃气系统、室内外监控系统、智慧校园系统、消防监控系统、校园内高压线迁移等附属设施工程。</w:t>
      </w:r>
    </w:p>
    <w:p w14:paraId="5714DE55">
      <w:pPr>
        <w:tabs>
          <w:tab w:val="left" w:pos="0"/>
          <w:tab w:val="left" w:pos="3276"/>
        </w:tabs>
        <w:kinsoku w:val="0"/>
        <w:overflowPunct w:val="0"/>
        <w:spacing w:line="360" w:lineRule="auto"/>
        <w:ind w:firstLine="560" w:firstLineChars="206"/>
        <w:rPr>
          <w:rStyle w:val="38"/>
          <w:rFonts w:ascii="仿宋" w:hAnsi="仿宋" w:eastAsia="仿宋" w:cs="方正仿宋_GBK"/>
          <w:b w:val="0"/>
          <w:spacing w:val="-4"/>
          <w:szCs w:val="28"/>
        </w:rPr>
      </w:pPr>
      <w:r>
        <w:rPr>
          <w:rStyle w:val="38"/>
          <w:rFonts w:hint="eastAsia" w:ascii="仿宋" w:hAnsi="仿宋" w:eastAsia="仿宋" w:cs="方正仿宋_GBK"/>
          <w:b w:val="0"/>
          <w:spacing w:val="-4"/>
          <w:szCs w:val="28"/>
        </w:rPr>
        <w:t>我校老校区位于沙依巴克区黄河路351号，校园占地面积12515平方米（不含教职工住宅楼面1300平方米），校舍建筑面积17577平方米。有48个教学班，全校教职员工225名，在校生2640多名，其中：住宿生650名。学生生均占地面积为4.74平方米，生均校舍建筑面积为6.65平方米，与国家标准要求严重不足。学校现有活动场地及校舍已不能满足学校正常开展教育教学活动的需求，更不能满足高考</w:t>
      </w:r>
      <w:bookmarkStart w:id="62" w:name="_GoBack"/>
      <w:bookmarkEnd w:id="62"/>
      <w:r>
        <w:rPr>
          <w:rStyle w:val="38"/>
          <w:rFonts w:hint="eastAsia" w:ascii="仿宋" w:hAnsi="仿宋" w:eastAsia="仿宋" w:cs="方正仿宋_GBK"/>
          <w:b w:val="0"/>
          <w:spacing w:val="-4"/>
          <w:szCs w:val="28"/>
          <w:lang w:eastAsia="zh-CN"/>
        </w:rPr>
        <w:t>体制改革</w:t>
      </w:r>
      <w:r>
        <w:rPr>
          <w:rStyle w:val="38"/>
          <w:rFonts w:hint="eastAsia" w:ascii="仿宋" w:hAnsi="仿宋" w:eastAsia="仿宋" w:cs="方正仿宋_GBK"/>
          <w:b w:val="0"/>
          <w:spacing w:val="-4"/>
          <w:szCs w:val="28"/>
        </w:rPr>
        <w:t>对学校教育教学的要求。</w:t>
      </w:r>
    </w:p>
    <w:p w14:paraId="56A24722">
      <w:pPr>
        <w:spacing w:line="360" w:lineRule="auto"/>
        <w:ind w:firstLine="544"/>
        <w:rPr>
          <w:rStyle w:val="38"/>
          <w:rFonts w:ascii="仿宋" w:hAnsi="仿宋" w:eastAsia="仿宋" w:cs="方正仿宋_GBK"/>
          <w:b w:val="0"/>
          <w:spacing w:val="-4"/>
          <w:szCs w:val="28"/>
        </w:rPr>
      </w:pPr>
      <w:r>
        <w:rPr>
          <w:rStyle w:val="38"/>
          <w:rFonts w:hint="eastAsia" w:ascii="仿宋" w:hAnsi="仿宋" w:eastAsia="仿宋" w:cs="方正仿宋_GBK"/>
          <w:b w:val="0"/>
          <w:spacing w:val="-4"/>
          <w:szCs w:val="28"/>
        </w:rPr>
        <w:t>随着学校的大步发展，现有学校教育用地严重不足，学校长远发展受到影响，新建新校区工作已迫在眉睫。在市委、市政府及市教育局的关心和支持下，筹建市第二十三中学新校区工作已列入《2017年乌鲁木齐市九项惠民工百个重点项目实施方案》（乌党办发[2017］49号），要求2017年启动新校区筹建工作，并要求完成新校区建用地的选址规划等前期手续，2019-2022年完成建设工作并投入使用。目前已办理发改委立项、可研、初设、规划选址、规划蓝线、建筑红线、环评、绿化批复、工程规划许可证等手续，完成了设计、地勘、环评、施工及监理等招标手续，工程于2019年4月15日开工，并于2023年8月竣工。</w:t>
      </w:r>
    </w:p>
    <w:p w14:paraId="0EC5C15C">
      <w:pPr>
        <w:spacing w:line="360" w:lineRule="auto"/>
        <w:ind w:firstLine="560"/>
        <w:rPr>
          <w:rFonts w:ascii="仿宋_GB2312"/>
          <w:bCs/>
        </w:rPr>
      </w:pPr>
      <w:r>
        <w:rPr>
          <w:rFonts w:ascii="仿宋_GB2312"/>
          <w:bCs/>
        </w:rPr>
        <w:t>乌鲁木齐市第二十三中学新校区建设项目的建设，符合国家的教育方针、教育政策和法律的要求</w:t>
      </w:r>
      <w:r>
        <w:rPr>
          <w:rFonts w:hint="eastAsia" w:ascii="仿宋_GB2312"/>
          <w:bCs/>
        </w:rPr>
        <w:t>，满足了国家对中学生教育教学、活动面积的标准要求，大力地支持了学校的发展、满足社会对高质教育资源的需求，带动了周边社会经济的发展，具</w:t>
      </w:r>
      <w:r>
        <w:rPr>
          <w:rFonts w:ascii="仿宋_GB2312"/>
          <w:bCs/>
        </w:rPr>
        <w:t>有很大的社会效益</w:t>
      </w:r>
      <w:r>
        <w:rPr>
          <w:rFonts w:hint="eastAsia" w:ascii="仿宋_GB2312"/>
          <w:bCs/>
        </w:rPr>
        <w:t>。</w:t>
      </w:r>
    </w:p>
    <w:p w14:paraId="6C5F293A">
      <w:pPr>
        <w:spacing w:line="360" w:lineRule="auto"/>
        <w:ind w:firstLine="560"/>
        <w:rPr>
          <w:rFonts w:ascii="仿宋_GB2312"/>
        </w:rPr>
      </w:pPr>
      <w:r>
        <w:rPr>
          <w:rFonts w:ascii="仿宋_GB2312"/>
        </w:rPr>
        <w:t>项目</w:t>
      </w:r>
      <w:r>
        <w:rPr>
          <w:rFonts w:hint="eastAsia" w:ascii="仿宋_GB2312"/>
        </w:rPr>
        <w:t>2</w:t>
      </w:r>
      <w:r>
        <w:rPr>
          <w:rFonts w:ascii="仿宋_GB2312"/>
        </w:rPr>
        <w:t>023年的主要实施内容：</w:t>
      </w:r>
      <w:r>
        <w:rPr>
          <w:rFonts w:hint="eastAsia" w:ascii="仿宋_GB2312"/>
          <w:bCs/>
        </w:rPr>
        <w:t>1、完成</w:t>
      </w:r>
      <w:r>
        <w:rPr>
          <w:rStyle w:val="38"/>
          <w:rFonts w:hint="eastAsia" w:ascii="仿宋" w:hAnsi="仿宋" w:eastAsia="仿宋" w:cs="方正仿宋_GBK"/>
          <w:b w:val="0"/>
          <w:spacing w:val="-4"/>
          <w:szCs w:val="28"/>
        </w:rPr>
        <w:t>400米田径运动场地草地铺设，完成对科技信息楼、艺术中学、食堂体育楼的二次装修；2、完成所有建筑设施内的供排水及消防设施的安装调试，室外地面大理石铺设、道路铺设及部分校园绿化等工作；3、完成部分智慧校园及校园文化建设保证开学后教学设施、办公设施的基本完善，达到教学使用需求；4、完成设备采购及安装工作。</w:t>
      </w:r>
    </w:p>
    <w:p w14:paraId="27BC4FCF">
      <w:pPr>
        <w:spacing w:line="360" w:lineRule="auto"/>
        <w:ind w:firstLine="560"/>
        <w:rPr>
          <w:rFonts w:ascii="仿宋_GB2312"/>
        </w:rPr>
      </w:pPr>
      <w:r>
        <w:rPr>
          <w:rFonts w:hint="eastAsia" w:ascii="仿宋_GB2312"/>
        </w:rPr>
        <w:t>2</w:t>
      </w:r>
      <w:r>
        <w:rPr>
          <w:rFonts w:ascii="仿宋_GB2312"/>
        </w:rPr>
        <w:t>023年当年完成情</w:t>
      </w:r>
      <w:r>
        <w:rPr>
          <w:rFonts w:hint="eastAsia" w:ascii="仿宋_GB2312"/>
        </w:rPr>
        <w:t>况：</w:t>
      </w:r>
      <w:r>
        <w:rPr>
          <w:rStyle w:val="38"/>
          <w:rFonts w:hint="eastAsia" w:ascii="仿宋" w:hAnsi="仿宋" w:eastAsia="仿宋" w:cs="方正仿宋_GBK"/>
          <w:b w:val="0"/>
          <w:spacing w:val="-4"/>
          <w:szCs w:val="28"/>
        </w:rPr>
        <w:t>完成了年初计划中的所有项目，即400米田径运动场地草地铺设、科技信息楼、艺术中学、食堂体育楼的二次装修，所有建筑设施内的供排水及消防设施的安装调试，室外地面大理石铺设、道路铺设及部分校园绿化，大部分智慧校园、校园文化建设及设备采购项目。</w:t>
      </w:r>
    </w:p>
    <w:p w14:paraId="51F4E130">
      <w:pPr>
        <w:spacing w:line="360" w:lineRule="auto"/>
        <w:ind w:firstLine="560"/>
      </w:pPr>
      <w:r>
        <w:rPr>
          <w:rFonts w:hint="eastAsia" w:ascii="仿宋_GB2312"/>
        </w:rPr>
        <w:t>此项目保障了学校正常开展教学工作，更好地展示了校园文化建设，让学生在较好的学习环境中成长。</w:t>
      </w:r>
    </w:p>
    <w:p w14:paraId="7E06BEAC">
      <w:pPr>
        <w:spacing w:line="360" w:lineRule="auto"/>
        <w:ind w:firstLine="560"/>
        <w:rPr>
          <w:rFonts w:ascii="仿宋_GB2312"/>
        </w:rPr>
      </w:pPr>
      <w:r>
        <w:rPr>
          <w:rFonts w:hint="eastAsia" w:ascii="仿宋_GB2312"/>
        </w:rPr>
        <w:t>该项目资金投入情况：项目系</w:t>
      </w:r>
      <w:r>
        <w:rPr>
          <w:rFonts w:ascii="仿宋_GB2312"/>
        </w:rPr>
        <w:t>2023</w:t>
      </w:r>
      <w:r>
        <w:rPr>
          <w:rFonts w:hint="eastAsia" w:ascii="仿宋_GB2312"/>
        </w:rPr>
        <w:t>年本级资金，共安排预算9502.77万元，年初预算资金3</w:t>
      </w:r>
      <w:r>
        <w:rPr>
          <w:rFonts w:hint="eastAsia" w:asciiTheme="minorEastAsia" w:hAnsiTheme="minorEastAsia"/>
          <w:szCs w:val="28"/>
        </w:rPr>
        <w:t>000万元，2023年9月通过</w:t>
      </w:r>
      <w:r>
        <w:rPr>
          <w:rFonts w:ascii="仿宋_GB2312"/>
        </w:rPr>
        <w:t>乌财建【2023】3</w:t>
      </w:r>
      <w:r>
        <w:rPr>
          <w:rFonts w:hint="eastAsia" w:ascii="仿宋_GB2312"/>
        </w:rPr>
        <w:t>31</w:t>
      </w:r>
      <w:r>
        <w:rPr>
          <w:rFonts w:ascii="仿宋_GB2312"/>
        </w:rPr>
        <w:t>号《关于下达2023年教育系统（第二批</w:t>
      </w:r>
      <w:r>
        <w:rPr>
          <w:rFonts w:hint="eastAsia" w:ascii="仿宋_GB2312"/>
        </w:rPr>
        <w:t>）</w:t>
      </w:r>
      <w:r>
        <w:rPr>
          <w:rFonts w:ascii="仿宋_GB2312"/>
        </w:rPr>
        <w:t>资金预算的通知》</w:t>
      </w:r>
      <w:r>
        <w:rPr>
          <w:rFonts w:hint="eastAsia" w:asciiTheme="minorEastAsia" w:hAnsiTheme="minorEastAsia"/>
          <w:szCs w:val="28"/>
        </w:rPr>
        <w:t>追加基建资金3371.95万元，2023年10月通过</w:t>
      </w:r>
      <w:r>
        <w:rPr>
          <w:rFonts w:ascii="仿宋_GB2312"/>
        </w:rPr>
        <w:t>乌财建【2023】372号《关于下达2023年教育系统（第三批）资金预算的通知》</w:t>
      </w:r>
      <w:r>
        <w:rPr>
          <w:rFonts w:hint="eastAsia" w:asciiTheme="minorEastAsia" w:hAnsiTheme="minorEastAsia"/>
          <w:szCs w:val="28"/>
        </w:rPr>
        <w:t>追加基建资金3031.82万元，合计预算批复金额9502.77万元。</w:t>
      </w:r>
      <w:r>
        <w:rPr>
          <w:rFonts w:hint="eastAsia" w:ascii="仿宋_GB2312"/>
        </w:rPr>
        <w:t>该项目资金预算分为三大类，包括：基本建设工程款5195.25万元、工程建设二类费用93.43万元、设备购置费4214.09万元，</w:t>
      </w:r>
    </w:p>
    <w:p w14:paraId="784878BB">
      <w:pPr>
        <w:spacing w:line="360" w:lineRule="auto"/>
        <w:ind w:firstLine="560"/>
        <w:rPr>
          <w:rFonts w:ascii="仿宋_GB2312"/>
        </w:rPr>
      </w:pPr>
      <w:r>
        <w:rPr>
          <w:rFonts w:hint="eastAsia" w:ascii="仿宋_GB2312"/>
        </w:rPr>
        <w:t>该项目资金使用情况：</w:t>
      </w:r>
      <w:bookmarkStart w:id="5" w:name="_Toc67911603"/>
      <w:bookmarkStart w:id="6" w:name="_Toc165277224"/>
      <w:r>
        <w:rPr>
          <w:rFonts w:hint="eastAsia" w:ascii="仿宋_GB2312"/>
        </w:rPr>
        <w:t>截止2023年底新校区建设工程项目已完工，财政实际拨付到位资金4036.98万元，我校已全部支付完毕，工程余款5465.79万元也结转至2024年。2023年实际完成值为基本建设工程款1641.09万元、工程建设二类费用12.11万元、设备购置费2383.78万元，预算执行率为已完成数4</w:t>
      </w:r>
      <w:r>
        <w:rPr>
          <w:rFonts w:ascii="仿宋_GB2312"/>
        </w:rPr>
        <w:t>036.98</w:t>
      </w:r>
      <w:r>
        <w:rPr>
          <w:rFonts w:hint="eastAsia" w:ascii="仿宋_GB2312"/>
        </w:rPr>
        <w:t>万元/全年预算数4</w:t>
      </w:r>
      <w:r>
        <w:rPr>
          <w:rFonts w:ascii="仿宋_GB2312"/>
        </w:rPr>
        <w:t>036.98</w:t>
      </w:r>
      <w:r>
        <w:rPr>
          <w:rFonts w:hint="eastAsia" w:ascii="仿宋_GB2312"/>
        </w:rPr>
        <w:t>万元=100%。</w:t>
      </w:r>
    </w:p>
    <w:p w14:paraId="1D82FEB7">
      <w:pPr>
        <w:pStyle w:val="3"/>
        <w:ind w:firstLine="643"/>
        <w:rPr>
          <w:rFonts w:ascii="仿宋" w:hAnsi="仿宋" w:eastAsia="仿宋"/>
          <w:lang w:bidi="en-US"/>
        </w:rPr>
      </w:pPr>
      <w:r>
        <w:rPr>
          <w:rFonts w:hint="eastAsia" w:ascii="仿宋" w:hAnsi="仿宋" w:eastAsia="仿宋"/>
          <w:lang w:bidi="en-US"/>
        </w:rPr>
        <w:t>（二）项目绩效</w:t>
      </w:r>
      <w:bookmarkEnd w:id="5"/>
      <w:bookmarkEnd w:id="6"/>
      <w:r>
        <w:rPr>
          <w:rFonts w:hint="eastAsia" w:ascii="仿宋" w:hAnsi="仿宋" w:eastAsia="仿宋"/>
          <w:lang w:bidi="en-US"/>
        </w:rPr>
        <w:t>目标</w:t>
      </w:r>
    </w:p>
    <w:p w14:paraId="597C82F5">
      <w:pPr>
        <w:spacing w:line="540" w:lineRule="exact"/>
        <w:ind w:firstLine="560"/>
        <w:rPr>
          <w:rFonts w:ascii="仿宋_GB2312" w:hAnsi="仿宋"/>
          <w:szCs w:val="28"/>
        </w:rPr>
      </w:pPr>
      <w:r>
        <w:rPr>
          <w:rFonts w:hint="eastAsia" w:ascii="仿宋_GB2312" w:hAnsi="仿宋"/>
          <w:szCs w:val="28"/>
        </w:rPr>
        <w:t>一、项目目标:本项目依据《中共中央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14:paraId="3FEC7672">
      <w:pPr>
        <w:spacing w:line="540" w:lineRule="exact"/>
        <w:ind w:firstLine="560"/>
        <w:rPr>
          <w:rFonts w:ascii="仿宋_GB2312" w:hAnsi="仿宋"/>
          <w:szCs w:val="28"/>
        </w:rPr>
      </w:pPr>
      <w:r>
        <w:rPr>
          <w:rFonts w:hint="eastAsia" w:ascii="仿宋_GB2312" w:hAnsi="仿宋"/>
          <w:szCs w:val="28"/>
        </w:rPr>
        <w:t>该项目为跨年项目</w:t>
      </w:r>
    </w:p>
    <w:p w14:paraId="2521F8C8">
      <w:pPr>
        <w:spacing w:line="540" w:lineRule="exact"/>
        <w:ind w:firstLine="560"/>
        <w:rPr>
          <w:rStyle w:val="38"/>
          <w:rFonts w:ascii="仿宋" w:hAnsi="仿宋" w:eastAsia="仿宋" w:cs="方正仿宋_GBK"/>
          <w:b w:val="0"/>
          <w:spacing w:val="-4"/>
          <w:szCs w:val="28"/>
        </w:rPr>
      </w:pPr>
      <w:r>
        <w:rPr>
          <w:rFonts w:hint="eastAsia" w:ascii="仿宋_GB2312" w:hAnsi="仿宋"/>
          <w:szCs w:val="28"/>
        </w:rPr>
        <w:t>总体绩效目标为</w:t>
      </w:r>
      <w:r>
        <w:rPr>
          <w:rFonts w:hint="eastAsia"/>
        </w:rPr>
        <w:t>促进教育均衡化发展的年度指标值，扩大优质教育资源，满足人民群众对优质教育资源的需求，进一步提高学校的办学质量。</w:t>
      </w:r>
      <w:r>
        <w:rPr>
          <w:rStyle w:val="38"/>
          <w:rFonts w:hint="eastAsia" w:ascii="仿宋" w:hAnsi="仿宋" w:eastAsia="仿宋" w:cs="方正仿宋_GBK"/>
          <w:b w:val="0"/>
          <w:spacing w:val="-4"/>
          <w:szCs w:val="28"/>
        </w:rPr>
        <w:t>项目总建筑面积92000平方米，办学规模计划为72个教学班，项目总投资5.2亿元，建设年限2018年至2021年。</w:t>
      </w:r>
      <w:r>
        <w:rPr>
          <w:rStyle w:val="38"/>
          <w:rFonts w:ascii="仿宋" w:hAnsi="仿宋" w:eastAsia="仿宋" w:cs="方正仿宋_GBK"/>
          <w:b w:val="0"/>
          <w:spacing w:val="-4"/>
          <w:szCs w:val="28"/>
        </w:rPr>
        <w:t>建设内容包括:综合教学楼、高中教学楼、初中教学楼、科技信息楼、艺术楼、体育楼、男生宿舍楼、女生宿舍楼、学生生活服务楼、室外卫生间、消防水池、室外400米标准塑胶运动场、看台、塑胶篮球场、羽毛球场、排球场地及校园围墙、学校大门值班室、校园景观及绿化、路面硬化、校园供电系</w:t>
      </w:r>
      <w:r>
        <w:rPr>
          <w:rFonts w:ascii="仿宋_GB2312"/>
          <w:bCs/>
        </w:rPr>
        <w:t>统，校园排水系统、供水系统、供暖系统、燃气系统、室内外监控系统、智慧校园系统、消防</w:t>
      </w:r>
      <w:r>
        <w:rPr>
          <w:rStyle w:val="38"/>
          <w:rFonts w:ascii="仿宋" w:hAnsi="仿宋" w:eastAsia="仿宋" w:cs="方正仿宋_GBK"/>
          <w:b w:val="0"/>
          <w:spacing w:val="-4"/>
          <w:szCs w:val="28"/>
        </w:rPr>
        <w:t>监控系统、校园内高压线迁移等附属设施工程。</w:t>
      </w:r>
    </w:p>
    <w:p w14:paraId="29C739B5">
      <w:pPr>
        <w:spacing w:line="360" w:lineRule="auto"/>
        <w:ind w:firstLine="560"/>
        <w:rPr>
          <w:rFonts w:ascii="仿宋_GB2312"/>
        </w:rPr>
      </w:pPr>
      <w:r>
        <w:rPr>
          <w:rFonts w:ascii="仿宋_GB2312" w:hAnsi="仿宋"/>
          <w:szCs w:val="28"/>
        </w:rPr>
        <w:t>该项目阶段性目标为：</w:t>
      </w:r>
      <w:bookmarkStart w:id="7" w:name="_Toc67911604"/>
      <w:bookmarkStart w:id="8" w:name="_Toc165277225"/>
      <w:r>
        <w:rPr>
          <w:rStyle w:val="38"/>
          <w:rFonts w:hint="eastAsia" w:ascii="仿宋" w:hAnsi="仿宋" w:eastAsia="仿宋" w:cs="方正仿宋_GBK"/>
          <w:b w:val="0"/>
          <w:spacing w:val="-4"/>
          <w:szCs w:val="28"/>
        </w:rPr>
        <w:t xml:space="preserve"> 1、完成400米田径运动场地草地铺设，完成对科技信息楼、艺术中学、食堂体育楼的二次装修；2、完成所有建筑设施内的供排水及消防设施的安装调试，室外地面大理石铺设、道路铺设及部分校园绿化等工作；3、完成部分智慧校园及校园文化建设保证开学后教学设施、办公设施的基本完善，达到教学使用需求；4、完成设备采购及安装工作，保证新学期新校区正常投入使用，顺利开展各项教育教学活动，为全校师生提供优良的教学环境。</w:t>
      </w:r>
    </w:p>
    <w:p w14:paraId="7A7F8ABD">
      <w:pPr>
        <w:pStyle w:val="2"/>
        <w:ind w:firstLine="0" w:firstLineChars="0"/>
        <w:jc w:val="left"/>
        <w:rPr>
          <w:rFonts w:ascii="仿宋" w:hAnsi="仿宋" w:eastAsia="仿宋"/>
          <w:sz w:val="36"/>
          <w:szCs w:val="36"/>
          <w:lang w:bidi="en-US"/>
        </w:rPr>
      </w:pPr>
      <w:r>
        <w:rPr>
          <w:rFonts w:hint="eastAsia" w:ascii="仿宋" w:hAnsi="仿宋" w:eastAsia="仿宋"/>
          <w:sz w:val="36"/>
          <w:szCs w:val="36"/>
          <w:lang w:bidi="en-US"/>
        </w:rPr>
        <w:t>二、绩效评价工作开展情况</w:t>
      </w:r>
      <w:bookmarkEnd w:id="7"/>
      <w:bookmarkEnd w:id="8"/>
    </w:p>
    <w:p w14:paraId="09C48D6A">
      <w:pPr>
        <w:pStyle w:val="3"/>
        <w:ind w:firstLine="643"/>
        <w:rPr>
          <w:rFonts w:ascii="仿宋" w:hAnsi="仿宋" w:eastAsia="仿宋"/>
          <w:lang w:bidi="en-US"/>
        </w:rPr>
      </w:pPr>
      <w:bookmarkStart w:id="9" w:name="_Toc67911605"/>
      <w:bookmarkStart w:id="10" w:name="_Toc165277226"/>
      <w:r>
        <w:rPr>
          <w:rFonts w:hint="eastAsia" w:ascii="仿宋" w:hAnsi="仿宋" w:eastAsia="仿宋"/>
          <w:lang w:bidi="en-US"/>
        </w:rPr>
        <w:t>（一）绩效评价目的、对象和</w:t>
      </w:r>
      <w:bookmarkEnd w:id="9"/>
      <w:bookmarkEnd w:id="10"/>
      <w:r>
        <w:rPr>
          <w:rFonts w:hint="eastAsia" w:ascii="仿宋" w:hAnsi="仿宋" w:eastAsia="仿宋"/>
          <w:lang w:bidi="en-US"/>
        </w:rPr>
        <w:t>范围</w:t>
      </w:r>
    </w:p>
    <w:p w14:paraId="09650C5A">
      <w:pPr>
        <w:pStyle w:val="4"/>
        <w:ind w:firstLine="643"/>
      </w:pPr>
      <w:bookmarkStart w:id="11" w:name="_Toc165277227"/>
      <w:r>
        <w:rPr>
          <w:rFonts w:hint="eastAsia"/>
        </w:rPr>
        <w:t>1</w:t>
      </w:r>
      <w:r>
        <w:t>.绩效评价完整性</w:t>
      </w:r>
      <w:bookmarkEnd w:id="11"/>
    </w:p>
    <w:p w14:paraId="13A21BF2">
      <w:pPr>
        <w:spacing w:line="540" w:lineRule="exact"/>
        <w:ind w:firstLine="560"/>
        <w:rPr>
          <w:rFonts w:ascii="仿宋_GB2312"/>
        </w:rPr>
      </w:pPr>
      <w:r>
        <w:rPr>
          <w:rFonts w:hint="eastAsia" w:ascii="仿宋_GB2312"/>
        </w:rPr>
        <w:t>一、项目目标</w:t>
      </w:r>
      <w:r>
        <w:rPr>
          <w:rFonts w:hint="eastAsia" w:ascii="仿宋_GB2312"/>
          <w:bCs/>
        </w:rPr>
        <w:t>: 乌鲁木齐市第二十三中学新校区的建设，一是满足国家对中学生教育教学、活动面积的标准要求，二是有力地支持学校的发展，三是满足社会对高质教育资源的需求，四是对周边社会经济的带动发展，实现学校发展、社会需求及周边辐射经济价值，</w:t>
      </w:r>
      <w:r>
        <w:rPr>
          <w:rFonts w:hint="eastAsia" w:ascii="仿宋_GB2312"/>
        </w:rPr>
        <w:t>2023年评价目标为：1、完善教学设施装修，做好消防安装调试，加强校园安全及食品安全，保障师生财产生命安全。2、加强校园文化建设、智慧校园建设，增强学生素质教育及信息化技能的提升。3、提高教育质量，确保所采购的设备有效促进教学方法的优化，满足师生在校生活质量。绩效评价目标较为全面，涵盖项目主要内容。</w:t>
      </w:r>
    </w:p>
    <w:p w14:paraId="545DD24A">
      <w:pPr>
        <w:spacing w:line="540" w:lineRule="exact"/>
        <w:ind w:firstLine="560"/>
        <w:rPr>
          <w:rFonts w:ascii="仿宋_GB2312"/>
        </w:rPr>
      </w:pPr>
      <w:r>
        <w:rPr>
          <w:rFonts w:hint="eastAsia" w:ascii="仿宋_GB2312"/>
        </w:rPr>
        <w:t>评价数据的来源与采集:1、产出指标:通过预算安排资金的用途，将项目分类为三大类别、通过中标通知书查看配套工程面积，通过合同与验货单等查看设备验收是否合格，通过工程进度，得出年底工程完工率；2、成本指标:通过采购发票与支付凭证、报告单等原始凭证，查看项目成本；3、社会效益指标:根据新校区建设进度及师生满意度评价，评价社会效益指标，提供说明；4、满意度调查:通过问卷形式，收集师生对该项目的满意度评价。因此数据来源可靠，且评价指标可衡量。</w:t>
      </w:r>
    </w:p>
    <w:p w14:paraId="10D12641">
      <w:pPr>
        <w:pStyle w:val="4"/>
        <w:ind w:firstLine="643"/>
      </w:pPr>
      <w:bookmarkStart w:id="12" w:name="_Toc165277228"/>
      <w:r>
        <w:t>2</w:t>
      </w:r>
      <w:r>
        <w:rPr>
          <w:rFonts w:hint="eastAsia"/>
        </w:rPr>
        <w:t>.评价目的</w:t>
      </w:r>
      <w:bookmarkEnd w:id="12"/>
    </w:p>
    <w:p w14:paraId="1FFAFFD9">
      <w:pPr>
        <w:spacing w:line="360" w:lineRule="auto"/>
        <w:ind w:firstLine="560"/>
        <w:rPr>
          <w:rFonts w:ascii="仿宋_GB2312" w:hAnsi="仿宋"/>
          <w:szCs w:val="28"/>
        </w:rPr>
      </w:pPr>
      <w:r>
        <w:rPr>
          <w:rFonts w:hint="eastAsia" w:ascii="仿宋_GB2312" w:hAnsi="仿宋"/>
          <w:szCs w:val="28"/>
        </w:rP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市第二十三中学新校区建设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14:paraId="725AAE95">
      <w:pPr>
        <w:pStyle w:val="4"/>
        <w:ind w:firstLine="643"/>
      </w:pPr>
      <w:bookmarkStart w:id="13" w:name="_Toc165277229"/>
      <w:r>
        <w:t>3</w:t>
      </w:r>
      <w:r>
        <w:rPr>
          <w:rFonts w:hint="eastAsia"/>
        </w:rPr>
        <w:t>.评价对象</w:t>
      </w:r>
      <w:bookmarkEnd w:id="13"/>
    </w:p>
    <w:p w14:paraId="7712A907">
      <w:pPr>
        <w:spacing w:line="360" w:lineRule="auto"/>
        <w:ind w:firstLine="560"/>
        <w:rPr>
          <w:rFonts w:ascii="仿宋_GB2312" w:hAnsi="仿宋"/>
          <w:szCs w:val="28"/>
        </w:rPr>
      </w:pPr>
      <w:r>
        <w:rPr>
          <w:rFonts w:hint="eastAsia" w:ascii="仿宋_GB2312"/>
        </w:rPr>
        <w:t>（</w:t>
      </w:r>
      <w:r>
        <w:rPr>
          <w:rFonts w:hint="eastAsia" w:ascii="仿宋_GB2312" w:hAnsi="仿宋"/>
          <w:szCs w:val="28"/>
        </w:rPr>
        <w:t>1）绩效评价的对象：市第二十三中学新校区建设项目</w:t>
      </w:r>
    </w:p>
    <w:p w14:paraId="6B4E9E70">
      <w:pPr>
        <w:pStyle w:val="4"/>
        <w:ind w:firstLine="643"/>
      </w:pPr>
      <w:bookmarkStart w:id="14" w:name="_Toc165277230"/>
      <w:r>
        <w:rPr>
          <w:rFonts w:hint="eastAsia"/>
        </w:rPr>
        <w:t>4</w:t>
      </w:r>
      <w:r>
        <w:t>.</w:t>
      </w:r>
      <w:r>
        <w:rPr>
          <w:rFonts w:hint="eastAsia"/>
        </w:rPr>
        <w:t>绩效评价范围</w:t>
      </w:r>
      <w:bookmarkEnd w:id="14"/>
    </w:p>
    <w:p w14:paraId="0B4654A7">
      <w:pPr>
        <w:spacing w:line="360" w:lineRule="auto"/>
        <w:ind w:firstLine="560"/>
        <w:rPr>
          <w:rFonts w:ascii="仿宋_GB2312" w:hAnsi="仿宋"/>
          <w:szCs w:val="28"/>
        </w:rPr>
      </w:pPr>
      <w:r>
        <w:rPr>
          <w:rFonts w:ascii="仿宋_GB2312" w:hAnsi="仿宋"/>
          <w:szCs w:val="28"/>
        </w:rPr>
        <w:t>1.</w:t>
      </w:r>
      <w:r>
        <w:rPr>
          <w:rFonts w:hint="eastAsia" w:ascii="仿宋_GB2312" w:hAnsi="仿宋"/>
          <w:szCs w:val="28"/>
        </w:rPr>
        <w:t>时间范围：2</w:t>
      </w:r>
      <w:r>
        <w:rPr>
          <w:rFonts w:ascii="仿宋_GB2312" w:hAnsi="仿宋"/>
          <w:szCs w:val="28"/>
        </w:rPr>
        <w:t>023</w:t>
      </w:r>
      <w:r>
        <w:rPr>
          <w:rFonts w:hint="eastAsia" w:ascii="仿宋_GB2312" w:hAnsi="仿宋"/>
          <w:szCs w:val="28"/>
        </w:rPr>
        <w:t>年1月1日至2</w:t>
      </w:r>
      <w:r>
        <w:rPr>
          <w:rFonts w:ascii="仿宋_GB2312" w:hAnsi="仿宋"/>
          <w:szCs w:val="28"/>
        </w:rPr>
        <w:t>023</w:t>
      </w:r>
      <w:r>
        <w:rPr>
          <w:rFonts w:hint="eastAsia" w:ascii="仿宋_GB2312" w:hAnsi="仿宋"/>
          <w:szCs w:val="28"/>
        </w:rPr>
        <w:t>年1</w:t>
      </w:r>
      <w:r>
        <w:rPr>
          <w:rFonts w:ascii="仿宋_GB2312" w:hAnsi="仿宋"/>
          <w:szCs w:val="28"/>
        </w:rPr>
        <w:t>2</w:t>
      </w:r>
      <w:r>
        <w:rPr>
          <w:rFonts w:hint="eastAsia" w:ascii="仿宋_GB2312" w:hAnsi="仿宋"/>
          <w:szCs w:val="28"/>
        </w:rPr>
        <w:t>月3</w:t>
      </w:r>
      <w:r>
        <w:rPr>
          <w:rFonts w:ascii="仿宋_GB2312" w:hAnsi="仿宋"/>
          <w:szCs w:val="28"/>
        </w:rPr>
        <w:t>1</w:t>
      </w:r>
      <w:r>
        <w:rPr>
          <w:rFonts w:hint="eastAsia" w:ascii="仿宋_GB2312" w:hAnsi="仿宋"/>
          <w:szCs w:val="28"/>
        </w:rPr>
        <w:t>日。</w:t>
      </w:r>
    </w:p>
    <w:p w14:paraId="7EB45143">
      <w:pPr>
        <w:spacing w:line="360" w:lineRule="auto"/>
        <w:ind w:firstLine="560"/>
        <w:rPr>
          <w:rFonts w:ascii="仿宋_GB2312" w:hAnsi="仿宋"/>
          <w:szCs w:val="28"/>
        </w:rPr>
      </w:pPr>
      <w:r>
        <w:rPr>
          <w:rFonts w:ascii="仿宋_GB2312" w:hAnsi="仿宋"/>
          <w:szCs w:val="28"/>
        </w:rPr>
        <w:t>2.</w:t>
      </w:r>
      <w:r>
        <w:rPr>
          <w:rFonts w:hint="eastAsia" w:ascii="仿宋_GB2312" w:hAnsi="仿宋"/>
          <w:szCs w:val="28"/>
        </w:rPr>
        <w:t>项目范围：</w:t>
      </w:r>
    </w:p>
    <w:p w14:paraId="67099728">
      <w:pPr>
        <w:autoSpaceDE w:val="0"/>
        <w:spacing w:line="600" w:lineRule="exact"/>
        <w:ind w:firstLine="560"/>
        <w:jc w:val="left"/>
        <w:rPr>
          <w:rFonts w:ascii="仿宋_GB2312" w:hAnsi="仿宋"/>
          <w:szCs w:val="28"/>
        </w:rPr>
      </w:pPr>
      <w:r>
        <w:rPr>
          <w:rFonts w:hint="eastAsia" w:ascii="仿宋_GB2312" w:hAnsi="仿宋"/>
          <w:szCs w:val="28"/>
        </w:rPr>
        <w:t>2023年市第二十三中学新校区建设项目是基于正常教育教学的需要，进一步增强学校的基础设施的目的而设立，此项目范围包括</w:t>
      </w:r>
      <w:r>
        <w:rPr>
          <w:rFonts w:hint="eastAsia" w:ascii="仿宋_GB2312"/>
          <w:bCs/>
        </w:rPr>
        <w:t>田</w:t>
      </w:r>
      <w:r>
        <w:rPr>
          <w:rFonts w:hint="eastAsia" w:ascii="仿宋_GB2312" w:hAnsi="仿宋"/>
          <w:szCs w:val="28"/>
        </w:rPr>
        <w:t>径运动场铺设，科技信息楼、艺术中学、食堂、体育楼的二次装修；建筑设施内的供排水及消防设施的安装调试、道路铺设及部分校园绿化；部分智慧校园及校园文化建设及设备采购及安装。项目评价工作有具体的指标体系，涵盖5个一级指标、11个二级指标、</w:t>
      </w:r>
      <w:r>
        <w:rPr>
          <w:rFonts w:ascii="仿宋_GB2312" w:hAnsi="仿宋"/>
          <w:szCs w:val="28"/>
        </w:rPr>
        <w:t>17</w:t>
      </w:r>
      <w:r>
        <w:rPr>
          <w:rFonts w:hint="eastAsia" w:ascii="仿宋_GB2312" w:hAnsi="仿宋"/>
          <w:szCs w:val="28"/>
        </w:rPr>
        <w:t>个三级指标；采购过程透明公正，采购的设备符合预期目标，通过数据采集、问卷调查等形式，对2023年市第二十三中学新校区建设项目进行客观评价，最终评分结果为:总分为</w:t>
      </w:r>
      <w:r>
        <w:rPr>
          <w:rFonts w:ascii="仿宋_GB2312" w:hAnsi="仿宋"/>
          <w:szCs w:val="28"/>
        </w:rPr>
        <w:t>96</w:t>
      </w:r>
      <w:r>
        <w:rPr>
          <w:rFonts w:hint="eastAsia" w:ascii="仿宋_GB2312" w:hAnsi="仿宋"/>
          <w:szCs w:val="28"/>
        </w:rPr>
        <w:t>分，绩效评级为“优”。2023年度内基本完成各项指标设定值，完成了田径运动场地草地铺设、科技信息楼、艺术中学、食堂体育楼的二次装修，完成所有建筑设施内的供排水及消防设施的安装调试，室外地面大理石铺设、道路铺设及部分校园绿化，大部分智慧校园、校园文化建设及设备采购项目。工程于2023年8月交工，9月正式投入使用，彻底改变了二十三中学校园面积狭小，学校发展空间受限的根本局面，现在的二十三中学新校区地域开阔，场地平整、环境优美、教室明亮、教学设备先进、生活设施齐全，为二十三中学的发展奠定了良好的基础，实现了乌鲁木齐市优质教育资源的均衡发展，为乌鲁木齐市的教育发展起到了积极推动作用。同时，新校区的建成，带动了周边经济发展，取得了很好的社会效益和经济效益，且学生、教师满意度等于100%。在项目实施过程中总结出以下经验:</w:t>
      </w:r>
      <w:bookmarkStart w:id="15" w:name="_Toc67911606"/>
      <w:bookmarkStart w:id="16" w:name="_Toc165277231"/>
      <w:bookmarkStart w:id="17" w:name="_Hlk67586765"/>
      <w:r>
        <w:rPr>
          <w:rFonts w:hint="eastAsia" w:ascii="仿宋_GB2312" w:hAnsi="仿宋"/>
          <w:szCs w:val="28"/>
        </w:rPr>
        <w:t xml:space="preserve"> 1、</w:t>
      </w:r>
      <w:r>
        <w:rPr>
          <w:rFonts w:ascii="仿宋_GB2312" w:hAnsi="仿宋"/>
          <w:szCs w:val="28"/>
        </w:rPr>
        <w:t>在项目开始之前,必须制定一个清晰而明确的项目目标和计划,以确保团队成员都了解围绕什么工作以及如何完成它们</w:t>
      </w:r>
      <w:r>
        <w:rPr>
          <w:rFonts w:hint="eastAsia" w:ascii="仿宋_GB2312" w:hAnsi="仿宋"/>
          <w:szCs w:val="28"/>
        </w:rPr>
        <w:t>，</w:t>
      </w:r>
      <w:r>
        <w:rPr>
          <w:rFonts w:ascii="仿宋_GB2312" w:hAnsi="仿宋"/>
          <w:szCs w:val="28"/>
        </w:rPr>
        <w:t xml:space="preserve"> 目标必须是明确、可衡量的,并为每个小组成员提供一个明确定义的任务。计划应包括项目的所有步骤、所需资源以及实现这些步骤所需的时间。这样,每个团队成员都能清晰地知道自己的职责和时间</w:t>
      </w:r>
      <w:r>
        <w:rPr>
          <w:rFonts w:hint="eastAsia" w:ascii="仿宋_GB2312" w:hAnsi="仿宋"/>
          <w:szCs w:val="28"/>
        </w:rPr>
        <w:t>安排</w:t>
      </w:r>
      <w:r>
        <w:rPr>
          <w:rFonts w:ascii="仿宋_GB2312" w:hAnsi="仿宋"/>
          <w:szCs w:val="28"/>
        </w:rPr>
        <w:t>。</w:t>
      </w:r>
      <w:r>
        <w:rPr>
          <w:rFonts w:hint="eastAsia" w:ascii="仿宋_GB2312" w:hAnsi="仿宋"/>
          <w:szCs w:val="28"/>
        </w:rPr>
        <w:t>2、项目执行过程中定期督察实施进度，对期间发现的不合理内容及时做出纠正，对存在的问题及时上报学校并解决，提高和施工单位对接频率，保证施工进度，保证施工质量。3、项目验收环节和校内使用部门人员、资产人员以及监管部门人员，一起对项目进行清点验收，提出问题汇总，待施工单位完成整改后，进行接收相关资料归档。</w:t>
      </w:r>
    </w:p>
    <w:p w14:paraId="52C3BCF2">
      <w:pPr>
        <w:autoSpaceDE w:val="0"/>
        <w:spacing w:line="600" w:lineRule="exact"/>
        <w:ind w:firstLine="643"/>
        <w:jc w:val="left"/>
        <w:rPr>
          <w:rFonts w:ascii="仿宋" w:hAnsi="仿宋" w:eastAsia="仿宋" w:cstheme="majorBidi"/>
          <w:b/>
          <w:bCs/>
          <w:sz w:val="32"/>
          <w:szCs w:val="32"/>
          <w:lang w:bidi="en-US"/>
        </w:rPr>
      </w:pPr>
      <w:r>
        <w:rPr>
          <w:rFonts w:hint="eastAsia" w:ascii="仿宋" w:hAnsi="仿宋" w:eastAsia="仿宋" w:cstheme="majorBidi"/>
          <w:b/>
          <w:bCs/>
          <w:sz w:val="32"/>
          <w:szCs w:val="32"/>
          <w:lang w:bidi="en-US"/>
        </w:rPr>
        <w:t>（二）绩效评价原则、指标体系、方法及</w:t>
      </w:r>
      <w:bookmarkEnd w:id="15"/>
      <w:bookmarkEnd w:id="16"/>
      <w:r>
        <w:rPr>
          <w:rFonts w:hint="eastAsia" w:ascii="仿宋" w:hAnsi="仿宋" w:eastAsia="仿宋" w:cstheme="majorBidi"/>
          <w:b/>
          <w:bCs/>
          <w:sz w:val="32"/>
          <w:szCs w:val="32"/>
          <w:lang w:bidi="en-US"/>
        </w:rPr>
        <w:t>标准</w:t>
      </w:r>
    </w:p>
    <w:bookmarkEnd w:id="17"/>
    <w:p w14:paraId="2299CD80">
      <w:pPr>
        <w:pStyle w:val="4"/>
        <w:ind w:firstLine="643"/>
      </w:pPr>
      <w:bookmarkStart w:id="18" w:name="_Toc165277232"/>
      <w:r>
        <w:rPr>
          <w:rFonts w:hint="eastAsia"/>
        </w:rPr>
        <w:t>1</w:t>
      </w:r>
      <w:r>
        <w:t>.</w:t>
      </w:r>
      <w:r>
        <w:rPr>
          <w:rFonts w:hint="eastAsia"/>
        </w:rPr>
        <w:t>评价原则</w:t>
      </w:r>
      <w:bookmarkEnd w:id="18"/>
    </w:p>
    <w:p w14:paraId="611F1F13">
      <w:pPr>
        <w:spacing w:line="600" w:lineRule="exact"/>
        <w:ind w:firstLine="560"/>
        <w:rPr>
          <w:rFonts w:ascii="仿宋_GB2312"/>
        </w:rPr>
      </w:pPr>
      <w:r>
        <w:rPr>
          <w:rFonts w:hint="eastAsia" w:ascii="仿宋_GB2312"/>
        </w:rPr>
        <w:t>（一）科学公正。绩效评价应当运用科学合理的方法，按照规范的程序，对项目绩效进行客观、公正的反映。</w:t>
      </w:r>
    </w:p>
    <w:p w14:paraId="01F7F8D1">
      <w:pPr>
        <w:spacing w:line="600" w:lineRule="exact"/>
        <w:ind w:firstLine="560"/>
        <w:rPr>
          <w:rFonts w:ascii="仿宋_GB2312"/>
        </w:rPr>
      </w:pPr>
      <w:r>
        <w:rPr>
          <w:rFonts w:hint="eastAsia" w:ascii="仿宋_GB231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14:paraId="21112665">
      <w:pPr>
        <w:spacing w:line="600" w:lineRule="exact"/>
        <w:ind w:firstLine="560"/>
        <w:rPr>
          <w:rFonts w:ascii="仿宋_GB2312"/>
        </w:rPr>
      </w:pPr>
      <w:r>
        <w:rPr>
          <w:rFonts w:hint="eastAsia" w:ascii="仿宋_GB2312"/>
        </w:rPr>
        <w:t>（三）激励约束。绩效评价结果应与预算安排、政策调整、改进管理实质性挂钩，体现奖优罚劣和激励相容导向，有效要安排、低效要压减、无效要问责。</w:t>
      </w:r>
    </w:p>
    <w:p w14:paraId="29FABA93">
      <w:pPr>
        <w:spacing w:line="600" w:lineRule="exact"/>
        <w:ind w:firstLine="560"/>
        <w:rPr>
          <w:rFonts w:ascii="仿宋_GB2312" w:hAnsi="仿宋"/>
          <w:szCs w:val="28"/>
        </w:rPr>
      </w:pPr>
      <w:r>
        <w:rPr>
          <w:rFonts w:hint="eastAsia" w:ascii="仿宋_GB2312"/>
        </w:rPr>
        <w:t>（四）公开透明。绩效评价结果应依法依规公开，并自觉接受社会监督。</w:t>
      </w:r>
    </w:p>
    <w:p w14:paraId="370897A4">
      <w:pPr>
        <w:pStyle w:val="4"/>
        <w:ind w:firstLine="643"/>
      </w:pPr>
      <w:bookmarkStart w:id="19" w:name="_Toc165277233"/>
      <w:r>
        <w:t>2.</w:t>
      </w:r>
      <w:r>
        <w:rPr>
          <w:rFonts w:hint="eastAsia"/>
        </w:rPr>
        <w:t>评价指标体系</w:t>
      </w:r>
      <w:bookmarkEnd w:id="19"/>
    </w:p>
    <w:p w14:paraId="6C0B506F">
      <w:pPr>
        <w:spacing w:line="360" w:lineRule="auto"/>
        <w:ind w:firstLine="560"/>
        <w:rPr>
          <w:rFonts w:ascii="仿宋_GB2312" w:hAnsi="仿宋"/>
          <w:szCs w:val="28"/>
        </w:rPr>
      </w:pPr>
      <w:r>
        <w:rPr>
          <w:rFonts w:hint="eastAsia" w:ascii="仿宋_GB2312" w:hAnsi="仿宋"/>
          <w:szCs w:val="28"/>
        </w:rPr>
        <w:t>绩效评价指标体系作为衡量绩效目标实现程度的考核工具，一般遵循以下原则：</w:t>
      </w:r>
    </w:p>
    <w:p w14:paraId="3B33766D">
      <w:pPr>
        <w:spacing w:line="360" w:lineRule="auto"/>
        <w:ind w:firstLine="560"/>
        <w:rPr>
          <w:rFonts w:ascii="仿宋_GB2312" w:hAnsi="仿宋"/>
          <w:szCs w:val="28"/>
        </w:rPr>
      </w:pPr>
      <w:r>
        <w:rPr>
          <w:rFonts w:hint="eastAsia" w:ascii="仿宋_GB2312" w:hAnsi="仿宋"/>
          <w:szCs w:val="28"/>
        </w:rPr>
        <w:t>（1）相关性原则：绩效评价指标应当与绩效目标有直接的联系，能够恰当反映目标的实现程度。</w:t>
      </w:r>
    </w:p>
    <w:p w14:paraId="4053111C">
      <w:pPr>
        <w:spacing w:line="360" w:lineRule="auto"/>
        <w:ind w:firstLine="560"/>
        <w:rPr>
          <w:rFonts w:ascii="仿宋_GB2312" w:hAnsi="仿宋"/>
          <w:szCs w:val="28"/>
        </w:rPr>
      </w:pPr>
      <w:r>
        <w:rPr>
          <w:rFonts w:hint="eastAsia" w:ascii="仿宋_GB2312" w:hAnsi="仿宋"/>
          <w:szCs w:val="28"/>
        </w:rPr>
        <w:t>（2）重要性原则：应当优先使用最具评价对象代表性、最能反映评价要求的核心指标。</w:t>
      </w:r>
    </w:p>
    <w:p w14:paraId="4DC42D06">
      <w:pPr>
        <w:spacing w:line="360" w:lineRule="auto"/>
        <w:ind w:firstLine="560"/>
        <w:rPr>
          <w:rFonts w:ascii="仿宋_GB2312" w:hAnsi="仿宋"/>
          <w:szCs w:val="28"/>
        </w:rPr>
      </w:pPr>
      <w:r>
        <w:rPr>
          <w:rFonts w:hint="eastAsia" w:ascii="仿宋_GB2312" w:hAnsi="仿宋"/>
          <w:szCs w:val="28"/>
        </w:rPr>
        <w:t>（3）可比性原则：对同类评价对象要设定共性的绩效评价指标，以便于评价结果可以相互比较。</w:t>
      </w:r>
    </w:p>
    <w:p w14:paraId="7A000E73">
      <w:pPr>
        <w:spacing w:line="360" w:lineRule="auto"/>
        <w:ind w:firstLine="560"/>
        <w:rPr>
          <w:rFonts w:ascii="仿宋_GB2312" w:hAnsi="仿宋"/>
          <w:szCs w:val="28"/>
        </w:rPr>
      </w:pPr>
      <w:r>
        <w:rPr>
          <w:rFonts w:hint="eastAsia" w:ascii="仿宋_GB2312" w:hAnsi="仿宋"/>
          <w:szCs w:val="28"/>
        </w:rPr>
        <w:t>（4）系统性原则：绩效评价指标的设置应当将定量指标与定性指标相结合，能系统反映财政支出所产生的社会效益、经济效益和可持续影响等。</w:t>
      </w:r>
    </w:p>
    <w:p w14:paraId="139FD1E6">
      <w:pPr>
        <w:spacing w:line="360" w:lineRule="auto"/>
        <w:ind w:firstLine="560"/>
        <w:rPr>
          <w:rFonts w:ascii="仿宋_GB2312" w:hAnsi="仿宋"/>
          <w:szCs w:val="28"/>
        </w:rPr>
      </w:pPr>
      <w:r>
        <w:rPr>
          <w:rFonts w:hint="eastAsia" w:ascii="仿宋_GB2312" w:hAnsi="仿宋"/>
          <w:szCs w:val="28"/>
        </w:rPr>
        <w:t>（5）经济性原则：绩效评价指标设计应当通俗易懂、简便易行，数据的获得应当考虑现实条件和可操作性，符合成本效益原则。</w:t>
      </w:r>
    </w:p>
    <w:p w14:paraId="37D1A5B9">
      <w:pPr>
        <w:spacing w:line="360" w:lineRule="auto"/>
        <w:ind w:firstLine="560"/>
        <w:rPr>
          <w:rFonts w:ascii="仿宋_GB2312" w:hAnsi="仿宋"/>
          <w:szCs w:val="28"/>
        </w:rPr>
      </w:pPr>
      <w:r>
        <w:rPr>
          <w:rFonts w:hint="eastAsia" w:ascii="仿宋_GB2312" w:hAnsi="仿宋"/>
          <w:szCs w:val="28"/>
        </w:rPr>
        <w:t>本项目的评价指标体系建立如下表所示。</w:t>
      </w:r>
    </w:p>
    <w:p w14:paraId="432B98BD">
      <w:pPr>
        <w:spacing w:line="360" w:lineRule="auto"/>
        <w:ind w:firstLine="560"/>
        <w:rPr>
          <w:rFonts w:ascii="仿宋_GB2312"/>
        </w:rPr>
      </w:pPr>
    </w:p>
    <w:p w14:paraId="38C28610">
      <w:pPr>
        <w:spacing w:line="360" w:lineRule="auto"/>
        <w:ind w:firstLine="560"/>
        <w:rPr>
          <w:rFonts w:ascii="仿宋_GB2312"/>
        </w:rPr>
      </w:pPr>
    </w:p>
    <w:p w14:paraId="5CBBFC65">
      <w:pPr>
        <w:spacing w:line="360" w:lineRule="auto"/>
        <w:ind w:firstLine="560"/>
        <w:rPr>
          <w:rFonts w:ascii="仿宋_GB2312"/>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14:paraId="68A5CFC0">
      <w:pPr>
        <w:spacing w:line="360" w:lineRule="auto"/>
        <w:ind w:firstLine="0" w:firstLineChars="0"/>
        <w:jc w:val="center"/>
        <w:rPr>
          <w:rFonts w:ascii="仿宋_GB2312"/>
          <w:b/>
          <w:bCs/>
        </w:rPr>
      </w:pPr>
      <w:r>
        <w:rPr>
          <w:rFonts w:ascii="仿宋_GB2312"/>
          <w:b/>
          <w:bCs/>
        </w:rPr>
        <w:t xml:space="preserve">  </w:t>
      </w:r>
      <w:r>
        <w:rPr>
          <w:rFonts w:hint="eastAsia" w:ascii="仿宋_GB2312"/>
          <w:b/>
          <w:bCs/>
        </w:rPr>
        <w:t>项目支出绩效评价指标体系</w:t>
      </w:r>
    </w:p>
    <w:tbl>
      <w:tblPr>
        <w:tblStyle w:val="17"/>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726"/>
        <w:gridCol w:w="2474"/>
        <w:gridCol w:w="7341"/>
      </w:tblGrid>
      <w:tr w14:paraId="19B2F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14:paraId="2B911353">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199" w:type="dxa"/>
            <w:tcBorders>
              <w:tl2br w:val="nil"/>
              <w:tr2bl w:val="nil"/>
            </w:tcBorders>
            <w:shd w:val="clear" w:color="auto" w:fill="D0CECE" w:themeFill="background2" w:themeFillShade="E6"/>
            <w:vAlign w:val="center"/>
          </w:tcPr>
          <w:p w14:paraId="779F2693">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726" w:type="dxa"/>
            <w:tcBorders>
              <w:tl2br w:val="nil"/>
              <w:tr2bl w:val="nil"/>
            </w:tcBorders>
            <w:shd w:val="clear" w:color="auto" w:fill="D0CECE" w:themeFill="background2" w:themeFillShade="E6"/>
            <w:vAlign w:val="center"/>
          </w:tcPr>
          <w:p w14:paraId="2F97C3EC">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2474" w:type="dxa"/>
            <w:tcBorders>
              <w:tl2br w:val="nil"/>
              <w:tr2bl w:val="nil"/>
            </w:tcBorders>
            <w:shd w:val="clear" w:color="auto" w:fill="D0CECE" w:themeFill="background2" w:themeFillShade="E6"/>
            <w:vAlign w:val="center"/>
          </w:tcPr>
          <w:p w14:paraId="6C440B93">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7341" w:type="dxa"/>
            <w:tcBorders>
              <w:tl2br w:val="nil"/>
              <w:tr2bl w:val="nil"/>
            </w:tcBorders>
            <w:shd w:val="clear" w:color="auto" w:fill="D0CECE" w:themeFill="background2" w:themeFillShade="E6"/>
            <w:vAlign w:val="center"/>
          </w:tcPr>
          <w:p w14:paraId="097CF440">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指标说明</w:t>
            </w:r>
          </w:p>
        </w:tc>
      </w:tr>
      <w:tr w14:paraId="3D6DC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14:paraId="04999340">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vMerge w:val="restart"/>
            <w:tcBorders>
              <w:tl2br w:val="nil"/>
              <w:tr2bl w:val="nil"/>
            </w:tcBorders>
            <w:shd w:val="clear" w:color="auto" w:fill="FFFFFF"/>
            <w:vAlign w:val="center"/>
          </w:tcPr>
          <w:p w14:paraId="12B2A42B">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项目立项</w:t>
            </w:r>
          </w:p>
        </w:tc>
        <w:tc>
          <w:tcPr>
            <w:tcW w:w="1726" w:type="dxa"/>
            <w:tcBorders>
              <w:tl2br w:val="nil"/>
              <w:tr2bl w:val="nil"/>
            </w:tcBorders>
            <w:shd w:val="clear" w:color="auto" w:fill="FFFFFF"/>
            <w:vAlign w:val="center"/>
          </w:tcPr>
          <w:p w14:paraId="6A50B5A6">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立项依据</w:t>
            </w:r>
          </w:p>
          <w:p w14:paraId="35558BB4">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充分性</w:t>
            </w:r>
          </w:p>
        </w:tc>
        <w:tc>
          <w:tcPr>
            <w:tcW w:w="2474" w:type="dxa"/>
            <w:tcBorders>
              <w:tl2br w:val="nil"/>
              <w:tr2bl w:val="nil"/>
            </w:tcBorders>
            <w:shd w:val="clear" w:color="auto" w:fill="FFFFFF"/>
            <w:vAlign w:val="center"/>
          </w:tcPr>
          <w:p w14:paraId="2DDD4F89">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14:paraId="1E40F7C3">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①项目立项是否符合国家法律法规、国民经济发展规划和相关政策；</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②项目立项是否符合行业发展规划和政策要求；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③项目立项是否与部门职责范围相符，属于部门履职所需；</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④项目是否属于公共财政支持范围，是否符合中央、地方事权支出责任划分原则；</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⑤项目是否与相关部门同类项目或部门内部相关项目重复。</w:t>
            </w:r>
          </w:p>
        </w:tc>
      </w:tr>
      <w:tr w14:paraId="48E2C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14:paraId="37A3A774">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14:paraId="1C5BE496">
            <w:pPr>
              <w:widowControl/>
              <w:ind w:firstLine="0" w:firstLineChars="0"/>
              <w:jc w:val="center"/>
              <w:rPr>
                <w:rFonts w:ascii="宋体" w:hAnsi="宋体" w:eastAsia="宋体" w:cs="宋体"/>
                <w:color w:val="000000"/>
                <w:kern w:val="0"/>
                <w:sz w:val="22"/>
              </w:rPr>
            </w:pPr>
          </w:p>
        </w:tc>
        <w:tc>
          <w:tcPr>
            <w:tcW w:w="1726" w:type="dxa"/>
            <w:tcBorders>
              <w:tl2br w:val="nil"/>
              <w:tr2bl w:val="nil"/>
            </w:tcBorders>
            <w:shd w:val="clear" w:color="auto" w:fill="FFFFFF"/>
            <w:vAlign w:val="center"/>
          </w:tcPr>
          <w:p w14:paraId="0C5D00FF">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立项程序</w:t>
            </w:r>
          </w:p>
          <w:p w14:paraId="66FBFA72">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规范性</w:t>
            </w:r>
          </w:p>
        </w:tc>
        <w:tc>
          <w:tcPr>
            <w:tcW w:w="2474" w:type="dxa"/>
            <w:tcBorders>
              <w:tl2br w:val="nil"/>
              <w:tr2bl w:val="nil"/>
            </w:tcBorders>
            <w:shd w:val="clear" w:color="auto" w:fill="FFFFFF"/>
            <w:vAlign w:val="center"/>
          </w:tcPr>
          <w:p w14:paraId="6BC3D003">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项目申请、设立过程是否符合相关要求，用以反映和考核项目立项的规范情况。</w:t>
            </w:r>
          </w:p>
        </w:tc>
        <w:tc>
          <w:tcPr>
            <w:tcW w:w="7341" w:type="dxa"/>
            <w:tcBorders>
              <w:tl2br w:val="nil"/>
              <w:tr2bl w:val="nil"/>
            </w:tcBorders>
            <w:shd w:val="clear" w:color="auto" w:fill="FFFFFF"/>
            <w:vAlign w:val="center"/>
          </w:tcPr>
          <w:p w14:paraId="520FF2CF">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①项目是否按照规定的程序申请设立；</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②审批文件、材料是否符合相关要求；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③事前是否已经过必要的可行性研究、专家论证、风险评估、绩效评估、集体决策。</w:t>
            </w:r>
          </w:p>
        </w:tc>
      </w:tr>
      <w:tr w14:paraId="5C22F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14:paraId="3E4A61B0">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14:paraId="46926159">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726" w:type="dxa"/>
            <w:tcBorders>
              <w:tl2br w:val="nil"/>
              <w:tr2bl w:val="nil"/>
            </w:tcBorders>
            <w:shd w:val="clear" w:color="auto" w:fill="FFFFFF"/>
            <w:vAlign w:val="center"/>
          </w:tcPr>
          <w:p w14:paraId="78AD66F3">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p w14:paraId="2F536D64">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474" w:type="dxa"/>
            <w:tcBorders>
              <w:tl2br w:val="nil"/>
              <w:tr2bl w:val="nil"/>
            </w:tcBorders>
            <w:shd w:val="clear" w:color="000000" w:fill="FFFFFF"/>
            <w:vAlign w:val="center"/>
          </w:tcPr>
          <w:p w14:paraId="2E986B92">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14:paraId="28639C81">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（如未设定预算绩效目标，也可考核其他工作任务目标）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①项目是否有绩效目标；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②项目绩效目标与实际工作内容是否具有相关性；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③项目预期产出效益和效果是否符合正常的业绩水平；</w:t>
            </w:r>
          </w:p>
          <w:p w14:paraId="1077B9E3">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④是否与预算确定的项目投资额或资金量相匹配。</w:t>
            </w:r>
          </w:p>
        </w:tc>
      </w:tr>
      <w:tr w14:paraId="0F960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14:paraId="4438FC17">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tcBorders>
              <w:tl2br w:val="nil"/>
              <w:tr2bl w:val="nil"/>
            </w:tcBorders>
            <w:shd w:val="clear" w:color="auto" w:fill="FFFFFF"/>
            <w:vAlign w:val="center"/>
          </w:tcPr>
          <w:p w14:paraId="592BE84E">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726" w:type="dxa"/>
            <w:tcBorders>
              <w:tl2br w:val="nil"/>
              <w:tr2bl w:val="nil"/>
            </w:tcBorders>
            <w:shd w:val="clear" w:color="auto" w:fill="FFFFFF"/>
            <w:vAlign w:val="center"/>
          </w:tcPr>
          <w:p w14:paraId="047BCC09">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p w14:paraId="1C4F24A0">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明确性</w:t>
            </w:r>
          </w:p>
        </w:tc>
        <w:tc>
          <w:tcPr>
            <w:tcW w:w="2474" w:type="dxa"/>
            <w:tcBorders>
              <w:tl2br w:val="nil"/>
              <w:tr2bl w:val="nil"/>
            </w:tcBorders>
            <w:shd w:val="clear" w:color="000000" w:fill="FFFFFF"/>
            <w:vAlign w:val="center"/>
          </w:tcPr>
          <w:p w14:paraId="233CE02C">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14:paraId="7170CDD9">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①是否将项目绩效目标细化分解为具体的绩效指标；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②是否通过清晰、可衡量的指标值予以体现；</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③是否与项目目标任务数或计划数相对应。</w:t>
            </w:r>
            <w:r>
              <w:rPr>
                <w:rFonts w:hint="eastAsia" w:ascii="宋体" w:hAnsi="宋体" w:eastAsia="宋体" w:cs="宋体"/>
                <w:color w:val="000000"/>
                <w:kern w:val="0"/>
                <w:sz w:val="22"/>
              </w:rPr>
              <w:br w:type="textWrapping"/>
            </w:r>
          </w:p>
        </w:tc>
      </w:tr>
      <w:tr w14:paraId="38EFD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14:paraId="092B266A">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14:paraId="1CB5544C">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资金投入</w:t>
            </w:r>
          </w:p>
        </w:tc>
        <w:tc>
          <w:tcPr>
            <w:tcW w:w="1726" w:type="dxa"/>
            <w:tcBorders>
              <w:tl2br w:val="nil"/>
              <w:tr2bl w:val="nil"/>
            </w:tcBorders>
            <w:shd w:val="clear" w:color="auto" w:fill="FFFFFF"/>
            <w:vAlign w:val="center"/>
          </w:tcPr>
          <w:p w14:paraId="736F9F81">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预算编制</w:t>
            </w:r>
          </w:p>
          <w:p w14:paraId="1C470509">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科学性</w:t>
            </w:r>
          </w:p>
        </w:tc>
        <w:tc>
          <w:tcPr>
            <w:tcW w:w="2474" w:type="dxa"/>
            <w:tcBorders>
              <w:tl2br w:val="nil"/>
              <w:tr2bl w:val="nil"/>
            </w:tcBorders>
            <w:shd w:val="clear" w:color="auto" w:fill="FFFFFF"/>
            <w:vAlign w:val="center"/>
          </w:tcPr>
          <w:p w14:paraId="6B98F6C5">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14:paraId="663FCEDD">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①预算编制是否经过科学论证；</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②预算内容与项目内容是否匹配；</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③预算额度测算依据是否充分，是否按照标准编制；</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④预算确定的项目投资额或资金量是否与工作任务相匹配。</w:t>
            </w:r>
          </w:p>
        </w:tc>
      </w:tr>
      <w:tr w14:paraId="21A5C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14:paraId="63646C0E">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14:paraId="1E922DE1">
            <w:pPr>
              <w:widowControl/>
              <w:ind w:firstLine="0" w:firstLineChars="0"/>
              <w:jc w:val="center"/>
              <w:rPr>
                <w:rFonts w:ascii="宋体" w:hAnsi="宋体" w:eastAsia="宋体" w:cs="宋体"/>
                <w:color w:val="000000"/>
                <w:kern w:val="0"/>
                <w:sz w:val="22"/>
              </w:rPr>
            </w:pPr>
          </w:p>
        </w:tc>
        <w:tc>
          <w:tcPr>
            <w:tcW w:w="1726" w:type="dxa"/>
            <w:tcBorders>
              <w:tl2br w:val="nil"/>
              <w:tr2bl w:val="nil"/>
            </w:tcBorders>
            <w:shd w:val="clear" w:color="auto" w:fill="FFFFFF"/>
            <w:vAlign w:val="center"/>
          </w:tcPr>
          <w:p w14:paraId="68F6CD94">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资金分配</w:t>
            </w:r>
          </w:p>
          <w:p w14:paraId="5F39937C">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474" w:type="dxa"/>
            <w:tcBorders>
              <w:tl2br w:val="nil"/>
              <w:tr2bl w:val="nil"/>
            </w:tcBorders>
            <w:shd w:val="clear" w:color="auto" w:fill="FFFFFF"/>
            <w:vAlign w:val="center"/>
          </w:tcPr>
          <w:p w14:paraId="3EDBEB64">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14:paraId="15E23206">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①预算资金分配依据是否充分；</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②资金分配额度是否合理，与项目单位或地方实际是否相适应。</w:t>
            </w:r>
          </w:p>
        </w:tc>
      </w:tr>
      <w:tr w14:paraId="06403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14:paraId="7038AB3A">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vMerge w:val="restart"/>
            <w:tcBorders>
              <w:tl2br w:val="nil"/>
              <w:tr2bl w:val="nil"/>
            </w:tcBorders>
            <w:shd w:val="clear" w:color="auto" w:fill="FFFFFF"/>
            <w:vAlign w:val="center"/>
          </w:tcPr>
          <w:p w14:paraId="490DB4EC">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726" w:type="dxa"/>
            <w:tcBorders>
              <w:tl2br w:val="nil"/>
              <w:tr2bl w:val="nil"/>
            </w:tcBorders>
            <w:shd w:val="clear" w:color="auto" w:fill="FFFFFF"/>
            <w:vAlign w:val="center"/>
          </w:tcPr>
          <w:p w14:paraId="2DE2AE75">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资金到位率</w:t>
            </w:r>
          </w:p>
        </w:tc>
        <w:tc>
          <w:tcPr>
            <w:tcW w:w="2474" w:type="dxa"/>
            <w:tcBorders>
              <w:tl2br w:val="nil"/>
              <w:tr2bl w:val="nil"/>
            </w:tcBorders>
            <w:shd w:val="clear" w:color="000000" w:fill="FFFFFF"/>
            <w:vAlign w:val="center"/>
          </w:tcPr>
          <w:p w14:paraId="6C4B877B">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14:paraId="289976BE">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资金到位率=（实际到位资金/预算资金）×100%。</w:t>
            </w:r>
          </w:p>
          <w:p w14:paraId="226D10A5">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实际到位资金：一定时期（本年度或项目期）内落实到具体项目的资金。</w:t>
            </w:r>
          </w:p>
          <w:p w14:paraId="4D245791">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预算资金：一定时期（本年度或项目期）内预算安排到具体项目的资金。</w:t>
            </w:r>
          </w:p>
        </w:tc>
      </w:tr>
      <w:tr w14:paraId="09BBF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14:paraId="687420BA">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14:paraId="4A185D75">
            <w:pPr>
              <w:ind w:firstLine="0" w:firstLineChars="0"/>
              <w:jc w:val="center"/>
              <w:rPr>
                <w:rFonts w:ascii="宋体" w:hAnsi="宋体" w:eastAsia="宋体" w:cs="宋体"/>
                <w:color w:val="000000"/>
                <w:kern w:val="0"/>
                <w:sz w:val="22"/>
              </w:rPr>
            </w:pPr>
          </w:p>
        </w:tc>
        <w:tc>
          <w:tcPr>
            <w:tcW w:w="1726" w:type="dxa"/>
            <w:tcBorders>
              <w:tl2br w:val="nil"/>
              <w:tr2bl w:val="nil"/>
            </w:tcBorders>
            <w:shd w:val="clear" w:color="auto" w:fill="FFFFFF"/>
            <w:vAlign w:val="center"/>
          </w:tcPr>
          <w:p w14:paraId="23C61BD6">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预算执行率</w:t>
            </w:r>
          </w:p>
        </w:tc>
        <w:tc>
          <w:tcPr>
            <w:tcW w:w="2474" w:type="dxa"/>
            <w:tcBorders>
              <w:tl2br w:val="nil"/>
              <w:tr2bl w:val="nil"/>
            </w:tcBorders>
            <w:shd w:val="clear" w:color="auto" w:fill="FFFFFF"/>
            <w:vAlign w:val="center"/>
          </w:tcPr>
          <w:p w14:paraId="02269B6A">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项目预算资金是否按照计划执行，用以反映或考核项目预算执行情况。</w:t>
            </w:r>
          </w:p>
        </w:tc>
        <w:tc>
          <w:tcPr>
            <w:tcW w:w="7341" w:type="dxa"/>
            <w:tcBorders>
              <w:tl2br w:val="nil"/>
              <w:tr2bl w:val="nil"/>
            </w:tcBorders>
            <w:shd w:val="clear" w:color="auto" w:fill="FFFFFF"/>
            <w:vAlign w:val="center"/>
          </w:tcPr>
          <w:p w14:paraId="1E24ED9A">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预算执行率=（实际支出资金/实际到位资金）×100%。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实际支出资金：一定时期（本年度或项目期）内项目实际拨付的资金。</w:t>
            </w:r>
          </w:p>
        </w:tc>
      </w:tr>
      <w:tr w14:paraId="0BBB6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14:paraId="4A391423">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tcBorders>
              <w:tl2br w:val="nil"/>
              <w:tr2bl w:val="nil"/>
            </w:tcBorders>
            <w:shd w:val="clear" w:color="auto" w:fill="FFFFFF"/>
            <w:vAlign w:val="center"/>
          </w:tcPr>
          <w:p w14:paraId="0AC6604E">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726" w:type="dxa"/>
            <w:tcBorders>
              <w:tl2br w:val="nil"/>
              <w:tr2bl w:val="nil"/>
            </w:tcBorders>
            <w:shd w:val="clear" w:color="auto" w:fill="FFFFFF"/>
            <w:vAlign w:val="center"/>
          </w:tcPr>
          <w:p w14:paraId="77693ECA">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资金使用</w:t>
            </w:r>
          </w:p>
          <w:p w14:paraId="1B9ABCE7">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合规性</w:t>
            </w:r>
          </w:p>
        </w:tc>
        <w:tc>
          <w:tcPr>
            <w:tcW w:w="2474" w:type="dxa"/>
            <w:tcBorders>
              <w:tl2br w:val="nil"/>
              <w:tr2bl w:val="nil"/>
            </w:tcBorders>
            <w:shd w:val="clear" w:color="000000" w:fill="FFFFFF"/>
            <w:vAlign w:val="center"/>
          </w:tcPr>
          <w:p w14:paraId="1A4DA497">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14:paraId="2FAFF0F3">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①是否符合国家财经法规和财务管理制度以及有关专项资金管理办法的规定；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②资金的拨付是否有完整的审批程序和手续；</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③是否符合项目预算批复或合同规定的用途；</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④是否存在截留、挤占、挪用、虚列支出等情况。</w:t>
            </w:r>
          </w:p>
        </w:tc>
      </w:tr>
      <w:tr w14:paraId="30656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14:paraId="2F854A0A">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14:paraId="7CCBEE86">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组织实施</w:t>
            </w:r>
          </w:p>
        </w:tc>
        <w:tc>
          <w:tcPr>
            <w:tcW w:w="1726" w:type="dxa"/>
            <w:tcBorders>
              <w:tl2br w:val="nil"/>
              <w:tr2bl w:val="nil"/>
            </w:tcBorders>
            <w:shd w:val="clear" w:color="auto" w:fill="FFFFFF"/>
            <w:vAlign w:val="center"/>
          </w:tcPr>
          <w:p w14:paraId="368A85F0">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管理制度</w:t>
            </w:r>
          </w:p>
          <w:p w14:paraId="7B411A61">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健全性</w:t>
            </w:r>
          </w:p>
        </w:tc>
        <w:tc>
          <w:tcPr>
            <w:tcW w:w="2474" w:type="dxa"/>
            <w:tcBorders>
              <w:tl2br w:val="nil"/>
              <w:tr2bl w:val="nil"/>
            </w:tcBorders>
            <w:shd w:val="clear" w:color="000000" w:fill="FFFFFF"/>
            <w:vAlign w:val="center"/>
          </w:tcPr>
          <w:p w14:paraId="0B9E0569">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14:paraId="48423E86">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①是否已制定或具有相应的财务和业务管理制度；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②财务和业务管理制度是否合法、合规、完整。</w:t>
            </w:r>
          </w:p>
        </w:tc>
      </w:tr>
      <w:tr w14:paraId="54596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14:paraId="3D7C17C7">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14:paraId="5CA8F107">
            <w:pPr>
              <w:widowControl/>
              <w:ind w:firstLine="0" w:firstLineChars="0"/>
              <w:jc w:val="center"/>
              <w:rPr>
                <w:rFonts w:ascii="宋体" w:hAnsi="宋体" w:eastAsia="宋体" w:cs="宋体"/>
                <w:color w:val="000000"/>
                <w:kern w:val="0"/>
                <w:sz w:val="22"/>
              </w:rPr>
            </w:pPr>
          </w:p>
        </w:tc>
        <w:tc>
          <w:tcPr>
            <w:tcW w:w="1726" w:type="dxa"/>
            <w:tcBorders>
              <w:tl2br w:val="nil"/>
              <w:tr2bl w:val="nil"/>
            </w:tcBorders>
            <w:shd w:val="clear" w:color="auto" w:fill="FFFFFF"/>
            <w:vAlign w:val="center"/>
          </w:tcPr>
          <w:p w14:paraId="58337B2C">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制度执行</w:t>
            </w:r>
          </w:p>
          <w:p w14:paraId="4A093AD3">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有效性</w:t>
            </w:r>
          </w:p>
        </w:tc>
        <w:tc>
          <w:tcPr>
            <w:tcW w:w="2474" w:type="dxa"/>
            <w:tcBorders>
              <w:tl2br w:val="nil"/>
              <w:tr2bl w:val="nil"/>
            </w:tcBorders>
            <w:shd w:val="clear" w:color="000000" w:fill="FFFFFF"/>
            <w:vAlign w:val="center"/>
          </w:tcPr>
          <w:p w14:paraId="5F228372">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项目实施是否符合相关管理规定，用以反映和考核相关管理制度的有效执行情况。</w:t>
            </w:r>
          </w:p>
        </w:tc>
        <w:tc>
          <w:tcPr>
            <w:tcW w:w="7341" w:type="dxa"/>
            <w:tcBorders>
              <w:tl2br w:val="nil"/>
              <w:tr2bl w:val="nil"/>
            </w:tcBorders>
            <w:shd w:val="clear" w:color="000000" w:fill="FFFFFF"/>
            <w:vAlign w:val="center"/>
          </w:tcPr>
          <w:p w14:paraId="4A19A19A">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①是否遵守相关法律法规和相关管理规定；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②项目调整及支出调整手续是否完备；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③项目合同书、验收报告、技术鉴定等资料是否齐全并及时归档；</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④项目实施的人员条件、场地设备、信息支撑等是否落实到位。</w:t>
            </w:r>
          </w:p>
        </w:tc>
      </w:tr>
      <w:tr w14:paraId="5D4FC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7" w:hRule="atLeast"/>
          <w:jc w:val="center"/>
        </w:trPr>
        <w:tc>
          <w:tcPr>
            <w:tcW w:w="1155" w:type="dxa"/>
            <w:tcBorders>
              <w:tl2br w:val="nil"/>
              <w:tr2bl w:val="nil"/>
            </w:tcBorders>
            <w:shd w:val="clear" w:color="auto" w:fill="FFFFFF"/>
            <w:vAlign w:val="center"/>
          </w:tcPr>
          <w:p w14:paraId="05E0ED01">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w:t>
            </w:r>
          </w:p>
        </w:tc>
        <w:tc>
          <w:tcPr>
            <w:tcW w:w="1199" w:type="dxa"/>
            <w:tcBorders>
              <w:tl2br w:val="nil"/>
              <w:tr2bl w:val="nil"/>
            </w:tcBorders>
            <w:shd w:val="clear" w:color="auto" w:fill="FFFFFF"/>
            <w:vAlign w:val="center"/>
          </w:tcPr>
          <w:p w14:paraId="20F0FCE2">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产出数量</w:t>
            </w:r>
          </w:p>
        </w:tc>
        <w:tc>
          <w:tcPr>
            <w:tcW w:w="1726" w:type="dxa"/>
            <w:tcBorders>
              <w:bottom w:val="single" w:color="auto" w:sz="4" w:space="0"/>
              <w:tl2br w:val="nil"/>
              <w:tr2bl w:val="nil"/>
            </w:tcBorders>
            <w:shd w:val="clear" w:color="auto" w:fill="FFFFFF"/>
          </w:tcPr>
          <w:p w14:paraId="6B0353CA">
            <w:pPr>
              <w:ind w:firstLine="0" w:firstLineChars="0"/>
              <w:rPr>
                <w:rFonts w:ascii="宋体" w:hAnsi="宋体" w:eastAsia="宋体" w:cs="宋体"/>
                <w:color w:val="000000"/>
                <w:kern w:val="0"/>
                <w:sz w:val="22"/>
              </w:rPr>
            </w:pPr>
          </w:p>
          <w:p w14:paraId="79B2598D">
            <w:pPr>
              <w:ind w:firstLine="0" w:firstLineChars="0"/>
              <w:rPr>
                <w:rFonts w:ascii="宋体" w:hAnsi="宋体" w:eastAsia="宋体" w:cs="宋体"/>
                <w:color w:val="000000"/>
                <w:kern w:val="0"/>
                <w:sz w:val="22"/>
              </w:rPr>
            </w:pPr>
          </w:p>
          <w:p w14:paraId="4A226916">
            <w:pPr>
              <w:ind w:firstLine="0" w:firstLineChars="0"/>
              <w:rPr>
                <w:rFonts w:ascii="宋体" w:hAnsi="宋体" w:eastAsia="宋体" w:cs="宋体"/>
                <w:color w:val="000000"/>
                <w:kern w:val="0"/>
                <w:sz w:val="22"/>
              </w:rPr>
            </w:pPr>
          </w:p>
          <w:p w14:paraId="25265C5E">
            <w:pPr>
              <w:ind w:firstLine="0" w:firstLineChars="0"/>
              <w:rPr>
                <w:rFonts w:ascii="宋体" w:hAnsi="宋体" w:eastAsia="宋体" w:cs="宋体"/>
                <w:color w:val="000000"/>
                <w:kern w:val="0"/>
                <w:sz w:val="22"/>
              </w:rPr>
            </w:pPr>
          </w:p>
          <w:p w14:paraId="58222272">
            <w:pPr>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完成项目数量</w:t>
            </w:r>
          </w:p>
        </w:tc>
        <w:tc>
          <w:tcPr>
            <w:tcW w:w="2474" w:type="dxa"/>
            <w:tcBorders>
              <w:tl2br w:val="nil"/>
              <w:tr2bl w:val="nil"/>
            </w:tcBorders>
            <w:shd w:val="clear" w:color="000000" w:fill="FFFFFF"/>
            <w:vAlign w:val="center"/>
          </w:tcPr>
          <w:p w14:paraId="32BE3886">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项目实施的类别数量，用以反映和考核项目产出的类别数量。</w:t>
            </w:r>
          </w:p>
          <w:p w14:paraId="30906008">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项目实施的实际产出数与计划产出数的比率，用以反映和考核项目产出数量目标的实现程度。</w:t>
            </w:r>
          </w:p>
        </w:tc>
        <w:tc>
          <w:tcPr>
            <w:tcW w:w="7341" w:type="dxa"/>
            <w:tcBorders>
              <w:tl2br w:val="nil"/>
              <w:tr2bl w:val="nil"/>
            </w:tcBorders>
            <w:shd w:val="clear" w:color="000000" w:fill="FFFFFF"/>
            <w:vAlign w:val="center"/>
          </w:tcPr>
          <w:p w14:paraId="0CA7CF80">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项目产出类别数：项目绩效目标确定的在一定时期（本年度或项目期）内计划产出的项目类别数量。</w:t>
            </w:r>
          </w:p>
          <w:p w14:paraId="2DC0ECF9">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实际产出数:一定时期（本年度或项目期）内项目实际产出的产品或提供的服务数量。</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计划产出数:项目绩效目标确定的在一定时期（本年度或项目期）内计划产出的产品或提供的服务数量。</w:t>
            </w:r>
          </w:p>
        </w:tc>
      </w:tr>
      <w:tr w14:paraId="349E8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155" w:type="dxa"/>
            <w:vMerge w:val="restart"/>
            <w:tcBorders>
              <w:tl2br w:val="nil"/>
              <w:tr2bl w:val="nil"/>
            </w:tcBorders>
            <w:shd w:val="clear" w:color="auto" w:fill="FFFFFF"/>
            <w:vAlign w:val="center"/>
          </w:tcPr>
          <w:p w14:paraId="596BAF82">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w:t>
            </w:r>
          </w:p>
        </w:tc>
        <w:tc>
          <w:tcPr>
            <w:tcW w:w="1199" w:type="dxa"/>
            <w:tcBorders>
              <w:tl2br w:val="nil"/>
              <w:tr2bl w:val="nil"/>
            </w:tcBorders>
            <w:shd w:val="clear" w:color="auto" w:fill="FFFFFF"/>
            <w:vAlign w:val="center"/>
          </w:tcPr>
          <w:p w14:paraId="133903F1">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产出质量</w:t>
            </w:r>
          </w:p>
        </w:tc>
        <w:tc>
          <w:tcPr>
            <w:tcW w:w="1726" w:type="dxa"/>
            <w:tcBorders>
              <w:tl2br w:val="nil"/>
              <w:tr2bl w:val="nil"/>
            </w:tcBorders>
            <w:shd w:val="clear" w:color="auto" w:fill="FFFFFF"/>
            <w:vAlign w:val="center"/>
          </w:tcPr>
          <w:p w14:paraId="0D58F5BE">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工程验收合格率</w:t>
            </w:r>
          </w:p>
        </w:tc>
        <w:tc>
          <w:tcPr>
            <w:tcW w:w="2474" w:type="dxa"/>
            <w:tcBorders>
              <w:tl2br w:val="nil"/>
              <w:tr2bl w:val="nil"/>
            </w:tcBorders>
            <w:shd w:val="clear" w:color="000000" w:fill="FFFFFF"/>
            <w:vAlign w:val="center"/>
          </w:tcPr>
          <w:p w14:paraId="28D82E8D">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项目完成的质量达标产出数与实际产出数的比率，用以反映和考核项目产出质量目标的实现程度。</w:t>
            </w:r>
          </w:p>
        </w:tc>
        <w:tc>
          <w:tcPr>
            <w:tcW w:w="7341" w:type="dxa"/>
            <w:tcBorders>
              <w:tl2br w:val="nil"/>
              <w:tr2bl w:val="nil"/>
            </w:tcBorders>
            <w:shd w:val="clear" w:color="000000" w:fill="FFFFFF"/>
            <w:vAlign w:val="center"/>
          </w:tcPr>
          <w:p w14:paraId="087E975D">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工程验收合格率=（验收合格产出数/实际产出数）×100%。</w:t>
            </w:r>
          </w:p>
          <w:p w14:paraId="7B8190D7">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16024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4" w:hRule="atLeast"/>
          <w:jc w:val="center"/>
        </w:trPr>
        <w:tc>
          <w:tcPr>
            <w:tcW w:w="1155" w:type="dxa"/>
            <w:vMerge w:val="continue"/>
            <w:tcBorders>
              <w:tl2br w:val="nil"/>
              <w:tr2bl w:val="nil"/>
            </w:tcBorders>
            <w:shd w:val="clear" w:color="auto" w:fill="FFFFFF"/>
            <w:vAlign w:val="center"/>
          </w:tcPr>
          <w:p w14:paraId="3FEBBB84">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14:paraId="51857CEF">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产出时效</w:t>
            </w:r>
          </w:p>
        </w:tc>
        <w:tc>
          <w:tcPr>
            <w:tcW w:w="1726" w:type="dxa"/>
            <w:tcBorders>
              <w:tl2br w:val="nil"/>
              <w:tr2bl w:val="nil"/>
            </w:tcBorders>
            <w:shd w:val="clear" w:color="auto" w:fill="FFFFFF"/>
            <w:vAlign w:val="center"/>
          </w:tcPr>
          <w:p w14:paraId="0916CFB1">
            <w:pPr>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建设工程完工及时率</w:t>
            </w:r>
          </w:p>
        </w:tc>
        <w:tc>
          <w:tcPr>
            <w:tcW w:w="2474" w:type="dxa"/>
            <w:tcBorders>
              <w:tl2br w:val="nil"/>
              <w:tr2bl w:val="nil"/>
            </w:tcBorders>
            <w:shd w:val="clear" w:color="000000" w:fill="FFFFFF"/>
            <w:vAlign w:val="center"/>
          </w:tcPr>
          <w:p w14:paraId="4B2A7E3C">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14:paraId="3839A1D5">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实际完成时间：项目实施单位完成该项目实际所耗用的时间。</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计划完成时间：按照项目实施计划或相关规定完成该项目所需的时间。</w:t>
            </w:r>
          </w:p>
        </w:tc>
      </w:tr>
      <w:tr w14:paraId="1642F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5" w:hRule="atLeast"/>
          <w:jc w:val="center"/>
        </w:trPr>
        <w:tc>
          <w:tcPr>
            <w:tcW w:w="1155" w:type="dxa"/>
            <w:vMerge w:val="continue"/>
            <w:tcBorders>
              <w:tl2br w:val="nil"/>
              <w:tr2bl w:val="nil"/>
            </w:tcBorders>
            <w:shd w:val="clear" w:color="auto" w:fill="FFFFFF"/>
            <w:vAlign w:val="center"/>
          </w:tcPr>
          <w:p w14:paraId="6F76D2BB">
            <w:pPr>
              <w:widowControl/>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14:paraId="3C7F3324">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产出成本</w:t>
            </w:r>
          </w:p>
        </w:tc>
        <w:tc>
          <w:tcPr>
            <w:tcW w:w="1726" w:type="dxa"/>
            <w:tcBorders>
              <w:bottom w:val="single" w:color="auto" w:sz="4" w:space="0"/>
              <w:tl2br w:val="nil"/>
              <w:tr2bl w:val="nil"/>
            </w:tcBorders>
            <w:shd w:val="clear" w:color="auto" w:fill="FFFFFF"/>
            <w:vAlign w:val="center"/>
          </w:tcPr>
          <w:p w14:paraId="76D9B26F">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成本控制率</w:t>
            </w:r>
          </w:p>
        </w:tc>
        <w:tc>
          <w:tcPr>
            <w:tcW w:w="2474" w:type="dxa"/>
            <w:tcBorders>
              <w:tl2br w:val="nil"/>
              <w:tr2bl w:val="nil"/>
            </w:tcBorders>
            <w:shd w:val="clear" w:color="000000" w:fill="FFFFFF"/>
            <w:vAlign w:val="center"/>
          </w:tcPr>
          <w:p w14:paraId="189F3BAC">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完成项目计划工作目标的实际节约成本与计划成本的比率，用以反映和考核项目的成本节约程度。</w:t>
            </w:r>
          </w:p>
        </w:tc>
        <w:tc>
          <w:tcPr>
            <w:tcW w:w="7341" w:type="dxa"/>
            <w:tcBorders>
              <w:tl2br w:val="nil"/>
              <w:tr2bl w:val="nil"/>
            </w:tcBorders>
            <w:shd w:val="clear" w:color="000000" w:fill="FFFFFF"/>
            <w:vAlign w:val="center"/>
          </w:tcPr>
          <w:p w14:paraId="2FC0E5F7">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成本节约率=[（计划成本-实际成本）/计划成本]×100%。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实际成本：项目实施单位如期、保质、保量完成既定工作目标实际所耗费的支出。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计划成本：项目实施单位为完成工作目标计划安排的支出，一般以项目预算为参考。</w:t>
            </w:r>
          </w:p>
        </w:tc>
      </w:tr>
      <w:tr w14:paraId="76A6A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tcBorders>
              <w:tl2br w:val="nil"/>
              <w:tr2bl w:val="nil"/>
            </w:tcBorders>
            <w:shd w:val="clear" w:color="auto" w:fill="FFFFFF"/>
            <w:vAlign w:val="center"/>
          </w:tcPr>
          <w:p w14:paraId="22D28866">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效益</w:t>
            </w:r>
          </w:p>
        </w:tc>
        <w:tc>
          <w:tcPr>
            <w:tcW w:w="1199" w:type="dxa"/>
            <w:tcBorders>
              <w:tl2br w:val="nil"/>
              <w:tr2bl w:val="nil"/>
            </w:tcBorders>
            <w:shd w:val="clear" w:color="auto" w:fill="FFFFFF"/>
            <w:vAlign w:val="center"/>
          </w:tcPr>
          <w:p w14:paraId="01C7704C">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1726" w:type="dxa"/>
            <w:tcBorders>
              <w:tl2br w:val="nil"/>
              <w:tr2bl w:val="nil"/>
            </w:tcBorders>
            <w:shd w:val="clear" w:color="auto" w:fill="FFFFFF"/>
            <w:vAlign w:val="center"/>
          </w:tcPr>
          <w:p w14:paraId="5B2BD2C6">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有效改善办学条件、满足学生及家长对教育资源的需求</w:t>
            </w:r>
          </w:p>
        </w:tc>
        <w:tc>
          <w:tcPr>
            <w:tcW w:w="2474" w:type="dxa"/>
            <w:tcBorders>
              <w:tl2br w:val="nil"/>
              <w:tr2bl w:val="nil"/>
            </w:tcBorders>
            <w:shd w:val="clear" w:color="auto" w:fill="FFFFFF"/>
            <w:vAlign w:val="center"/>
          </w:tcPr>
          <w:p w14:paraId="3B41D47E">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项目实施所产生的效益。</w:t>
            </w:r>
          </w:p>
        </w:tc>
        <w:tc>
          <w:tcPr>
            <w:tcW w:w="7341" w:type="dxa"/>
            <w:tcBorders>
              <w:tl2br w:val="nil"/>
              <w:tr2bl w:val="nil"/>
            </w:tcBorders>
            <w:shd w:val="clear" w:color="auto" w:fill="FFFFFF"/>
            <w:vAlign w:val="center"/>
          </w:tcPr>
          <w:p w14:paraId="6781B917">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项目实施所产生的社会效益、经济效益、生态效益、可持续影响等。可根据项目实际情况有选择地设置和细化。</w:t>
            </w:r>
          </w:p>
        </w:tc>
      </w:tr>
      <w:tr w14:paraId="7EBCA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14:paraId="273ADBE3">
            <w:pPr>
              <w:widowControl/>
              <w:ind w:firstLine="0" w:firstLineChars="0"/>
              <w:jc w:val="center"/>
              <w:rPr>
                <w:rFonts w:ascii="宋体" w:hAnsi="宋体" w:eastAsia="宋体" w:cs="宋体"/>
                <w:color w:val="000000"/>
                <w:kern w:val="0"/>
                <w:sz w:val="22"/>
              </w:rPr>
            </w:pPr>
            <w:r>
              <w:rPr>
                <w:rFonts w:ascii="宋体" w:hAnsi="宋体" w:eastAsia="宋体" w:cs="宋体"/>
                <w:color w:val="000000"/>
                <w:kern w:val="0"/>
                <w:sz w:val="22"/>
              </w:rPr>
              <w:t>满意度指标完成情况分析</w:t>
            </w:r>
          </w:p>
        </w:tc>
        <w:tc>
          <w:tcPr>
            <w:tcW w:w="1199" w:type="dxa"/>
            <w:tcBorders>
              <w:tl2br w:val="nil"/>
              <w:tr2bl w:val="nil"/>
            </w:tcBorders>
            <w:shd w:val="clear" w:color="auto" w:fill="FFFFFF"/>
            <w:vAlign w:val="center"/>
          </w:tcPr>
          <w:p w14:paraId="18125C73">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满意度指标</w:t>
            </w:r>
          </w:p>
        </w:tc>
        <w:tc>
          <w:tcPr>
            <w:tcW w:w="1726" w:type="dxa"/>
            <w:tcBorders>
              <w:tl2br w:val="nil"/>
              <w:tr2bl w:val="nil"/>
            </w:tcBorders>
            <w:shd w:val="clear" w:color="auto" w:fill="FFFFFF"/>
            <w:vAlign w:val="center"/>
          </w:tcPr>
          <w:p w14:paraId="1371581C">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学生、教师对项目的整体满意度</w:t>
            </w:r>
          </w:p>
        </w:tc>
        <w:tc>
          <w:tcPr>
            <w:tcW w:w="2474" w:type="dxa"/>
            <w:tcBorders>
              <w:tl2br w:val="nil"/>
              <w:tr2bl w:val="nil"/>
            </w:tcBorders>
            <w:shd w:val="clear" w:color="000000" w:fill="FFFFFF"/>
            <w:vAlign w:val="center"/>
          </w:tcPr>
          <w:p w14:paraId="7E4DE3B7">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社会公众或服务对象对项目实施效果的满意程度。</w:t>
            </w:r>
          </w:p>
        </w:tc>
        <w:tc>
          <w:tcPr>
            <w:tcW w:w="7341" w:type="dxa"/>
            <w:tcBorders>
              <w:tl2br w:val="nil"/>
              <w:tr2bl w:val="nil"/>
            </w:tcBorders>
            <w:shd w:val="clear" w:color="000000" w:fill="FFFFFF"/>
            <w:vAlign w:val="center"/>
          </w:tcPr>
          <w:p w14:paraId="0D25D081">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社会公众或服务对象是指因该项目实施而受到影响的部门（单位）、群体或个人。一般采取社会调查的方式。</w:t>
            </w:r>
          </w:p>
        </w:tc>
      </w:tr>
    </w:tbl>
    <w:p w14:paraId="5A63A39A">
      <w:pPr>
        <w:ind w:firstLine="0" w:firstLineChars="0"/>
        <w:jc w:val="center"/>
        <w:rPr>
          <w:rFonts w:ascii="仿宋_GB2312"/>
        </w:rPr>
      </w:pPr>
    </w:p>
    <w:p w14:paraId="42239DDE">
      <w:pPr>
        <w:ind w:firstLine="0" w:firstLineChars="0"/>
        <w:jc w:val="center"/>
        <w:rPr>
          <w:rFonts w:ascii="仿宋_GB2312"/>
        </w:rPr>
      </w:pPr>
    </w:p>
    <w:p w14:paraId="2FB23265">
      <w:pPr>
        <w:ind w:firstLine="0" w:firstLineChars="0"/>
        <w:jc w:val="center"/>
        <w:rPr>
          <w:rFonts w:ascii="仿宋_GB2312"/>
        </w:rPr>
      </w:pPr>
    </w:p>
    <w:p w14:paraId="674E31B4">
      <w:pPr>
        <w:ind w:firstLine="0" w:firstLineChars="0"/>
        <w:jc w:val="center"/>
        <w:rPr>
          <w:rFonts w:ascii="仿宋_GB2312"/>
        </w:rPr>
      </w:pPr>
    </w:p>
    <w:p w14:paraId="499E7004">
      <w:pPr>
        <w:ind w:firstLine="0" w:firstLineChars="0"/>
        <w:jc w:val="center"/>
        <w:rPr>
          <w:rFonts w:ascii="仿宋_GB2312"/>
        </w:rPr>
      </w:pPr>
    </w:p>
    <w:p w14:paraId="2FDE5BF8">
      <w:pPr>
        <w:ind w:firstLine="0" w:firstLineChars="0"/>
        <w:jc w:val="center"/>
        <w:rPr>
          <w:rFonts w:ascii="仿宋_GB231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14:paraId="75857CF2">
      <w:pPr>
        <w:pStyle w:val="4"/>
        <w:ind w:firstLine="643"/>
      </w:pPr>
      <w:bookmarkStart w:id="20" w:name="_Toc165277234"/>
      <w:bookmarkStart w:id="21" w:name="_Hlk67586038"/>
      <w:r>
        <w:t>3.</w:t>
      </w:r>
      <w:r>
        <w:rPr>
          <w:rFonts w:hint="eastAsia"/>
        </w:rPr>
        <w:t>评价方法</w:t>
      </w:r>
      <w:bookmarkEnd w:id="20"/>
    </w:p>
    <w:bookmarkEnd w:id="21"/>
    <w:p w14:paraId="254C0155">
      <w:pPr>
        <w:spacing w:line="360" w:lineRule="auto"/>
        <w:ind w:firstLine="560"/>
        <w:rPr>
          <w:rFonts w:ascii="仿宋_GB2312" w:hAnsi="仿宋"/>
          <w:szCs w:val="28"/>
        </w:rPr>
      </w:pPr>
      <w:r>
        <w:rPr>
          <w:rFonts w:hint="eastAsia" w:ascii="仿宋_GB2312" w:hAnsi="仿宋"/>
          <w:szCs w:val="28"/>
        </w:rPr>
        <w:t>《关于印发&lt;项目支出绩效评价管理办法&gt;的通知》（财预〔2020〕10号）文件指出部门评价的方法主要包括成本效益分析法、比较法、因素分析法、最低成本法、公众评判法、标杆管理法等。</w:t>
      </w:r>
    </w:p>
    <w:p w14:paraId="0A0B9B5B">
      <w:pPr>
        <w:spacing w:line="360" w:lineRule="auto"/>
        <w:ind w:firstLine="560"/>
        <w:rPr>
          <w:rFonts w:ascii="仿宋_GB2312" w:hAnsi="仿宋"/>
          <w:szCs w:val="28"/>
        </w:rPr>
      </w:pPr>
      <w:r>
        <w:rPr>
          <w:rFonts w:hint="eastAsia" w:ascii="仿宋_GB2312" w:hAnsi="仿宋"/>
          <w:szCs w:val="28"/>
        </w:rPr>
        <w:t>（1）成本效益分析法。是指将投入与产出、效益进行关联性分析的方法。</w:t>
      </w:r>
    </w:p>
    <w:p w14:paraId="7A539772">
      <w:pPr>
        <w:spacing w:line="360" w:lineRule="auto"/>
        <w:ind w:firstLine="560"/>
        <w:rPr>
          <w:rFonts w:ascii="仿宋_GB2312" w:hAnsi="仿宋"/>
          <w:szCs w:val="28"/>
        </w:rPr>
      </w:pPr>
      <w:r>
        <w:rPr>
          <w:rFonts w:hint="eastAsia" w:ascii="仿宋_GB2312" w:hAnsi="仿宋"/>
          <w:szCs w:val="28"/>
        </w:rPr>
        <w:t>（2）比较法。是指将实施情况与绩效目标、历史情况、不同部门和地区同类支出情况进行比较的方法。</w:t>
      </w:r>
    </w:p>
    <w:p w14:paraId="73E5E2C0">
      <w:pPr>
        <w:spacing w:line="360" w:lineRule="auto"/>
        <w:ind w:firstLine="560"/>
        <w:rPr>
          <w:rFonts w:ascii="仿宋_GB2312" w:hAnsi="仿宋"/>
          <w:szCs w:val="28"/>
        </w:rPr>
      </w:pPr>
      <w:r>
        <w:rPr>
          <w:rFonts w:hint="eastAsia" w:ascii="仿宋_GB2312" w:hAnsi="仿宋"/>
          <w:szCs w:val="28"/>
        </w:rPr>
        <w:t>（3）因素分析法。是指综合分析影响绩效目标实现、实施效果的内外部因素的方法。</w:t>
      </w:r>
    </w:p>
    <w:p w14:paraId="5538E725">
      <w:pPr>
        <w:spacing w:line="360" w:lineRule="auto"/>
        <w:ind w:firstLine="560"/>
        <w:rPr>
          <w:rFonts w:ascii="仿宋_GB2312" w:hAnsi="仿宋"/>
          <w:szCs w:val="28"/>
        </w:rPr>
      </w:pPr>
      <w:r>
        <w:rPr>
          <w:rFonts w:hint="eastAsia" w:ascii="仿宋_GB2312" w:hAnsi="仿宋"/>
          <w:szCs w:val="28"/>
        </w:rPr>
        <w:t>（4）最低成本法。是指在绩效目标确定的前提下，成本最小者为优的方法。</w:t>
      </w:r>
    </w:p>
    <w:p w14:paraId="030858FA">
      <w:pPr>
        <w:spacing w:line="360" w:lineRule="auto"/>
        <w:ind w:firstLine="560"/>
        <w:rPr>
          <w:rFonts w:ascii="仿宋_GB2312" w:hAnsi="仿宋"/>
          <w:szCs w:val="28"/>
        </w:rPr>
      </w:pPr>
      <w:r>
        <w:rPr>
          <w:rFonts w:hint="eastAsia" w:ascii="仿宋_GB2312" w:hAnsi="仿宋"/>
          <w:szCs w:val="28"/>
        </w:rPr>
        <w:t>（5）公众评判法。是指通过专家评估、公众问卷及抽样调查等方式进行评判的方法。</w:t>
      </w:r>
    </w:p>
    <w:p w14:paraId="724A1CD3">
      <w:pPr>
        <w:spacing w:line="360" w:lineRule="auto"/>
        <w:ind w:firstLine="560"/>
        <w:rPr>
          <w:rFonts w:ascii="仿宋_GB2312" w:hAnsi="仿宋"/>
          <w:szCs w:val="28"/>
        </w:rPr>
      </w:pPr>
      <w:r>
        <w:rPr>
          <w:rFonts w:hint="eastAsia" w:ascii="仿宋_GB2312" w:hAnsi="仿宋"/>
          <w:szCs w:val="28"/>
        </w:rPr>
        <w:t>（6）标杆管理法。是指以国内外同行业中较高的绩效水平为标杆进行评判的方法。</w:t>
      </w:r>
    </w:p>
    <w:p w14:paraId="0BBBC438">
      <w:pPr>
        <w:spacing w:line="360" w:lineRule="auto"/>
        <w:ind w:firstLine="560"/>
        <w:rPr>
          <w:rFonts w:ascii="仿宋_GB2312" w:hAnsi="仿宋"/>
          <w:szCs w:val="28"/>
        </w:rPr>
      </w:pPr>
      <w:r>
        <w:rPr>
          <w:rFonts w:hint="eastAsia" w:ascii="仿宋_GB2312" w:hAnsi="仿宋"/>
          <w:szCs w:val="28"/>
        </w:rPr>
        <w:t>（7）其他评价方法。</w:t>
      </w:r>
    </w:p>
    <w:p w14:paraId="6A9968BF">
      <w:pPr>
        <w:spacing w:line="360" w:lineRule="auto"/>
        <w:ind w:firstLine="560"/>
        <w:rPr>
          <w:rFonts w:ascii="仿宋_GB2312" w:hAnsi="仿宋"/>
          <w:szCs w:val="28"/>
        </w:rPr>
      </w:pPr>
      <w:bookmarkStart w:id="22" w:name="_Toc165277235"/>
      <w:r>
        <w:rPr>
          <w:rFonts w:hint="eastAsia" w:ascii="仿宋_GB2312" w:hAnsi="仿宋"/>
          <w:szCs w:val="28"/>
        </w:rPr>
        <w:t>根据市第二十三中学新校区建设项目的特点，本次评价主要采用比较法</w:t>
      </w:r>
      <w:r>
        <w:rPr>
          <w:rFonts w:ascii="仿宋_GB2312" w:hAnsi="仿宋"/>
          <w:szCs w:val="28"/>
        </w:rPr>
        <w:t>和</w:t>
      </w:r>
      <w:r>
        <w:rPr>
          <w:rFonts w:hint="eastAsia" w:ascii="仿宋_GB2312" w:hAnsi="仿宋"/>
          <w:szCs w:val="28"/>
        </w:rPr>
        <w:t>公众评判法，对项目总预算和明细预算的内容、标准、计划是否经济合理进行深入分析，以考察实际产出和效益是否达到预期。</w:t>
      </w:r>
    </w:p>
    <w:p w14:paraId="60B99DF5">
      <w:pPr>
        <w:pStyle w:val="4"/>
        <w:ind w:firstLine="643"/>
      </w:pPr>
      <w:r>
        <w:t>4.</w:t>
      </w:r>
      <w:r>
        <w:rPr>
          <w:rFonts w:hint="eastAsia"/>
        </w:rPr>
        <w:t>评价标准</w:t>
      </w:r>
      <w:bookmarkEnd w:id="22"/>
    </w:p>
    <w:p w14:paraId="3D058ED7">
      <w:pPr>
        <w:spacing w:line="360" w:lineRule="auto"/>
        <w:ind w:firstLine="560"/>
        <w:rPr>
          <w:rFonts w:ascii="仿宋_GB2312" w:hAnsi="仿宋"/>
          <w:szCs w:val="28"/>
        </w:rPr>
      </w:pPr>
      <w:r>
        <w:rPr>
          <w:rFonts w:hint="eastAsia" w:ascii="仿宋_GB2312" w:hAnsi="仿宋"/>
          <w:szCs w:val="28"/>
        </w:rPr>
        <w:t>绩效评价标准主要包括计划标准、行业标准、历史标准等，用于对绩效指标完成情况进行比较。</w:t>
      </w:r>
    </w:p>
    <w:p w14:paraId="194596A4">
      <w:pPr>
        <w:spacing w:line="360" w:lineRule="auto"/>
        <w:ind w:firstLine="560"/>
        <w:rPr>
          <w:rFonts w:ascii="仿宋_GB2312" w:hAnsi="仿宋"/>
          <w:szCs w:val="28"/>
        </w:rPr>
      </w:pPr>
      <w:r>
        <w:rPr>
          <w:rFonts w:hint="eastAsia" w:ascii="仿宋_GB2312" w:hAnsi="仿宋"/>
          <w:szCs w:val="28"/>
        </w:rPr>
        <w:t>（1）计划标准。指以预先制定的目标、计划、预算、定额等作为评价标准。</w:t>
      </w:r>
    </w:p>
    <w:p w14:paraId="1DB0BE76">
      <w:pPr>
        <w:spacing w:line="360" w:lineRule="auto"/>
        <w:ind w:firstLine="560"/>
        <w:rPr>
          <w:rFonts w:ascii="仿宋_GB2312" w:hAnsi="仿宋"/>
          <w:szCs w:val="28"/>
        </w:rPr>
      </w:pPr>
      <w:r>
        <w:rPr>
          <w:rFonts w:hint="eastAsia" w:ascii="仿宋_GB2312" w:hAnsi="仿宋"/>
          <w:szCs w:val="28"/>
        </w:rPr>
        <w:t>（2）行业标准。指参照国家公布的行业指标数据制定的评价标准。</w:t>
      </w:r>
    </w:p>
    <w:p w14:paraId="6BDE1DEA">
      <w:pPr>
        <w:spacing w:line="360" w:lineRule="auto"/>
        <w:ind w:firstLine="560"/>
        <w:rPr>
          <w:rFonts w:ascii="仿宋_GB2312" w:hAnsi="仿宋"/>
          <w:szCs w:val="28"/>
        </w:rPr>
      </w:pPr>
      <w:r>
        <w:rPr>
          <w:rFonts w:hint="eastAsia" w:ascii="仿宋_GB2312" w:hAnsi="仿宋"/>
          <w:szCs w:val="28"/>
        </w:rPr>
        <w:t>（3）历史标准。指参照历史数据制定的评价标准，为体现绩效改进的原则，在可实现的条件下应当确定相对较高的评价标准。</w:t>
      </w:r>
    </w:p>
    <w:p w14:paraId="40DCFC74">
      <w:pPr>
        <w:spacing w:line="360" w:lineRule="auto"/>
        <w:ind w:firstLine="560"/>
        <w:rPr>
          <w:rFonts w:ascii="仿宋_GB2312" w:hAnsi="仿宋"/>
          <w:szCs w:val="28"/>
        </w:rPr>
      </w:pPr>
      <w:r>
        <w:rPr>
          <w:rFonts w:hint="eastAsia" w:ascii="仿宋_GB2312" w:hAnsi="仿宋"/>
          <w:szCs w:val="28"/>
        </w:rPr>
        <w:t>在上述评价标准的基础上，本次评价依据以下文件为重要指导和准绳：</w:t>
      </w:r>
    </w:p>
    <w:p w14:paraId="0D0473D0">
      <w:pPr>
        <w:spacing w:line="360" w:lineRule="auto"/>
        <w:ind w:firstLine="560"/>
        <w:rPr>
          <w:rFonts w:ascii="仿宋_GB2312" w:hAnsi="仿宋"/>
          <w:szCs w:val="28"/>
        </w:rPr>
      </w:pPr>
      <w:r>
        <w:rPr>
          <w:rFonts w:hint="eastAsia" w:ascii="仿宋_GB2312" w:hAnsi="仿宋"/>
          <w:szCs w:val="28"/>
        </w:rPr>
        <w:t>·《中共中央国务院关于全面实施预算绩效管理的意见》（中发〔2018〕34号）</w:t>
      </w:r>
    </w:p>
    <w:p w14:paraId="0547CF36">
      <w:pPr>
        <w:spacing w:line="360" w:lineRule="auto"/>
        <w:ind w:firstLine="560"/>
        <w:rPr>
          <w:rFonts w:ascii="仿宋_GB2312" w:hAnsi="仿宋"/>
          <w:szCs w:val="28"/>
        </w:rPr>
      </w:pPr>
      <w:r>
        <w:rPr>
          <w:rFonts w:hint="eastAsia" w:ascii="仿宋_GB2312" w:hAnsi="仿宋"/>
          <w:szCs w:val="28"/>
        </w:rPr>
        <w:t>·《关于印发&lt;乌鲁木齐市本级部门预算绩效目标管理暂行办法&gt;的通知》（乌财预〔2018〕56号）</w:t>
      </w:r>
    </w:p>
    <w:p w14:paraId="05334EF6">
      <w:pPr>
        <w:spacing w:line="360" w:lineRule="auto"/>
        <w:ind w:firstLine="560" w:firstLineChars="0"/>
        <w:rPr>
          <w:rFonts w:ascii="仿宋_GB2312" w:hAnsi="仿宋"/>
          <w:szCs w:val="28"/>
        </w:rPr>
      </w:pPr>
      <w:r>
        <w:rPr>
          <w:rFonts w:hint="eastAsia" w:ascii="仿宋_GB2312" w:hAnsi="仿宋"/>
          <w:szCs w:val="28"/>
        </w:rPr>
        <w:t>·《关于做好2019年部门预算项目支出绩效目标管理有关事宜的通知》（乌财预〔2018〕76号）</w:t>
      </w:r>
    </w:p>
    <w:p w14:paraId="315D9ADA">
      <w:pPr>
        <w:spacing w:line="360" w:lineRule="auto"/>
        <w:ind w:firstLine="560"/>
        <w:rPr>
          <w:rFonts w:ascii="仿宋_GB2312" w:hAnsi="仿宋"/>
          <w:szCs w:val="28"/>
        </w:rPr>
      </w:pPr>
      <w:r>
        <w:rPr>
          <w:rFonts w:hint="eastAsia" w:ascii="仿宋_GB2312" w:hAnsi="仿宋"/>
          <w:szCs w:val="28"/>
        </w:rPr>
        <w:t>·《项目支出绩效评价管理办法》（财预〔2020〕10号）</w:t>
      </w:r>
    </w:p>
    <w:p w14:paraId="3BB9CD47">
      <w:pPr>
        <w:spacing w:line="360" w:lineRule="auto"/>
        <w:ind w:firstLine="560"/>
        <w:rPr>
          <w:rFonts w:ascii="仿宋_GB2312"/>
          <w:bCs/>
        </w:rPr>
      </w:pPr>
      <w:bookmarkStart w:id="23" w:name="_Toc67911607"/>
      <w:bookmarkStart w:id="24" w:name="_Toc165277236"/>
      <w:r>
        <w:rPr>
          <w:rFonts w:hint="eastAsia" w:ascii="仿宋_GB2312" w:hAnsi="仿宋"/>
          <w:szCs w:val="28"/>
        </w:rPr>
        <w:t>·</w:t>
      </w:r>
      <w:r>
        <w:rPr>
          <w:rFonts w:hint="eastAsia" w:ascii="仿宋_GB2312"/>
          <w:bCs/>
        </w:rPr>
        <w:t>《关于对乌鲁木齐市第二十三中学新校区建设项目立项的批复》（乌发改函【2017】822号）</w:t>
      </w:r>
    </w:p>
    <w:p w14:paraId="66171FD9">
      <w:pPr>
        <w:spacing w:line="360" w:lineRule="auto"/>
        <w:ind w:firstLine="560" w:firstLineChars="0"/>
        <w:rPr>
          <w:rFonts w:ascii="仿宋_GB2312"/>
          <w:bCs/>
        </w:rPr>
      </w:pPr>
      <w:r>
        <w:rPr>
          <w:rFonts w:hint="eastAsia" w:ascii="仿宋_GB2312"/>
          <w:bCs/>
        </w:rPr>
        <w:t>《乌鲁木齐市第二十三中学内部控制管理手册》</w:t>
      </w:r>
    </w:p>
    <w:p w14:paraId="6C4ED062">
      <w:pPr>
        <w:spacing w:line="360" w:lineRule="auto"/>
        <w:ind w:firstLine="560" w:firstLineChars="0"/>
        <w:rPr>
          <w:rFonts w:ascii="仿宋" w:hAnsi="仿宋" w:eastAsia="仿宋" w:cstheme="majorBidi"/>
          <w:b/>
          <w:bCs/>
          <w:sz w:val="32"/>
          <w:szCs w:val="32"/>
          <w:lang w:bidi="en-US"/>
        </w:rPr>
      </w:pPr>
      <w:r>
        <w:rPr>
          <w:rFonts w:hint="eastAsia" w:ascii="仿宋" w:hAnsi="仿宋" w:eastAsia="仿宋" w:cstheme="majorBidi"/>
          <w:b/>
          <w:bCs/>
          <w:sz w:val="32"/>
          <w:szCs w:val="32"/>
          <w:lang w:bidi="en-US"/>
        </w:rPr>
        <w:t>（三）绩效评价工作过程</w:t>
      </w:r>
      <w:bookmarkEnd w:id="23"/>
      <w:bookmarkEnd w:id="24"/>
    </w:p>
    <w:p w14:paraId="7BAD651D">
      <w:pPr>
        <w:spacing w:line="360" w:lineRule="auto"/>
        <w:ind w:firstLine="560"/>
        <w:rPr>
          <w:rFonts w:ascii="仿宋_GB2312" w:hAnsi="仿宋"/>
          <w:szCs w:val="28"/>
        </w:rPr>
      </w:pPr>
      <w:r>
        <w:rPr>
          <w:rFonts w:hint="eastAsia" w:ascii="仿宋_GB2312" w:hAnsi="仿宋"/>
          <w:szCs w:val="28"/>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1FE5F852">
      <w:pPr>
        <w:pStyle w:val="2"/>
        <w:ind w:firstLine="0" w:firstLineChars="0"/>
        <w:jc w:val="left"/>
        <w:rPr>
          <w:rFonts w:ascii="仿宋" w:hAnsi="仿宋" w:eastAsia="仿宋"/>
          <w:sz w:val="36"/>
          <w:szCs w:val="36"/>
          <w:lang w:bidi="en-US"/>
        </w:rPr>
      </w:pPr>
      <w:bookmarkStart w:id="25" w:name="_Toc67911608"/>
      <w:bookmarkStart w:id="26" w:name="_Toc165277237"/>
      <w:r>
        <w:rPr>
          <w:rFonts w:hint="eastAsia" w:ascii="仿宋" w:hAnsi="仿宋" w:eastAsia="仿宋"/>
          <w:sz w:val="36"/>
          <w:szCs w:val="36"/>
          <w:lang w:bidi="en-US"/>
        </w:rPr>
        <w:t>三、综合评价情况及评价结论</w:t>
      </w:r>
      <w:bookmarkEnd w:id="25"/>
      <w:bookmarkEnd w:id="26"/>
    </w:p>
    <w:p w14:paraId="04AFFC93">
      <w:pPr>
        <w:pStyle w:val="3"/>
        <w:ind w:firstLine="643"/>
        <w:jc w:val="left"/>
        <w:rPr>
          <w:rFonts w:ascii="仿宋" w:hAnsi="仿宋" w:eastAsia="仿宋"/>
          <w:lang w:bidi="en-US"/>
        </w:rPr>
      </w:pPr>
      <w:bookmarkStart w:id="27" w:name="_Toc165277238"/>
      <w:bookmarkStart w:id="28" w:name="_Toc67911609"/>
      <w:r>
        <w:rPr>
          <w:rFonts w:hint="eastAsia" w:ascii="仿宋" w:hAnsi="仿宋" w:eastAsia="仿宋"/>
          <w:lang w:bidi="en-US"/>
        </w:rPr>
        <w:t>（一）评价结论</w:t>
      </w:r>
      <w:bookmarkEnd w:id="27"/>
      <w:bookmarkEnd w:id="28"/>
    </w:p>
    <w:p w14:paraId="12CFBA39">
      <w:pPr>
        <w:pStyle w:val="3"/>
        <w:ind w:firstLine="640"/>
        <w:jc w:val="left"/>
        <w:rPr>
          <w:rFonts w:ascii="仿宋" w:hAnsi="仿宋" w:eastAsia="仿宋"/>
          <w:lang w:bidi="en-US"/>
        </w:rPr>
      </w:pPr>
      <w:r>
        <w:rPr>
          <w:rFonts w:hint="eastAsia" w:ascii="仿宋_GB2312" w:hAnsi="仿宋" w:eastAsia="仿宋_GB2312" w:cs="黑体"/>
          <w:b w:val="0"/>
          <w:bCs w:val="0"/>
        </w:rPr>
        <w:t>结合项目特点，制定符合项目实际的绩效评价指标体系及评分标准，通过数据采集、问卷调查及访谈等形式，对市第二十三中学新校区建设项目进行客观评价，最终评分结果为:总分为</w:t>
      </w:r>
      <w:r>
        <w:rPr>
          <w:rFonts w:ascii="仿宋_GB2312" w:hAnsi="仿宋" w:eastAsia="仿宋_GB2312" w:cs="黑体"/>
          <w:b w:val="0"/>
          <w:bCs w:val="0"/>
        </w:rPr>
        <w:t>9</w:t>
      </w:r>
      <w:r>
        <w:rPr>
          <w:rFonts w:hint="eastAsia" w:ascii="仿宋_GB2312" w:hAnsi="仿宋" w:eastAsia="仿宋_GB2312" w:cs="黑体"/>
          <w:b w:val="0"/>
          <w:bCs w:val="0"/>
        </w:rPr>
        <w:t>6分，绩效评级为“优”。</w:t>
      </w:r>
    </w:p>
    <w:p w14:paraId="4FCC2508">
      <w:pPr>
        <w:spacing w:line="360" w:lineRule="auto"/>
        <w:ind w:firstLine="560"/>
        <w:rPr>
          <w:rFonts w:ascii="仿宋_GB2312" w:hAnsi="仿宋"/>
          <w:szCs w:val="28"/>
        </w:rPr>
      </w:pPr>
      <w:r>
        <w:rPr>
          <w:rFonts w:hint="eastAsia" w:ascii="仿宋_GB2312" w:hAnsi="仿宋"/>
          <w:szCs w:val="28"/>
        </w:rPr>
        <w:t>项目各部分权重和绩效分值如附表所示:</w:t>
      </w:r>
    </w:p>
    <w:p w14:paraId="45E4AD1B">
      <w:pPr>
        <w:spacing w:line="360" w:lineRule="auto"/>
        <w:ind w:firstLine="0" w:firstLineChars="0"/>
        <w:jc w:val="center"/>
        <w:rPr>
          <w:rFonts w:ascii="仿宋_GB2312"/>
          <w:b/>
          <w:bCs/>
          <w:szCs w:val="28"/>
        </w:rPr>
      </w:pPr>
      <w:r>
        <w:rPr>
          <w:rFonts w:ascii="仿宋_GB2312"/>
          <w:b/>
          <w:bCs/>
          <w:szCs w:val="28"/>
        </w:rPr>
        <w:t xml:space="preserve">  </w:t>
      </w:r>
      <w:r>
        <w:rPr>
          <w:rFonts w:hint="eastAsia" w:ascii="仿宋_GB2312"/>
          <w:b/>
          <w:bCs/>
          <w:szCs w:val="28"/>
        </w:rPr>
        <w:t>项目各部分权重和绩效分值</w:t>
      </w:r>
    </w:p>
    <w:tbl>
      <w:tblPr>
        <w:tblStyle w:val="17"/>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663"/>
        <w:gridCol w:w="3014"/>
        <w:gridCol w:w="898"/>
        <w:gridCol w:w="898"/>
        <w:gridCol w:w="1039"/>
      </w:tblGrid>
      <w:tr w14:paraId="136EA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14:paraId="68338A90">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一级指标</w:t>
            </w:r>
          </w:p>
        </w:tc>
        <w:tc>
          <w:tcPr>
            <w:tcW w:w="1663" w:type="dxa"/>
            <w:tcBorders>
              <w:tl2br w:val="nil"/>
              <w:tr2bl w:val="nil"/>
            </w:tcBorders>
            <w:shd w:val="clear" w:color="auto" w:fill="D0CECE" w:themeFill="background2" w:themeFillShade="E6"/>
            <w:vAlign w:val="center"/>
          </w:tcPr>
          <w:p w14:paraId="1C579DB7">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二级指标</w:t>
            </w:r>
          </w:p>
        </w:tc>
        <w:tc>
          <w:tcPr>
            <w:tcW w:w="3014" w:type="dxa"/>
            <w:tcBorders>
              <w:tl2br w:val="nil"/>
              <w:tr2bl w:val="nil"/>
            </w:tcBorders>
            <w:shd w:val="clear" w:color="auto" w:fill="D0CECE" w:themeFill="background2" w:themeFillShade="E6"/>
            <w:vAlign w:val="center"/>
          </w:tcPr>
          <w:p w14:paraId="684A426E">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三级指标</w:t>
            </w:r>
          </w:p>
        </w:tc>
        <w:tc>
          <w:tcPr>
            <w:tcW w:w="898" w:type="dxa"/>
            <w:tcBorders>
              <w:tl2br w:val="nil"/>
              <w:tr2bl w:val="nil"/>
            </w:tcBorders>
            <w:shd w:val="clear" w:color="auto" w:fill="D0CECE" w:themeFill="background2" w:themeFillShade="E6"/>
            <w:vAlign w:val="center"/>
          </w:tcPr>
          <w:p w14:paraId="03E364B5">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分值</w:t>
            </w:r>
          </w:p>
        </w:tc>
        <w:tc>
          <w:tcPr>
            <w:tcW w:w="898" w:type="dxa"/>
            <w:tcBorders>
              <w:tl2br w:val="nil"/>
              <w:tr2bl w:val="nil"/>
            </w:tcBorders>
            <w:shd w:val="clear" w:color="auto" w:fill="D0CECE" w:themeFill="background2" w:themeFillShade="E6"/>
            <w:vAlign w:val="center"/>
          </w:tcPr>
          <w:p w14:paraId="459B3910">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得分</w:t>
            </w:r>
          </w:p>
        </w:tc>
        <w:tc>
          <w:tcPr>
            <w:tcW w:w="1039" w:type="dxa"/>
            <w:tcBorders>
              <w:tl2br w:val="nil"/>
              <w:tr2bl w:val="nil"/>
            </w:tcBorders>
            <w:shd w:val="clear" w:color="auto" w:fill="D0CECE" w:themeFill="background2" w:themeFillShade="E6"/>
            <w:vAlign w:val="center"/>
          </w:tcPr>
          <w:p w14:paraId="7A185B2C">
            <w:pPr>
              <w:widowControl/>
              <w:ind w:firstLine="0" w:firstLineChars="0"/>
              <w:jc w:val="center"/>
              <w:rPr>
                <w:rFonts w:ascii="仿宋_GB2312" w:hAnsi="Gungsuh" w:cs="宋体"/>
                <w:b/>
                <w:bCs/>
                <w:kern w:val="0"/>
                <w:sz w:val="24"/>
                <w:szCs w:val="24"/>
              </w:rPr>
            </w:pPr>
            <w:r>
              <w:rPr>
                <w:rFonts w:hint="eastAsia" w:ascii="仿宋_GB2312" w:hAnsi="Gungsuh" w:cs="宋体"/>
                <w:b/>
                <w:bCs/>
                <w:kern w:val="0"/>
                <w:sz w:val="24"/>
                <w:szCs w:val="24"/>
              </w:rPr>
              <w:t>得分率</w:t>
            </w:r>
          </w:p>
        </w:tc>
      </w:tr>
      <w:tr w14:paraId="6C7C6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14:paraId="4C5E2BDC">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决策</w:t>
            </w:r>
          </w:p>
        </w:tc>
        <w:tc>
          <w:tcPr>
            <w:tcW w:w="1663" w:type="dxa"/>
            <w:vMerge w:val="restart"/>
            <w:tcBorders>
              <w:tl2br w:val="nil"/>
              <w:tr2bl w:val="nil"/>
            </w:tcBorders>
            <w:shd w:val="clear" w:color="auto" w:fill="FFFFFF"/>
            <w:vAlign w:val="center"/>
          </w:tcPr>
          <w:p w14:paraId="53C5858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项目立项</w:t>
            </w:r>
          </w:p>
        </w:tc>
        <w:tc>
          <w:tcPr>
            <w:tcW w:w="3014" w:type="dxa"/>
            <w:tcBorders>
              <w:tl2br w:val="nil"/>
              <w:tr2bl w:val="nil"/>
            </w:tcBorders>
            <w:shd w:val="clear" w:color="auto" w:fill="FFFFFF"/>
            <w:vAlign w:val="center"/>
          </w:tcPr>
          <w:p w14:paraId="22C7A0B2">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立项依据充分性</w:t>
            </w:r>
          </w:p>
        </w:tc>
        <w:tc>
          <w:tcPr>
            <w:tcW w:w="898" w:type="dxa"/>
            <w:tcBorders>
              <w:tl2br w:val="nil"/>
              <w:tr2bl w:val="nil"/>
            </w:tcBorders>
            <w:shd w:val="clear" w:color="auto" w:fill="FFFFFF"/>
            <w:vAlign w:val="center"/>
          </w:tcPr>
          <w:p w14:paraId="5F6C8F9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14:paraId="62CCDC1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auto" w:fill="FFFFFF"/>
          </w:tcPr>
          <w:p w14:paraId="6824F29D">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7E7D7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7B64B619">
            <w:pPr>
              <w:ind w:firstLine="480"/>
              <w:jc w:val="center"/>
              <w:rPr>
                <w:rFonts w:ascii="仿宋_GB2312" w:hAnsi="宋体" w:cs="宋体"/>
                <w:kern w:val="0"/>
                <w:sz w:val="24"/>
                <w:szCs w:val="24"/>
              </w:rPr>
            </w:pPr>
          </w:p>
        </w:tc>
        <w:tc>
          <w:tcPr>
            <w:tcW w:w="1663" w:type="dxa"/>
            <w:vMerge w:val="continue"/>
            <w:tcBorders>
              <w:tl2br w:val="nil"/>
              <w:tr2bl w:val="nil"/>
            </w:tcBorders>
            <w:shd w:val="clear" w:color="auto" w:fill="FFFFFF"/>
            <w:vAlign w:val="center"/>
          </w:tcPr>
          <w:p w14:paraId="61AADD22">
            <w:pPr>
              <w:widowControl/>
              <w:ind w:firstLine="0" w:firstLineChars="0"/>
              <w:jc w:val="center"/>
              <w:rPr>
                <w:rFonts w:ascii="仿宋_GB2312" w:hAnsi="宋体" w:cs="宋体"/>
                <w:kern w:val="0"/>
                <w:sz w:val="24"/>
                <w:szCs w:val="24"/>
              </w:rPr>
            </w:pPr>
          </w:p>
        </w:tc>
        <w:tc>
          <w:tcPr>
            <w:tcW w:w="3014" w:type="dxa"/>
            <w:tcBorders>
              <w:tl2br w:val="nil"/>
              <w:tr2bl w:val="nil"/>
            </w:tcBorders>
            <w:shd w:val="clear" w:color="auto" w:fill="FFFFFF"/>
            <w:vAlign w:val="center"/>
          </w:tcPr>
          <w:p w14:paraId="54483C4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立项程序规范性</w:t>
            </w:r>
          </w:p>
        </w:tc>
        <w:tc>
          <w:tcPr>
            <w:tcW w:w="898" w:type="dxa"/>
            <w:tcBorders>
              <w:tl2br w:val="nil"/>
              <w:tr2bl w:val="nil"/>
            </w:tcBorders>
            <w:shd w:val="clear" w:color="auto" w:fill="FFFFFF"/>
            <w:vAlign w:val="center"/>
          </w:tcPr>
          <w:p w14:paraId="723D5F82">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14:paraId="3785F7C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auto" w:fill="FFFFFF"/>
          </w:tcPr>
          <w:p w14:paraId="297EBF4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2BCFE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2E40157C">
            <w:pPr>
              <w:ind w:firstLine="480"/>
              <w:jc w:val="center"/>
              <w:rPr>
                <w:rFonts w:ascii="仿宋_GB2312" w:hAnsi="宋体" w:cs="宋体"/>
                <w:kern w:val="0"/>
                <w:sz w:val="24"/>
                <w:szCs w:val="24"/>
              </w:rPr>
            </w:pPr>
          </w:p>
        </w:tc>
        <w:tc>
          <w:tcPr>
            <w:tcW w:w="1663" w:type="dxa"/>
            <w:vMerge w:val="restart"/>
            <w:tcBorders>
              <w:tl2br w:val="nil"/>
              <w:tr2bl w:val="nil"/>
            </w:tcBorders>
            <w:shd w:val="clear" w:color="auto" w:fill="FFFFFF"/>
            <w:vAlign w:val="center"/>
          </w:tcPr>
          <w:p w14:paraId="6B850924">
            <w:pPr>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w:t>
            </w:r>
          </w:p>
        </w:tc>
        <w:tc>
          <w:tcPr>
            <w:tcW w:w="3014" w:type="dxa"/>
            <w:tcBorders>
              <w:tl2br w:val="nil"/>
              <w:tr2bl w:val="nil"/>
            </w:tcBorders>
            <w:shd w:val="clear" w:color="auto" w:fill="FFFFFF"/>
            <w:vAlign w:val="center"/>
          </w:tcPr>
          <w:p w14:paraId="02A462F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绩效目标合理性</w:t>
            </w:r>
          </w:p>
        </w:tc>
        <w:tc>
          <w:tcPr>
            <w:tcW w:w="898" w:type="dxa"/>
            <w:tcBorders>
              <w:tl2br w:val="nil"/>
              <w:tr2bl w:val="nil"/>
            </w:tcBorders>
            <w:shd w:val="clear" w:color="000000" w:fill="FFFFFF"/>
            <w:vAlign w:val="center"/>
          </w:tcPr>
          <w:p w14:paraId="7774B0C8">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14:paraId="52AEE4D0">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tcPr>
          <w:p w14:paraId="1A8CEF95">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133D2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632FB961">
            <w:pPr>
              <w:widowControl/>
              <w:ind w:firstLine="0" w:firstLineChars="0"/>
              <w:jc w:val="center"/>
              <w:rPr>
                <w:rFonts w:ascii="仿宋_GB2312" w:hAnsi="宋体" w:cs="宋体"/>
                <w:kern w:val="0"/>
                <w:sz w:val="24"/>
                <w:szCs w:val="24"/>
              </w:rPr>
            </w:pPr>
          </w:p>
        </w:tc>
        <w:tc>
          <w:tcPr>
            <w:tcW w:w="1663" w:type="dxa"/>
            <w:vMerge w:val="continue"/>
            <w:tcBorders>
              <w:tl2br w:val="nil"/>
              <w:tr2bl w:val="nil"/>
            </w:tcBorders>
            <w:shd w:val="clear" w:color="auto" w:fill="FFFFFF"/>
            <w:vAlign w:val="center"/>
          </w:tcPr>
          <w:p w14:paraId="38E7AEA2">
            <w:pPr>
              <w:widowControl/>
              <w:ind w:firstLine="0" w:firstLineChars="0"/>
              <w:jc w:val="center"/>
              <w:rPr>
                <w:rFonts w:ascii="仿宋_GB2312" w:hAnsi="宋体" w:cs="宋体"/>
                <w:kern w:val="0"/>
                <w:sz w:val="24"/>
                <w:szCs w:val="24"/>
              </w:rPr>
            </w:pPr>
          </w:p>
        </w:tc>
        <w:tc>
          <w:tcPr>
            <w:tcW w:w="3014" w:type="dxa"/>
            <w:tcBorders>
              <w:tl2br w:val="nil"/>
              <w:tr2bl w:val="nil"/>
            </w:tcBorders>
            <w:shd w:val="clear" w:color="auto" w:fill="FFFFFF"/>
            <w:vAlign w:val="center"/>
          </w:tcPr>
          <w:p w14:paraId="02A839AC">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绩效指标明确性</w:t>
            </w:r>
          </w:p>
        </w:tc>
        <w:tc>
          <w:tcPr>
            <w:tcW w:w="898" w:type="dxa"/>
            <w:tcBorders>
              <w:tl2br w:val="nil"/>
              <w:tr2bl w:val="nil"/>
            </w:tcBorders>
            <w:shd w:val="clear" w:color="000000" w:fill="FFFFFF"/>
            <w:vAlign w:val="center"/>
          </w:tcPr>
          <w:p w14:paraId="0AB9210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14:paraId="7B34BD18">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tcPr>
          <w:p w14:paraId="3147315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7C9B43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2CF8FFE4">
            <w:pPr>
              <w:ind w:firstLine="0" w:firstLineChars="0"/>
              <w:jc w:val="center"/>
              <w:rPr>
                <w:rFonts w:ascii="仿宋_GB2312" w:hAnsi="宋体" w:cs="宋体"/>
                <w:kern w:val="0"/>
                <w:sz w:val="24"/>
                <w:szCs w:val="24"/>
              </w:rPr>
            </w:pPr>
          </w:p>
        </w:tc>
        <w:tc>
          <w:tcPr>
            <w:tcW w:w="1663" w:type="dxa"/>
            <w:vMerge w:val="restart"/>
            <w:tcBorders>
              <w:tl2br w:val="nil"/>
              <w:tr2bl w:val="nil"/>
            </w:tcBorders>
            <w:shd w:val="clear" w:color="auto" w:fill="FFFFFF"/>
            <w:vAlign w:val="center"/>
          </w:tcPr>
          <w:p w14:paraId="56350F3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资金投入</w:t>
            </w:r>
          </w:p>
        </w:tc>
        <w:tc>
          <w:tcPr>
            <w:tcW w:w="3014" w:type="dxa"/>
            <w:tcBorders>
              <w:tl2br w:val="nil"/>
              <w:tr2bl w:val="nil"/>
            </w:tcBorders>
            <w:shd w:val="clear" w:color="auto" w:fill="FFFFFF"/>
            <w:vAlign w:val="center"/>
          </w:tcPr>
          <w:p w14:paraId="364DEADD">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预算编制科学性</w:t>
            </w:r>
          </w:p>
        </w:tc>
        <w:tc>
          <w:tcPr>
            <w:tcW w:w="898" w:type="dxa"/>
            <w:tcBorders>
              <w:tl2br w:val="nil"/>
              <w:tr2bl w:val="nil"/>
            </w:tcBorders>
            <w:shd w:val="clear" w:color="auto" w:fill="FFFFFF"/>
            <w:vAlign w:val="center"/>
          </w:tcPr>
          <w:p w14:paraId="6637E465">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14:paraId="0941D4C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auto" w:fill="FFFFFF"/>
            <w:vAlign w:val="center"/>
          </w:tcPr>
          <w:p w14:paraId="3D8D9BB5">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283CB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6B7669D0">
            <w:pPr>
              <w:widowControl/>
              <w:ind w:firstLine="0" w:firstLineChars="0"/>
              <w:jc w:val="center"/>
              <w:rPr>
                <w:rFonts w:ascii="仿宋_GB2312" w:hAnsi="宋体" w:cs="宋体"/>
                <w:kern w:val="0"/>
                <w:sz w:val="24"/>
                <w:szCs w:val="24"/>
              </w:rPr>
            </w:pPr>
          </w:p>
        </w:tc>
        <w:tc>
          <w:tcPr>
            <w:tcW w:w="1663" w:type="dxa"/>
            <w:vMerge w:val="continue"/>
            <w:tcBorders>
              <w:tl2br w:val="nil"/>
              <w:tr2bl w:val="nil"/>
            </w:tcBorders>
            <w:shd w:val="clear" w:color="auto" w:fill="FFFFFF"/>
            <w:vAlign w:val="center"/>
          </w:tcPr>
          <w:p w14:paraId="38C639D6">
            <w:pPr>
              <w:widowControl/>
              <w:ind w:firstLine="0" w:firstLineChars="0"/>
              <w:jc w:val="center"/>
              <w:rPr>
                <w:rFonts w:ascii="仿宋_GB2312" w:hAnsi="宋体" w:cs="宋体"/>
                <w:kern w:val="0"/>
                <w:sz w:val="24"/>
                <w:szCs w:val="24"/>
              </w:rPr>
            </w:pPr>
          </w:p>
        </w:tc>
        <w:tc>
          <w:tcPr>
            <w:tcW w:w="3014" w:type="dxa"/>
            <w:tcBorders>
              <w:tl2br w:val="nil"/>
              <w:tr2bl w:val="nil"/>
            </w:tcBorders>
            <w:shd w:val="clear" w:color="auto" w:fill="FFFFFF"/>
            <w:vAlign w:val="center"/>
          </w:tcPr>
          <w:p w14:paraId="193EF818">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资金分配合理性</w:t>
            </w:r>
          </w:p>
        </w:tc>
        <w:tc>
          <w:tcPr>
            <w:tcW w:w="898" w:type="dxa"/>
            <w:tcBorders>
              <w:tl2br w:val="nil"/>
              <w:tr2bl w:val="nil"/>
            </w:tcBorders>
            <w:shd w:val="clear" w:color="auto" w:fill="FFFFFF"/>
            <w:vAlign w:val="center"/>
          </w:tcPr>
          <w:p w14:paraId="1FC07B46">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14:paraId="3645FC01">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auto" w:fill="FFFFFF"/>
            <w:vAlign w:val="center"/>
          </w:tcPr>
          <w:p w14:paraId="35E18875">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6A6B3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14:paraId="3D79572B">
            <w:pPr>
              <w:ind w:firstLine="0" w:firstLineChars="0"/>
              <w:jc w:val="center"/>
              <w:rPr>
                <w:rFonts w:ascii="仿宋_GB2312" w:hAnsi="宋体" w:cs="宋体"/>
                <w:kern w:val="0"/>
                <w:sz w:val="24"/>
                <w:szCs w:val="24"/>
              </w:rPr>
            </w:pPr>
            <w:r>
              <w:rPr>
                <w:rFonts w:hint="eastAsia" w:ascii="仿宋_GB2312" w:hAnsi="宋体" w:cs="宋体"/>
                <w:kern w:val="0"/>
                <w:sz w:val="24"/>
                <w:szCs w:val="24"/>
              </w:rPr>
              <w:t>过程</w:t>
            </w:r>
          </w:p>
        </w:tc>
        <w:tc>
          <w:tcPr>
            <w:tcW w:w="1663" w:type="dxa"/>
            <w:vMerge w:val="restart"/>
            <w:tcBorders>
              <w:tl2br w:val="nil"/>
              <w:tr2bl w:val="nil"/>
            </w:tcBorders>
            <w:shd w:val="clear" w:color="auto" w:fill="FFFFFF"/>
            <w:vAlign w:val="center"/>
          </w:tcPr>
          <w:p w14:paraId="7311EE7A">
            <w:pPr>
              <w:ind w:firstLine="0" w:firstLineChars="0"/>
              <w:jc w:val="center"/>
              <w:rPr>
                <w:rFonts w:ascii="仿宋_GB2312" w:hAnsi="宋体" w:cs="宋体"/>
                <w:kern w:val="0"/>
                <w:sz w:val="24"/>
                <w:szCs w:val="24"/>
              </w:rPr>
            </w:pPr>
            <w:r>
              <w:rPr>
                <w:rFonts w:hint="eastAsia" w:ascii="仿宋_GB2312" w:hAnsi="宋体" w:cs="宋体"/>
                <w:kern w:val="0"/>
                <w:sz w:val="24"/>
                <w:szCs w:val="24"/>
              </w:rPr>
              <w:t>资金管理</w:t>
            </w:r>
          </w:p>
        </w:tc>
        <w:tc>
          <w:tcPr>
            <w:tcW w:w="3014" w:type="dxa"/>
            <w:tcBorders>
              <w:tl2br w:val="nil"/>
              <w:tr2bl w:val="nil"/>
            </w:tcBorders>
            <w:shd w:val="clear" w:color="auto" w:fill="FFFFFF"/>
            <w:vAlign w:val="center"/>
          </w:tcPr>
          <w:p w14:paraId="11F6A0B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资金到位率</w:t>
            </w:r>
          </w:p>
        </w:tc>
        <w:tc>
          <w:tcPr>
            <w:tcW w:w="898" w:type="dxa"/>
            <w:tcBorders>
              <w:tl2br w:val="nil"/>
              <w:tr2bl w:val="nil"/>
            </w:tcBorders>
            <w:shd w:val="clear" w:color="000000" w:fill="FFFFFF"/>
            <w:vAlign w:val="center"/>
          </w:tcPr>
          <w:p w14:paraId="3D7FDFE6">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14:paraId="6DBD5178">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1039" w:type="dxa"/>
            <w:tcBorders>
              <w:tl2br w:val="nil"/>
              <w:tr2bl w:val="nil"/>
            </w:tcBorders>
            <w:shd w:val="clear" w:color="000000" w:fill="FFFFFF"/>
            <w:vAlign w:val="center"/>
          </w:tcPr>
          <w:p w14:paraId="12EB5D69">
            <w:pPr>
              <w:widowControl/>
              <w:ind w:firstLine="240" w:firstLineChars="100"/>
              <w:rPr>
                <w:rFonts w:ascii="仿宋_GB2312" w:hAnsi="宋体" w:cs="宋体"/>
                <w:kern w:val="0"/>
                <w:sz w:val="24"/>
                <w:szCs w:val="24"/>
              </w:rPr>
            </w:pPr>
            <w:r>
              <w:rPr>
                <w:rFonts w:ascii="仿宋_GB2312" w:hAnsi="宋体" w:cs="宋体"/>
                <w:kern w:val="0"/>
                <w:sz w:val="24"/>
                <w:szCs w:val="24"/>
              </w:rPr>
              <w:t>40</w:t>
            </w:r>
            <w:r>
              <w:rPr>
                <w:rFonts w:hint="eastAsia" w:ascii="仿宋_GB2312" w:hAnsi="宋体" w:cs="宋体"/>
                <w:kern w:val="0"/>
                <w:sz w:val="24"/>
                <w:szCs w:val="24"/>
              </w:rPr>
              <w:t>%</w:t>
            </w:r>
          </w:p>
        </w:tc>
      </w:tr>
      <w:tr w14:paraId="599D7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2F707189">
            <w:pPr>
              <w:ind w:firstLine="480"/>
              <w:jc w:val="center"/>
              <w:rPr>
                <w:rFonts w:ascii="仿宋_GB2312" w:hAnsi="宋体" w:cs="宋体"/>
                <w:kern w:val="0"/>
                <w:sz w:val="24"/>
                <w:szCs w:val="24"/>
              </w:rPr>
            </w:pPr>
          </w:p>
        </w:tc>
        <w:tc>
          <w:tcPr>
            <w:tcW w:w="1663" w:type="dxa"/>
            <w:vMerge w:val="continue"/>
            <w:tcBorders>
              <w:tl2br w:val="nil"/>
              <w:tr2bl w:val="nil"/>
            </w:tcBorders>
            <w:shd w:val="clear" w:color="auto" w:fill="FFFFFF"/>
            <w:vAlign w:val="center"/>
          </w:tcPr>
          <w:p w14:paraId="07C072A9">
            <w:pPr>
              <w:ind w:firstLine="480"/>
              <w:jc w:val="center"/>
              <w:rPr>
                <w:rFonts w:ascii="仿宋_GB2312" w:hAnsi="宋体" w:cs="宋体"/>
                <w:kern w:val="0"/>
                <w:sz w:val="24"/>
                <w:szCs w:val="24"/>
              </w:rPr>
            </w:pPr>
          </w:p>
        </w:tc>
        <w:tc>
          <w:tcPr>
            <w:tcW w:w="3014" w:type="dxa"/>
            <w:tcBorders>
              <w:tl2br w:val="nil"/>
              <w:tr2bl w:val="nil"/>
            </w:tcBorders>
            <w:shd w:val="clear" w:color="auto" w:fill="FFFFFF"/>
            <w:vAlign w:val="center"/>
          </w:tcPr>
          <w:p w14:paraId="7CFB615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预算执行率</w:t>
            </w:r>
          </w:p>
        </w:tc>
        <w:tc>
          <w:tcPr>
            <w:tcW w:w="898" w:type="dxa"/>
            <w:tcBorders>
              <w:tl2br w:val="nil"/>
              <w:tr2bl w:val="nil"/>
            </w:tcBorders>
            <w:shd w:val="clear" w:color="auto" w:fill="FFFFFF"/>
            <w:vAlign w:val="center"/>
          </w:tcPr>
          <w:p w14:paraId="52D2E77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auto" w:fill="FFFFFF"/>
            <w:vAlign w:val="center"/>
          </w:tcPr>
          <w:p w14:paraId="00062FAD">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auto" w:fill="FFFFFF"/>
            <w:vAlign w:val="center"/>
          </w:tcPr>
          <w:p w14:paraId="085FADD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r>
              <w:rPr>
                <w:rFonts w:ascii="仿宋_GB2312" w:hAnsi="宋体" w:cs="宋体"/>
                <w:kern w:val="0"/>
                <w:sz w:val="24"/>
                <w:szCs w:val="24"/>
              </w:rPr>
              <w:t>0</w:t>
            </w:r>
            <w:r>
              <w:rPr>
                <w:rFonts w:hint="eastAsia" w:ascii="仿宋_GB2312" w:hAnsi="宋体" w:cs="宋体"/>
                <w:kern w:val="0"/>
                <w:sz w:val="24"/>
                <w:szCs w:val="24"/>
              </w:rPr>
              <w:t>%</w:t>
            </w:r>
          </w:p>
        </w:tc>
      </w:tr>
      <w:tr w14:paraId="765F9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06D695D6">
            <w:pPr>
              <w:ind w:firstLine="0" w:firstLineChars="0"/>
              <w:jc w:val="center"/>
              <w:rPr>
                <w:rFonts w:ascii="仿宋_GB2312" w:hAnsi="宋体" w:cs="宋体"/>
                <w:kern w:val="0"/>
                <w:sz w:val="24"/>
                <w:szCs w:val="24"/>
              </w:rPr>
            </w:pPr>
          </w:p>
        </w:tc>
        <w:tc>
          <w:tcPr>
            <w:tcW w:w="1663" w:type="dxa"/>
            <w:vMerge w:val="continue"/>
            <w:tcBorders>
              <w:tl2br w:val="nil"/>
              <w:tr2bl w:val="nil"/>
            </w:tcBorders>
            <w:shd w:val="clear" w:color="auto" w:fill="FFFFFF"/>
            <w:vAlign w:val="center"/>
          </w:tcPr>
          <w:p w14:paraId="713EDB20">
            <w:pPr>
              <w:widowControl/>
              <w:ind w:firstLine="0" w:firstLineChars="0"/>
              <w:jc w:val="center"/>
              <w:rPr>
                <w:rFonts w:ascii="仿宋_GB2312" w:hAnsi="宋体" w:cs="宋体"/>
                <w:kern w:val="0"/>
                <w:sz w:val="24"/>
                <w:szCs w:val="24"/>
              </w:rPr>
            </w:pPr>
          </w:p>
        </w:tc>
        <w:tc>
          <w:tcPr>
            <w:tcW w:w="3014" w:type="dxa"/>
            <w:tcBorders>
              <w:tl2br w:val="nil"/>
              <w:tr2bl w:val="nil"/>
            </w:tcBorders>
            <w:shd w:val="clear" w:color="auto" w:fill="FFFFFF"/>
            <w:vAlign w:val="center"/>
          </w:tcPr>
          <w:p w14:paraId="4B416F2D">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资金使用合规性</w:t>
            </w:r>
          </w:p>
        </w:tc>
        <w:tc>
          <w:tcPr>
            <w:tcW w:w="898" w:type="dxa"/>
            <w:tcBorders>
              <w:tl2br w:val="nil"/>
              <w:tr2bl w:val="nil"/>
            </w:tcBorders>
            <w:shd w:val="clear" w:color="000000" w:fill="FFFFFF"/>
            <w:vAlign w:val="center"/>
          </w:tcPr>
          <w:p w14:paraId="2852DC6D">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14:paraId="0DDF1B9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tcPr>
          <w:p w14:paraId="4332291A">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32931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4CE0E531">
            <w:pPr>
              <w:ind w:firstLine="0" w:firstLineChars="0"/>
              <w:jc w:val="center"/>
              <w:rPr>
                <w:rFonts w:ascii="仿宋_GB2312" w:hAnsi="宋体" w:cs="宋体"/>
                <w:kern w:val="0"/>
                <w:sz w:val="24"/>
                <w:szCs w:val="24"/>
              </w:rPr>
            </w:pPr>
          </w:p>
        </w:tc>
        <w:tc>
          <w:tcPr>
            <w:tcW w:w="1663" w:type="dxa"/>
            <w:vMerge w:val="restart"/>
            <w:tcBorders>
              <w:tl2br w:val="nil"/>
              <w:tr2bl w:val="nil"/>
            </w:tcBorders>
            <w:shd w:val="clear" w:color="auto" w:fill="FFFFFF"/>
            <w:vAlign w:val="center"/>
          </w:tcPr>
          <w:p w14:paraId="3400E13F">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组织实施</w:t>
            </w:r>
          </w:p>
        </w:tc>
        <w:tc>
          <w:tcPr>
            <w:tcW w:w="3014" w:type="dxa"/>
            <w:tcBorders>
              <w:tl2br w:val="nil"/>
              <w:tr2bl w:val="nil"/>
            </w:tcBorders>
            <w:shd w:val="clear" w:color="auto" w:fill="FFFFFF"/>
            <w:vAlign w:val="center"/>
          </w:tcPr>
          <w:p w14:paraId="1B72B79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管理制度健全性</w:t>
            </w:r>
          </w:p>
        </w:tc>
        <w:tc>
          <w:tcPr>
            <w:tcW w:w="898" w:type="dxa"/>
            <w:tcBorders>
              <w:tl2br w:val="nil"/>
              <w:tr2bl w:val="nil"/>
            </w:tcBorders>
            <w:shd w:val="clear" w:color="000000" w:fill="FFFFFF"/>
            <w:vAlign w:val="center"/>
          </w:tcPr>
          <w:p w14:paraId="1AF9D3F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14:paraId="7D45F987">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1039" w:type="dxa"/>
            <w:tcBorders>
              <w:tl2br w:val="nil"/>
              <w:tr2bl w:val="nil"/>
            </w:tcBorders>
            <w:shd w:val="clear" w:color="000000" w:fill="FFFFFF"/>
          </w:tcPr>
          <w:p w14:paraId="0082BCD6">
            <w:pPr>
              <w:widowControl/>
              <w:ind w:firstLine="0" w:firstLineChars="0"/>
              <w:jc w:val="center"/>
              <w:rPr>
                <w:rFonts w:ascii="仿宋_GB2312" w:hAnsi="宋体" w:cs="宋体"/>
                <w:kern w:val="0"/>
                <w:sz w:val="24"/>
                <w:szCs w:val="24"/>
              </w:rPr>
            </w:pPr>
            <w:r>
              <w:rPr>
                <w:rFonts w:ascii="仿宋_GB2312" w:hAnsi="宋体" w:cs="宋体"/>
                <w:kern w:val="0"/>
                <w:sz w:val="24"/>
                <w:szCs w:val="24"/>
              </w:rPr>
              <w:t>66</w:t>
            </w:r>
            <w:r>
              <w:rPr>
                <w:rFonts w:hint="eastAsia" w:ascii="仿宋_GB2312" w:hAnsi="宋体" w:cs="宋体"/>
                <w:kern w:val="0"/>
                <w:sz w:val="24"/>
                <w:szCs w:val="24"/>
              </w:rPr>
              <w:t>.</w:t>
            </w:r>
            <w:r>
              <w:rPr>
                <w:rFonts w:ascii="仿宋_GB2312" w:hAnsi="宋体" w:cs="宋体"/>
                <w:kern w:val="0"/>
                <w:sz w:val="24"/>
                <w:szCs w:val="24"/>
              </w:rPr>
              <w:t>67</w:t>
            </w:r>
            <w:r>
              <w:rPr>
                <w:rFonts w:hint="eastAsia" w:ascii="仿宋_GB2312" w:hAnsi="宋体" w:cs="宋体"/>
                <w:kern w:val="0"/>
                <w:sz w:val="24"/>
                <w:szCs w:val="24"/>
              </w:rPr>
              <w:t>%</w:t>
            </w:r>
          </w:p>
        </w:tc>
      </w:tr>
      <w:tr w14:paraId="61483A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50C8CED7">
            <w:pPr>
              <w:widowControl/>
              <w:ind w:firstLine="0" w:firstLineChars="0"/>
              <w:jc w:val="center"/>
              <w:rPr>
                <w:rFonts w:ascii="仿宋_GB2312" w:hAnsi="宋体" w:cs="宋体"/>
                <w:kern w:val="0"/>
                <w:sz w:val="24"/>
                <w:szCs w:val="24"/>
              </w:rPr>
            </w:pPr>
          </w:p>
        </w:tc>
        <w:tc>
          <w:tcPr>
            <w:tcW w:w="1663" w:type="dxa"/>
            <w:vMerge w:val="continue"/>
            <w:tcBorders>
              <w:tl2br w:val="nil"/>
              <w:tr2bl w:val="nil"/>
            </w:tcBorders>
            <w:shd w:val="clear" w:color="auto" w:fill="FFFFFF"/>
            <w:vAlign w:val="center"/>
          </w:tcPr>
          <w:p w14:paraId="42B3FC4A">
            <w:pPr>
              <w:widowControl/>
              <w:ind w:firstLine="0" w:firstLineChars="0"/>
              <w:jc w:val="center"/>
              <w:rPr>
                <w:rFonts w:ascii="仿宋_GB2312" w:hAnsi="宋体" w:cs="宋体"/>
                <w:kern w:val="0"/>
                <w:sz w:val="24"/>
                <w:szCs w:val="24"/>
              </w:rPr>
            </w:pPr>
          </w:p>
        </w:tc>
        <w:tc>
          <w:tcPr>
            <w:tcW w:w="3014" w:type="dxa"/>
            <w:tcBorders>
              <w:tl2br w:val="nil"/>
              <w:tr2bl w:val="nil"/>
            </w:tcBorders>
            <w:shd w:val="clear" w:color="auto" w:fill="FFFFFF"/>
            <w:vAlign w:val="center"/>
          </w:tcPr>
          <w:p w14:paraId="42901122">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制度执行有效性</w:t>
            </w:r>
          </w:p>
        </w:tc>
        <w:tc>
          <w:tcPr>
            <w:tcW w:w="898" w:type="dxa"/>
            <w:tcBorders>
              <w:tl2br w:val="nil"/>
              <w:tr2bl w:val="nil"/>
            </w:tcBorders>
            <w:shd w:val="clear" w:color="000000" w:fill="FFFFFF"/>
            <w:vAlign w:val="center"/>
          </w:tcPr>
          <w:p w14:paraId="2BEE175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000000" w:fill="FFFFFF"/>
            <w:vAlign w:val="center"/>
          </w:tcPr>
          <w:p w14:paraId="68019A0D">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000000" w:fill="FFFFFF"/>
          </w:tcPr>
          <w:p w14:paraId="207FC8D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60F21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9" w:hRule="atLeast"/>
          <w:jc w:val="center"/>
        </w:trPr>
        <w:tc>
          <w:tcPr>
            <w:tcW w:w="1550" w:type="dxa"/>
            <w:vMerge w:val="restart"/>
            <w:tcBorders>
              <w:tl2br w:val="nil"/>
              <w:tr2bl w:val="nil"/>
            </w:tcBorders>
            <w:shd w:val="clear" w:color="auto" w:fill="FFFFFF"/>
            <w:vAlign w:val="center"/>
          </w:tcPr>
          <w:p w14:paraId="2AF026F5">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w:t>
            </w:r>
          </w:p>
        </w:tc>
        <w:tc>
          <w:tcPr>
            <w:tcW w:w="1663" w:type="dxa"/>
            <w:tcBorders>
              <w:tl2br w:val="nil"/>
              <w:tr2bl w:val="nil"/>
            </w:tcBorders>
            <w:shd w:val="clear" w:color="auto" w:fill="FFFFFF"/>
            <w:vAlign w:val="center"/>
          </w:tcPr>
          <w:p w14:paraId="5A136031">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产出数量</w:t>
            </w:r>
          </w:p>
        </w:tc>
        <w:tc>
          <w:tcPr>
            <w:tcW w:w="3014" w:type="dxa"/>
            <w:tcBorders>
              <w:tl2br w:val="nil"/>
              <w:tr2bl w:val="nil"/>
            </w:tcBorders>
            <w:shd w:val="clear" w:color="auto" w:fill="FFFFFF"/>
          </w:tcPr>
          <w:p w14:paraId="345E13D0">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完成项目数量</w:t>
            </w:r>
          </w:p>
        </w:tc>
        <w:tc>
          <w:tcPr>
            <w:tcW w:w="898" w:type="dxa"/>
            <w:tcBorders>
              <w:tl2br w:val="nil"/>
              <w:tr2bl w:val="nil"/>
            </w:tcBorders>
            <w:shd w:val="clear" w:color="000000" w:fill="FFFFFF"/>
            <w:vAlign w:val="center"/>
          </w:tcPr>
          <w:p w14:paraId="182AEE81">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898" w:type="dxa"/>
            <w:tcBorders>
              <w:tl2br w:val="nil"/>
              <w:tr2bl w:val="nil"/>
            </w:tcBorders>
            <w:shd w:val="clear" w:color="000000" w:fill="FFFFFF"/>
            <w:vAlign w:val="center"/>
          </w:tcPr>
          <w:p w14:paraId="420C7978">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1039" w:type="dxa"/>
            <w:tcBorders>
              <w:bottom w:val="single" w:color="auto" w:sz="4" w:space="0"/>
              <w:tl2br w:val="nil"/>
              <w:tr2bl w:val="nil"/>
            </w:tcBorders>
            <w:shd w:val="clear" w:color="000000" w:fill="FFFFFF"/>
          </w:tcPr>
          <w:p w14:paraId="739CC9A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0AE07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42744E1F">
            <w:pPr>
              <w:widowControl/>
              <w:ind w:firstLine="0" w:firstLineChars="0"/>
              <w:jc w:val="center"/>
              <w:rPr>
                <w:rFonts w:ascii="仿宋_GB2312" w:hAnsi="宋体" w:cs="宋体"/>
                <w:kern w:val="0"/>
                <w:sz w:val="24"/>
                <w:szCs w:val="24"/>
              </w:rPr>
            </w:pPr>
          </w:p>
        </w:tc>
        <w:tc>
          <w:tcPr>
            <w:tcW w:w="1663" w:type="dxa"/>
            <w:tcBorders>
              <w:tl2br w:val="nil"/>
              <w:tr2bl w:val="nil"/>
            </w:tcBorders>
            <w:shd w:val="clear" w:color="auto" w:fill="FFFFFF"/>
            <w:vAlign w:val="center"/>
          </w:tcPr>
          <w:p w14:paraId="02E5C5BF">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产出质量</w:t>
            </w:r>
          </w:p>
        </w:tc>
        <w:tc>
          <w:tcPr>
            <w:tcW w:w="3014" w:type="dxa"/>
            <w:tcBorders>
              <w:tl2br w:val="nil"/>
              <w:tr2bl w:val="nil"/>
            </w:tcBorders>
            <w:shd w:val="clear" w:color="auto" w:fill="FFFFFF"/>
            <w:vAlign w:val="center"/>
          </w:tcPr>
          <w:p w14:paraId="43DFD2A1">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工程验收合格率</w:t>
            </w:r>
          </w:p>
        </w:tc>
        <w:tc>
          <w:tcPr>
            <w:tcW w:w="898" w:type="dxa"/>
            <w:tcBorders>
              <w:tl2br w:val="nil"/>
              <w:tr2bl w:val="nil"/>
            </w:tcBorders>
            <w:shd w:val="clear" w:color="000000" w:fill="FFFFFF"/>
            <w:vAlign w:val="center"/>
          </w:tcPr>
          <w:p w14:paraId="7CA044B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14:paraId="2B78928C">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tcPr>
          <w:p w14:paraId="4B9AC0BA">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2E6BC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9" w:hRule="atLeast"/>
          <w:jc w:val="center"/>
        </w:trPr>
        <w:tc>
          <w:tcPr>
            <w:tcW w:w="1550" w:type="dxa"/>
            <w:vMerge w:val="continue"/>
            <w:tcBorders>
              <w:tl2br w:val="nil"/>
              <w:tr2bl w:val="nil"/>
            </w:tcBorders>
            <w:shd w:val="clear" w:color="auto" w:fill="FFFFFF"/>
            <w:vAlign w:val="center"/>
          </w:tcPr>
          <w:p w14:paraId="615F1A26">
            <w:pPr>
              <w:ind w:firstLine="0" w:firstLineChars="0"/>
              <w:jc w:val="center"/>
              <w:rPr>
                <w:rFonts w:ascii="仿宋_GB2312" w:hAnsi="宋体" w:cs="宋体"/>
                <w:kern w:val="0"/>
                <w:sz w:val="24"/>
                <w:szCs w:val="24"/>
              </w:rPr>
            </w:pPr>
          </w:p>
        </w:tc>
        <w:tc>
          <w:tcPr>
            <w:tcW w:w="1663" w:type="dxa"/>
            <w:tcBorders>
              <w:tl2br w:val="nil"/>
              <w:tr2bl w:val="nil"/>
            </w:tcBorders>
            <w:shd w:val="clear" w:color="auto" w:fill="FFFFFF"/>
            <w:vAlign w:val="center"/>
          </w:tcPr>
          <w:p w14:paraId="187B1BF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产出时效</w:t>
            </w:r>
          </w:p>
        </w:tc>
        <w:tc>
          <w:tcPr>
            <w:tcW w:w="3014" w:type="dxa"/>
            <w:tcBorders>
              <w:tl2br w:val="nil"/>
              <w:tr2bl w:val="nil"/>
            </w:tcBorders>
            <w:shd w:val="clear" w:color="auto" w:fill="FFFFFF"/>
            <w:vAlign w:val="center"/>
          </w:tcPr>
          <w:p w14:paraId="45EDA03C">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建设工程完工及时率</w:t>
            </w:r>
          </w:p>
        </w:tc>
        <w:tc>
          <w:tcPr>
            <w:tcW w:w="898" w:type="dxa"/>
            <w:tcBorders>
              <w:tl2br w:val="nil"/>
              <w:tr2bl w:val="nil"/>
            </w:tcBorders>
            <w:shd w:val="clear" w:color="000000" w:fill="FFFFFF"/>
            <w:vAlign w:val="center"/>
          </w:tcPr>
          <w:p w14:paraId="48290A25">
            <w:pPr>
              <w:ind w:firstLine="240" w:firstLineChars="100"/>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14:paraId="6976F9F1">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tcPr>
          <w:p w14:paraId="145F7DDA">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3F744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7878DBE9">
            <w:pPr>
              <w:widowControl/>
              <w:ind w:firstLine="0" w:firstLineChars="0"/>
              <w:jc w:val="center"/>
              <w:rPr>
                <w:rFonts w:ascii="仿宋_GB2312" w:hAnsi="宋体" w:cs="宋体"/>
                <w:kern w:val="0"/>
                <w:sz w:val="24"/>
                <w:szCs w:val="24"/>
              </w:rPr>
            </w:pPr>
          </w:p>
        </w:tc>
        <w:tc>
          <w:tcPr>
            <w:tcW w:w="1663" w:type="dxa"/>
            <w:tcBorders>
              <w:tl2br w:val="nil"/>
              <w:tr2bl w:val="nil"/>
            </w:tcBorders>
            <w:shd w:val="clear" w:color="auto" w:fill="FFFFFF"/>
            <w:vAlign w:val="center"/>
          </w:tcPr>
          <w:p w14:paraId="4F9978CC">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产出成本</w:t>
            </w:r>
          </w:p>
        </w:tc>
        <w:tc>
          <w:tcPr>
            <w:tcW w:w="3014" w:type="dxa"/>
            <w:tcBorders>
              <w:tl2br w:val="nil"/>
              <w:tr2bl w:val="nil"/>
            </w:tcBorders>
            <w:shd w:val="clear" w:color="auto" w:fill="FFFFFF"/>
            <w:vAlign w:val="center"/>
          </w:tcPr>
          <w:p w14:paraId="4DBC0D6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成本控制率</w:t>
            </w:r>
          </w:p>
        </w:tc>
        <w:tc>
          <w:tcPr>
            <w:tcW w:w="898" w:type="dxa"/>
            <w:tcBorders>
              <w:tl2br w:val="nil"/>
              <w:tr2bl w:val="nil"/>
            </w:tcBorders>
            <w:shd w:val="clear" w:color="000000" w:fill="FFFFFF"/>
            <w:vAlign w:val="center"/>
          </w:tcPr>
          <w:p w14:paraId="425A82A8">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15</w:t>
            </w:r>
          </w:p>
        </w:tc>
        <w:tc>
          <w:tcPr>
            <w:tcW w:w="898" w:type="dxa"/>
            <w:tcBorders>
              <w:tl2br w:val="nil"/>
              <w:tr2bl w:val="nil"/>
            </w:tcBorders>
            <w:shd w:val="clear" w:color="000000" w:fill="FFFFFF"/>
            <w:vAlign w:val="center"/>
          </w:tcPr>
          <w:p w14:paraId="25532BE4">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15</w:t>
            </w:r>
          </w:p>
        </w:tc>
        <w:tc>
          <w:tcPr>
            <w:tcW w:w="1039" w:type="dxa"/>
            <w:tcBorders>
              <w:tl2br w:val="nil"/>
              <w:tr2bl w:val="nil"/>
            </w:tcBorders>
            <w:shd w:val="clear" w:color="000000" w:fill="FFFFFF"/>
          </w:tcPr>
          <w:p w14:paraId="02C7A0E6">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159D8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4" w:hRule="atLeast"/>
          <w:jc w:val="center"/>
        </w:trPr>
        <w:tc>
          <w:tcPr>
            <w:tcW w:w="1550" w:type="dxa"/>
            <w:tcBorders>
              <w:tl2br w:val="nil"/>
              <w:tr2bl w:val="nil"/>
            </w:tcBorders>
            <w:shd w:val="clear" w:color="auto" w:fill="FFFFFF"/>
            <w:vAlign w:val="center"/>
          </w:tcPr>
          <w:p w14:paraId="6BD0FF2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效益</w:t>
            </w:r>
          </w:p>
        </w:tc>
        <w:tc>
          <w:tcPr>
            <w:tcW w:w="1663" w:type="dxa"/>
            <w:tcBorders>
              <w:tl2br w:val="nil"/>
              <w:tr2bl w:val="nil"/>
            </w:tcBorders>
            <w:shd w:val="clear" w:color="auto" w:fill="FFFFFF"/>
            <w:vAlign w:val="center"/>
          </w:tcPr>
          <w:p w14:paraId="4BDA8571">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项目效益</w:t>
            </w:r>
          </w:p>
        </w:tc>
        <w:tc>
          <w:tcPr>
            <w:tcW w:w="3014" w:type="dxa"/>
            <w:tcBorders>
              <w:tl2br w:val="nil"/>
              <w:tr2bl w:val="nil"/>
            </w:tcBorders>
            <w:shd w:val="clear" w:color="auto" w:fill="FFFFFF"/>
            <w:vAlign w:val="center"/>
          </w:tcPr>
          <w:p w14:paraId="193E121A">
            <w:pPr>
              <w:ind w:firstLine="0" w:firstLineChars="0"/>
              <w:jc w:val="left"/>
              <w:rPr>
                <w:rFonts w:ascii="仿宋_GB2312" w:hAnsi="宋体" w:cs="宋体"/>
                <w:kern w:val="0"/>
                <w:sz w:val="24"/>
                <w:szCs w:val="24"/>
              </w:rPr>
            </w:pPr>
            <w:r>
              <w:rPr>
                <w:rFonts w:hint="eastAsia" w:ascii="仿宋_GB2312" w:hAnsi="宋体" w:cs="宋体"/>
                <w:kern w:val="0"/>
                <w:sz w:val="24"/>
                <w:szCs w:val="24"/>
              </w:rPr>
              <w:t>有效改善办学条件、满足学生及家长对教育资源的需求</w:t>
            </w:r>
          </w:p>
        </w:tc>
        <w:tc>
          <w:tcPr>
            <w:tcW w:w="898" w:type="dxa"/>
            <w:tcBorders>
              <w:tl2br w:val="nil"/>
              <w:tr2bl w:val="nil"/>
            </w:tcBorders>
            <w:shd w:val="clear" w:color="auto" w:fill="FFFFFF"/>
            <w:vAlign w:val="center"/>
          </w:tcPr>
          <w:p w14:paraId="7D491EF2">
            <w:pPr>
              <w:ind w:firstLine="240" w:firstLineChars="100"/>
              <w:rPr>
                <w:rFonts w:ascii="仿宋_GB2312" w:hAnsi="宋体" w:cs="宋体"/>
                <w:kern w:val="0"/>
                <w:sz w:val="24"/>
                <w:szCs w:val="24"/>
              </w:rPr>
            </w:pPr>
            <w:r>
              <w:rPr>
                <w:rFonts w:hint="eastAsia" w:ascii="仿宋_GB2312" w:hAnsi="宋体" w:cs="宋体"/>
                <w:kern w:val="0"/>
                <w:sz w:val="24"/>
                <w:szCs w:val="24"/>
              </w:rPr>
              <w:t>15</w:t>
            </w:r>
          </w:p>
        </w:tc>
        <w:tc>
          <w:tcPr>
            <w:tcW w:w="898" w:type="dxa"/>
            <w:tcBorders>
              <w:tl2br w:val="nil"/>
              <w:tr2bl w:val="nil"/>
            </w:tcBorders>
            <w:shd w:val="clear" w:color="auto" w:fill="FFFFFF"/>
            <w:vAlign w:val="center"/>
          </w:tcPr>
          <w:p w14:paraId="79353042">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r>
              <w:rPr>
                <w:rFonts w:ascii="仿宋_GB2312" w:hAnsi="宋体" w:cs="宋体"/>
                <w:kern w:val="0"/>
                <w:sz w:val="24"/>
                <w:szCs w:val="24"/>
              </w:rPr>
              <w:t>5</w:t>
            </w:r>
          </w:p>
        </w:tc>
        <w:tc>
          <w:tcPr>
            <w:tcW w:w="1039" w:type="dxa"/>
            <w:tcBorders>
              <w:tl2br w:val="nil"/>
              <w:tr2bl w:val="nil"/>
            </w:tcBorders>
            <w:shd w:val="clear" w:color="auto" w:fill="FFFFFF"/>
          </w:tcPr>
          <w:p w14:paraId="0889480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14:paraId="17D48E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14:paraId="0139EB79">
            <w:pPr>
              <w:widowControl/>
              <w:ind w:firstLine="0" w:firstLineChars="0"/>
              <w:jc w:val="center"/>
              <w:rPr>
                <w:rFonts w:ascii="仿宋_GB2312" w:hAnsi="宋体" w:cs="宋体"/>
                <w:kern w:val="0"/>
                <w:sz w:val="24"/>
                <w:szCs w:val="24"/>
              </w:rPr>
            </w:pPr>
            <w:r>
              <w:rPr>
                <w:rFonts w:ascii="仿宋_GB2312" w:hAnsi="宋体" w:cs="宋体"/>
                <w:kern w:val="0"/>
                <w:sz w:val="24"/>
                <w:szCs w:val="24"/>
              </w:rPr>
              <w:t>满意度指标完成情况分析</w:t>
            </w:r>
          </w:p>
        </w:tc>
        <w:tc>
          <w:tcPr>
            <w:tcW w:w="1663" w:type="dxa"/>
            <w:tcBorders>
              <w:tl2br w:val="nil"/>
              <w:tr2bl w:val="nil"/>
            </w:tcBorders>
            <w:shd w:val="clear" w:color="auto" w:fill="FFFFFF"/>
            <w:vAlign w:val="center"/>
          </w:tcPr>
          <w:p w14:paraId="260B28F8">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满意度指标</w:t>
            </w:r>
          </w:p>
        </w:tc>
        <w:tc>
          <w:tcPr>
            <w:tcW w:w="3014" w:type="dxa"/>
            <w:tcBorders>
              <w:tl2br w:val="nil"/>
              <w:tr2bl w:val="nil"/>
            </w:tcBorders>
            <w:shd w:val="clear" w:color="auto" w:fill="FFFFFF"/>
            <w:vAlign w:val="center"/>
          </w:tcPr>
          <w:p w14:paraId="152F8BC9">
            <w:pPr>
              <w:widowControl/>
              <w:ind w:firstLine="0" w:firstLineChars="0"/>
              <w:jc w:val="left"/>
              <w:rPr>
                <w:rFonts w:ascii="仿宋_GB2312" w:hAnsi="宋体" w:cs="宋体"/>
                <w:kern w:val="0"/>
                <w:sz w:val="24"/>
                <w:szCs w:val="24"/>
              </w:rPr>
            </w:pPr>
            <w:r>
              <w:rPr>
                <w:rFonts w:hint="eastAsia" w:ascii="仿宋_GB2312" w:hAnsi="宋体" w:cs="宋体"/>
                <w:kern w:val="0"/>
                <w:sz w:val="24"/>
                <w:szCs w:val="24"/>
              </w:rPr>
              <w:t>学生、教师对项目的整体满意度</w:t>
            </w:r>
          </w:p>
        </w:tc>
        <w:tc>
          <w:tcPr>
            <w:tcW w:w="898" w:type="dxa"/>
            <w:tcBorders>
              <w:tl2br w:val="nil"/>
              <w:tr2bl w:val="nil"/>
            </w:tcBorders>
            <w:shd w:val="clear" w:color="000000" w:fill="FFFFFF"/>
            <w:vAlign w:val="center"/>
          </w:tcPr>
          <w:p w14:paraId="5C126D41">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898" w:type="dxa"/>
            <w:tcBorders>
              <w:tl2br w:val="nil"/>
              <w:tr2bl w:val="nil"/>
            </w:tcBorders>
            <w:shd w:val="clear" w:color="000000" w:fill="FFFFFF"/>
            <w:vAlign w:val="center"/>
          </w:tcPr>
          <w:p w14:paraId="49F646E5">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r>
              <w:rPr>
                <w:rFonts w:ascii="仿宋_GB2312" w:hAnsi="宋体" w:cs="宋体"/>
                <w:kern w:val="0"/>
                <w:sz w:val="24"/>
                <w:szCs w:val="24"/>
              </w:rPr>
              <w:t>0</w:t>
            </w:r>
          </w:p>
        </w:tc>
        <w:tc>
          <w:tcPr>
            <w:tcW w:w="1039" w:type="dxa"/>
            <w:tcBorders>
              <w:tl2br w:val="nil"/>
              <w:tr2bl w:val="nil"/>
            </w:tcBorders>
            <w:shd w:val="clear" w:color="000000" w:fill="FFFFFF"/>
          </w:tcPr>
          <w:p w14:paraId="080A8D1F">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bl>
    <w:p w14:paraId="32F7E4D7">
      <w:pPr>
        <w:pStyle w:val="3"/>
        <w:ind w:firstLine="643"/>
        <w:rPr>
          <w:rFonts w:ascii="仿宋" w:hAnsi="仿宋" w:eastAsia="仿宋"/>
          <w:lang w:bidi="en-US"/>
        </w:rPr>
      </w:pPr>
      <w:bookmarkStart w:id="29" w:name="_Toc67911610"/>
      <w:bookmarkStart w:id="30" w:name="_Toc165277239"/>
      <w:r>
        <w:rPr>
          <w:rFonts w:hint="eastAsia" w:ascii="仿宋" w:hAnsi="仿宋" w:eastAsia="仿宋"/>
          <w:lang w:bidi="en-US"/>
        </w:rPr>
        <w:t>（二）主要</w:t>
      </w:r>
      <w:bookmarkEnd w:id="29"/>
      <w:bookmarkEnd w:id="30"/>
      <w:r>
        <w:rPr>
          <w:rFonts w:hint="eastAsia" w:ascii="仿宋" w:hAnsi="仿宋" w:eastAsia="仿宋"/>
          <w:lang w:bidi="en-US"/>
        </w:rPr>
        <w:t>绩效</w:t>
      </w:r>
    </w:p>
    <w:p w14:paraId="4E6DA119">
      <w:pPr>
        <w:spacing w:line="360" w:lineRule="auto"/>
        <w:ind w:firstLine="548" w:firstLineChars="196"/>
        <w:rPr>
          <w:rFonts w:ascii="仿宋_GB2312" w:hAnsi="仿宋"/>
          <w:szCs w:val="28"/>
        </w:rPr>
      </w:pPr>
      <w:r>
        <w:rPr>
          <w:rFonts w:hint="eastAsia" w:ascii="仿宋_GB2312" w:hAnsi="仿宋"/>
          <w:szCs w:val="28"/>
        </w:rPr>
        <w:t>该项目资金区财政及时拨付，单位在此次评价期间内，有序完成设定目标的部分工作任务:①完成项目数量3项（基本建设工程款、工程建设二类费用、设备购置费）。②二标段室外配套工程面积为35350平方米。③工程验收合格率等于100%。④建设工程完工率等于100%。⑤经济成本指标按财政拨付资金全部支付完毕。⑥有效改善办学条件、满足学生及家长对教育资源的需求。⑦学生、教师对项目的综合满意度为100%。</w:t>
      </w:r>
    </w:p>
    <w:p w14:paraId="25B40D3A">
      <w:pPr>
        <w:spacing w:line="360" w:lineRule="auto"/>
        <w:ind w:firstLine="548" w:firstLineChars="196"/>
        <w:rPr>
          <w:rFonts w:ascii="仿宋_GB2312" w:hAnsi="仿宋"/>
          <w:szCs w:val="28"/>
        </w:rPr>
      </w:pPr>
      <w:r>
        <w:rPr>
          <w:rFonts w:hint="eastAsia" w:ascii="仿宋_GB2312" w:hAnsi="仿宋"/>
          <w:szCs w:val="28"/>
        </w:rPr>
        <w:t>2023年度，乌鲁木齐市新校区基建项目共支付了30笔业务，这些项目涵盖了：</w:t>
      </w:r>
      <w:r>
        <w:rPr>
          <w:rFonts w:hint="eastAsia" w:ascii="仿宋_GB2312"/>
          <w:bCs/>
        </w:rPr>
        <w:t>1、完成400米田径运动场地草地铺设，完成对科技信息楼、艺术中学、食堂体育楼的二次装修；2、完成所有建筑设施内的供排水及消防设施的安装调试，室外地面大理石铺设、道路铺设及部分校园绿化等工作；3、完成部分智慧校园及校园文化建设保证开学后教学设施、办公设施的基本完善，达到教学使用需求；4、完成设备采购及安装工作，包括</w:t>
      </w:r>
      <w:r>
        <w:rPr>
          <w:rFonts w:hint="eastAsia" w:ascii="仿宋_GB2312" w:hAnsi="仿宋"/>
          <w:szCs w:val="28"/>
        </w:rPr>
        <w:t>三部分资金：基本建设工程款1641.09万元、工程建设二类费用12.11万元、设备购置费2383.78万元。</w:t>
      </w:r>
    </w:p>
    <w:p w14:paraId="73488077">
      <w:pPr>
        <w:spacing w:line="360" w:lineRule="auto"/>
        <w:ind w:firstLine="548" w:firstLineChars="196"/>
        <w:rPr>
          <w:rFonts w:ascii="仿宋_GB2312" w:hAnsi="仿宋"/>
          <w:szCs w:val="28"/>
        </w:rPr>
      </w:pPr>
      <w:r>
        <w:rPr>
          <w:rFonts w:hint="eastAsia" w:ascii="仿宋_GB2312"/>
          <w:bCs/>
        </w:rPr>
        <w:t>新校区建设项目于2023年9月投入使用，</w:t>
      </w:r>
      <w:r>
        <w:rPr>
          <w:rFonts w:hint="eastAsia" w:ascii="仿宋_GB2312" w:hAnsi="仿宋"/>
          <w:szCs w:val="28"/>
        </w:rPr>
        <w:t>保障了教育教学工作的正常开展，有效改善了办学条件，满足了学生及家长对教育资源的需求，为社会培养了有用人才。</w:t>
      </w:r>
    </w:p>
    <w:p w14:paraId="32AB180D">
      <w:pPr>
        <w:pStyle w:val="2"/>
        <w:ind w:firstLine="0" w:firstLineChars="0"/>
        <w:jc w:val="left"/>
        <w:rPr>
          <w:rFonts w:ascii="仿宋" w:hAnsi="仿宋" w:eastAsia="仿宋"/>
          <w:sz w:val="36"/>
          <w:szCs w:val="36"/>
          <w:lang w:bidi="en-US"/>
        </w:rPr>
      </w:pPr>
      <w:bookmarkStart w:id="31" w:name="_Toc67911611"/>
      <w:bookmarkStart w:id="32" w:name="_Toc165277240"/>
      <w:r>
        <w:rPr>
          <w:rFonts w:hint="eastAsia" w:ascii="仿宋" w:hAnsi="仿宋" w:eastAsia="仿宋"/>
          <w:sz w:val="36"/>
          <w:szCs w:val="36"/>
          <w:lang w:bidi="en-US"/>
        </w:rPr>
        <w:t>四、绩效评价指标分析</w:t>
      </w:r>
      <w:bookmarkEnd w:id="31"/>
      <w:bookmarkEnd w:id="32"/>
    </w:p>
    <w:p w14:paraId="1B6E23FF">
      <w:pPr>
        <w:pStyle w:val="3"/>
        <w:ind w:firstLine="643"/>
        <w:rPr>
          <w:rFonts w:ascii="仿宋" w:hAnsi="仿宋" w:eastAsia="仿宋"/>
          <w:lang w:bidi="en-US"/>
        </w:rPr>
      </w:pPr>
      <w:bookmarkStart w:id="33" w:name="_Toc67911612"/>
      <w:bookmarkStart w:id="34" w:name="_Toc165277241"/>
      <w:r>
        <w:rPr>
          <w:rFonts w:hint="eastAsia" w:ascii="仿宋" w:hAnsi="仿宋" w:eastAsia="仿宋"/>
          <w:lang w:bidi="en-US"/>
        </w:rPr>
        <w:t>（一）项目决策情况</w:t>
      </w:r>
      <w:bookmarkEnd w:id="33"/>
      <w:bookmarkEnd w:id="34"/>
    </w:p>
    <w:p w14:paraId="3D92ACF3">
      <w:pPr>
        <w:spacing w:line="360" w:lineRule="auto"/>
        <w:ind w:firstLine="560"/>
        <w:rPr>
          <w:rFonts w:ascii="仿宋_GB2312" w:hAnsi="仿宋"/>
          <w:szCs w:val="28"/>
        </w:rPr>
      </w:pPr>
      <w:bookmarkStart w:id="35" w:name="_Toc165277242"/>
      <w:r>
        <w:rPr>
          <w:rFonts w:hint="eastAsia" w:ascii="仿宋_GB2312" w:hAnsi="仿宋"/>
          <w:szCs w:val="28"/>
        </w:rPr>
        <w:t>项目决策指标由3个二级指标和6个三级指标构成，权重为20分，实际得分20分。</w:t>
      </w:r>
    </w:p>
    <w:p w14:paraId="5FB2C4C4">
      <w:pPr>
        <w:pStyle w:val="4"/>
        <w:ind w:firstLine="643"/>
      </w:pPr>
      <w:r>
        <w:t>1.</w:t>
      </w:r>
      <w:r>
        <w:rPr>
          <w:rFonts w:hint="eastAsia"/>
        </w:rPr>
        <w:t>项目立</w:t>
      </w:r>
      <w:bookmarkEnd w:id="35"/>
      <w:r>
        <w:rPr>
          <w:rFonts w:hint="eastAsia"/>
        </w:rPr>
        <w:t>项</w:t>
      </w:r>
    </w:p>
    <w:p w14:paraId="236B9445">
      <w:pPr>
        <w:tabs>
          <w:tab w:val="left" w:pos="0"/>
          <w:tab w:val="left" w:pos="3276"/>
        </w:tabs>
        <w:kinsoku w:val="0"/>
        <w:overflowPunct w:val="0"/>
        <w:spacing w:line="360" w:lineRule="auto"/>
        <w:ind w:firstLine="579" w:firstLineChars="206"/>
        <w:rPr>
          <w:rFonts w:ascii="仿宋" w:hAnsi="仿宋" w:eastAsia="仿宋" w:cs="方正仿宋_GBK"/>
          <w:bCs/>
          <w:spacing w:val="-4"/>
          <w:szCs w:val="28"/>
        </w:rPr>
      </w:pPr>
      <w:r>
        <w:rPr>
          <w:rFonts w:hint="eastAsia" w:ascii="仿宋_GB2312"/>
          <w:b/>
          <w:bCs/>
          <w:szCs w:val="28"/>
        </w:rPr>
        <w:t>立项依据充分性:</w:t>
      </w:r>
      <w:r>
        <w:rPr>
          <w:rFonts w:hint="eastAsia" w:ascii="仿宋_GB2312" w:hAnsi="仿宋"/>
          <w:szCs w:val="28"/>
        </w:rPr>
        <w:t>项目立项依据：</w:t>
      </w:r>
      <w:r>
        <w:rPr>
          <w:rFonts w:hint="eastAsia" w:ascii="仿宋_GB2312"/>
          <w:bCs/>
        </w:rPr>
        <w:t>（乌发改函【2017】822号）《关于对乌鲁木齐市第二十中学新校区建设项目立项的批复》，</w:t>
      </w:r>
      <w:r>
        <w:rPr>
          <w:rFonts w:hint="eastAsia" w:ascii="仿宋_GB2312" w:hAnsi="仿宋"/>
          <w:szCs w:val="28"/>
        </w:rPr>
        <w:t>为保证正常教育教学的需要，进一步增强学校的基础设施，学校设置此项目。拨款依据文件采购相关设备，项目符合国家法律法规、教育行业发展规划、政策要求。同时，项目与部门职责范围相符，属于部门履职所需。此外，本项目属于公共财政支持范围，符合中央、地方事权支出责任划分原则。目前</w:t>
      </w:r>
      <w:r>
        <w:rPr>
          <w:rStyle w:val="38"/>
          <w:rFonts w:hint="eastAsia" w:ascii="仿宋" w:hAnsi="仿宋" w:eastAsia="仿宋" w:cs="方正仿宋_GBK"/>
          <w:b w:val="0"/>
          <w:spacing w:val="-4"/>
          <w:szCs w:val="28"/>
        </w:rPr>
        <w:t>生均校舍建筑面积为6.65平方米，与国家标准要求严重不足。学校现有活动场地及校舍已不能满足学校正常开展教育教学活动的需求，更不能满足高考</w:t>
      </w:r>
      <w:r>
        <w:rPr>
          <w:rStyle w:val="38"/>
          <w:rFonts w:hint="eastAsia" w:ascii="仿宋" w:hAnsi="仿宋" w:eastAsia="仿宋" w:cs="方正仿宋_GBK"/>
          <w:b w:val="0"/>
          <w:spacing w:val="-4"/>
          <w:szCs w:val="28"/>
          <w:lang w:eastAsia="zh-CN"/>
        </w:rPr>
        <w:t>体制改革</w:t>
      </w:r>
      <w:r>
        <w:rPr>
          <w:rStyle w:val="38"/>
          <w:rFonts w:hint="eastAsia" w:ascii="仿宋" w:hAnsi="仿宋" w:eastAsia="仿宋" w:cs="方正仿宋_GBK"/>
          <w:b w:val="0"/>
          <w:spacing w:val="-4"/>
          <w:szCs w:val="28"/>
        </w:rPr>
        <w:t>对学校教育教学的要求。</w:t>
      </w:r>
      <w:r>
        <w:rPr>
          <w:rFonts w:hint="eastAsia" w:ascii="仿宋_GB2312" w:hAnsi="仿宋"/>
          <w:szCs w:val="28"/>
        </w:rPr>
        <w:t>项目不与相关部门同类项目或部门内部相关项目重复。因此，立项依据充分，得4分。</w:t>
      </w:r>
      <w:bookmarkStart w:id="36" w:name="_Toc165277243"/>
    </w:p>
    <w:p w14:paraId="39AA9A7A">
      <w:pPr>
        <w:spacing w:line="360" w:lineRule="auto"/>
        <w:ind w:firstLine="562"/>
        <w:rPr>
          <w:rFonts w:ascii="仿宋_GB2312" w:hAnsi="仿宋"/>
          <w:szCs w:val="28"/>
        </w:rPr>
      </w:pPr>
      <w:r>
        <w:rPr>
          <w:rFonts w:hint="eastAsia" w:ascii="仿宋_GB2312"/>
          <w:b/>
          <w:bCs/>
          <w:szCs w:val="28"/>
        </w:rPr>
        <w:t>立项程序规范性</w:t>
      </w:r>
      <w:r>
        <w:rPr>
          <w:rFonts w:ascii="仿宋_GB2312"/>
          <w:b/>
          <w:bCs/>
          <w:szCs w:val="28"/>
        </w:rPr>
        <w:t>:</w:t>
      </w:r>
      <w:r>
        <w:rPr>
          <w:rFonts w:hint="eastAsia" w:ascii="仿宋_GB2312" w:hAnsi="仿宋"/>
          <w:szCs w:val="28"/>
        </w:rPr>
        <w:t>项目依据文件要求，按照学校实际发展需求，学校向市教育局提请《乌鲁木齐市第二十三中学新校区建设方案申请报告》，教育局批准后向市政府提交了建设方案，市政府批准后由市发改委立项，并下发（乌发改函【2017】822号）批复文件，有关支出严格按照文件要求，在此基础上已经过必要的可行性研究、绩效评估、集体决策。故立项程序规范，得4分。</w:t>
      </w:r>
    </w:p>
    <w:p w14:paraId="60F51F19">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8</w:t>
      </w:r>
      <w:r>
        <w:rPr>
          <w:rFonts w:hint="eastAsia" w:ascii="仿宋_GB2312" w:hAnsi="仿宋" w:cs="宋体"/>
          <w:b/>
          <w:kern w:val="0"/>
          <w:szCs w:val="28"/>
        </w:rPr>
        <w:t>分，得分8分。</w:t>
      </w:r>
    </w:p>
    <w:p w14:paraId="300BA30D">
      <w:pPr>
        <w:pStyle w:val="4"/>
        <w:ind w:firstLine="643"/>
      </w:pPr>
      <w:r>
        <w:rPr>
          <w:rFonts w:hint="eastAsia"/>
        </w:rPr>
        <w:t>2</w:t>
      </w:r>
      <w:r>
        <w:t>.</w:t>
      </w:r>
      <w:r>
        <w:rPr>
          <w:rFonts w:hint="eastAsia"/>
        </w:rPr>
        <w:t>绩效目</w:t>
      </w:r>
      <w:bookmarkEnd w:id="36"/>
      <w:r>
        <w:rPr>
          <w:rFonts w:hint="eastAsia"/>
        </w:rPr>
        <w:t>标</w:t>
      </w:r>
    </w:p>
    <w:p w14:paraId="1890DFD3">
      <w:pPr>
        <w:spacing w:line="360" w:lineRule="auto"/>
        <w:ind w:firstLine="562"/>
        <w:rPr>
          <w:rFonts w:ascii="仿宋_GB2312" w:hAnsi="仿宋"/>
          <w:szCs w:val="28"/>
        </w:rPr>
      </w:pPr>
      <w:r>
        <w:rPr>
          <w:rFonts w:hint="eastAsia" w:ascii="仿宋_GB2312"/>
          <w:b/>
          <w:bCs/>
          <w:szCs w:val="28"/>
        </w:rPr>
        <w:t>绩效目标合理性:</w:t>
      </w:r>
      <w:r>
        <w:rPr>
          <w:rFonts w:hint="eastAsia" w:ascii="仿宋_GB2312" w:hAnsi="仿宋"/>
          <w:szCs w:val="28"/>
        </w:rPr>
        <w:t>本项目有明确的绩效目标，绩效目标按照产出、成本、效益和满意度构建绩效评价指标，绩效目标与实际工作内容具有相关性，能较为全面地反映本项目的产出和效益，符合正常的业绩水平，且每个项目有确定的项目投入额相匹配。故绩效目标合理性指标得分</w:t>
      </w:r>
      <w:r>
        <w:rPr>
          <w:rFonts w:ascii="仿宋_GB2312" w:hAnsi="仿宋"/>
          <w:szCs w:val="28"/>
        </w:rPr>
        <w:t>3</w:t>
      </w:r>
      <w:r>
        <w:rPr>
          <w:rFonts w:hint="eastAsia" w:ascii="仿宋_GB2312" w:hAnsi="仿宋"/>
          <w:szCs w:val="28"/>
        </w:rPr>
        <w:t>分。</w:t>
      </w:r>
    </w:p>
    <w:p w14:paraId="08E755E2">
      <w:pPr>
        <w:autoSpaceDE w:val="0"/>
        <w:spacing w:line="360" w:lineRule="auto"/>
        <w:ind w:firstLine="562"/>
        <w:rPr>
          <w:rFonts w:ascii="仿宋_GB2312" w:hAnsi="仿宋"/>
          <w:szCs w:val="28"/>
        </w:rPr>
      </w:pPr>
      <w:r>
        <w:rPr>
          <w:rFonts w:hint="eastAsia" w:ascii="仿宋_GB2312" w:hAnsi="仿宋" w:cs="宋体"/>
          <w:b/>
          <w:kern w:val="0"/>
          <w:szCs w:val="28"/>
        </w:rPr>
        <w:t>绩效目标明确性:</w:t>
      </w:r>
      <w:r>
        <w:rPr>
          <w:rFonts w:hint="eastAsia" w:ascii="仿宋_GB2312" w:hAnsi="仿宋"/>
          <w:szCs w:val="28"/>
        </w:rPr>
        <w:t>其中，目标已细化为具体的绩效指标:具体有“完成项目数量，二标段室外配套工程面积，工程验收合格率，建设工程完工率，基本建设工程款，工程建设二类费用，设备购置费，有效改善办学条件、满足学生及家长对教育资源的需求，学生、教师对项目的整体满意度</w:t>
      </w:r>
      <w:r>
        <w:rPr>
          <w:rFonts w:ascii="仿宋_GB2312" w:hAnsi="仿宋"/>
          <w:szCs w:val="28"/>
        </w:rPr>
        <w:t>”</w:t>
      </w:r>
      <w:r>
        <w:rPr>
          <w:rFonts w:hint="eastAsia" w:ascii="仿宋_GB2312" w:hAnsi="仿宋"/>
          <w:szCs w:val="28"/>
        </w:rPr>
        <w:t>共计6个二级指标9个三级指标，并具有确切的评价标准，且指标设定均与目标相关。各项指标均能在现实条件下收集到相关数据进行佐证（1、产出指标:通过预算安排资金的用途，将项目分类为三大类别、通过中标通知书查看配套工程面积，通过合同与验货单等查看设备验收是否合格、通过工程进度，得出年底工程完工率；2、成本指标:通过采购发票与支付凭证、报告单等原始凭证，查看项目成本；3、社会效益指标:根据新校区建设进度及师生满意度评价，评价社会效益指标，提供说明；4、满意度调查:通过问卷形式，收集师生对该项目的满意度评价），并与当年项目年度计划相对应，故绩效目标明确性指标得分</w:t>
      </w:r>
      <w:r>
        <w:rPr>
          <w:rFonts w:ascii="仿宋_GB2312" w:hAnsi="仿宋"/>
          <w:szCs w:val="28"/>
        </w:rPr>
        <w:t>3</w:t>
      </w:r>
      <w:r>
        <w:rPr>
          <w:rFonts w:hint="eastAsia" w:ascii="仿宋_GB2312" w:hAnsi="仿宋"/>
          <w:szCs w:val="28"/>
        </w:rPr>
        <w:t>分。</w:t>
      </w:r>
    </w:p>
    <w:p w14:paraId="2DD6635E">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分，得分6分。</w:t>
      </w:r>
    </w:p>
    <w:p w14:paraId="4DF0FBF5">
      <w:pPr>
        <w:pStyle w:val="4"/>
        <w:ind w:firstLine="643"/>
      </w:pPr>
      <w:bookmarkStart w:id="37" w:name="_Toc165277244"/>
      <w:r>
        <w:rPr>
          <w:rFonts w:hint="eastAsia"/>
        </w:rPr>
        <w:t>3.资金投入</w:t>
      </w:r>
      <w:bookmarkEnd w:id="37"/>
    </w:p>
    <w:p w14:paraId="29687EE8">
      <w:pPr>
        <w:spacing w:line="360" w:lineRule="auto"/>
        <w:ind w:firstLine="562"/>
        <w:rPr>
          <w:rFonts w:ascii="仿宋_GB2312" w:hAnsi="仿宋"/>
          <w:szCs w:val="28"/>
        </w:rPr>
      </w:pPr>
      <w:bookmarkStart w:id="38" w:name="_Toc165277245"/>
      <w:bookmarkStart w:id="39" w:name="_Toc67911613"/>
      <w:r>
        <w:rPr>
          <w:rFonts w:hint="eastAsia" w:ascii="仿宋_GB2312" w:hAnsi="仿宋" w:cs="宋体"/>
          <w:b/>
          <w:kern w:val="0"/>
          <w:szCs w:val="28"/>
        </w:rPr>
        <w:t>预算编制科学性:</w:t>
      </w:r>
      <w:r>
        <w:rPr>
          <w:rFonts w:hint="eastAsia" w:ascii="仿宋_GB2312" w:hAnsi="仿宋"/>
          <w:szCs w:val="28"/>
        </w:rPr>
        <w:t>此项目预算编制经过科学论证且预算内容与项目内容匹配，2022</w:t>
      </w:r>
      <w:r>
        <w:rPr>
          <w:rFonts w:ascii="仿宋_GB2312" w:hAnsi="仿宋"/>
          <w:szCs w:val="28"/>
        </w:rPr>
        <w:t>年9月由学校总务科</w:t>
      </w:r>
      <w:r>
        <w:rPr>
          <w:rFonts w:hint="eastAsia" w:ascii="仿宋_GB2312" w:hAnsi="仿宋"/>
          <w:szCs w:val="28"/>
        </w:rPr>
        <w:t>做</w:t>
      </w:r>
      <w:r>
        <w:rPr>
          <w:rFonts w:ascii="仿宋_GB2312" w:hAnsi="仿宋"/>
          <w:szCs w:val="28"/>
        </w:rPr>
        <w:t>基建项目进度及支付</w:t>
      </w:r>
      <w:r>
        <w:rPr>
          <w:rFonts w:hint="eastAsia" w:ascii="仿宋_GB2312" w:hAnsi="仿宋"/>
          <w:szCs w:val="28"/>
        </w:rPr>
        <w:t>计划</w:t>
      </w:r>
      <w:r>
        <w:rPr>
          <w:rFonts w:ascii="仿宋_GB2312" w:hAnsi="仿宋"/>
          <w:szCs w:val="28"/>
        </w:rPr>
        <w:t>，</w:t>
      </w:r>
      <w:r>
        <w:rPr>
          <w:rFonts w:hint="eastAsia" w:ascii="仿宋_GB2312" w:hAnsi="仿宋"/>
          <w:szCs w:val="28"/>
        </w:rPr>
        <w:t>经</w:t>
      </w:r>
      <w:r>
        <w:rPr>
          <w:rFonts w:ascii="仿宋_GB2312" w:hAnsi="仿宋"/>
          <w:szCs w:val="28"/>
        </w:rPr>
        <w:t>学校党委会</w:t>
      </w:r>
      <w:r>
        <w:rPr>
          <w:rFonts w:hint="eastAsia" w:ascii="仿宋_GB2312" w:hAnsi="仿宋"/>
          <w:szCs w:val="28"/>
        </w:rPr>
        <w:t>研究决定后</w:t>
      </w:r>
      <w:r>
        <w:rPr>
          <w:rFonts w:ascii="仿宋_GB2312" w:hAnsi="仿宋"/>
          <w:szCs w:val="28"/>
        </w:rPr>
        <w:t>，上报教育局、财政局</w:t>
      </w:r>
      <w:r>
        <w:rPr>
          <w:rFonts w:hint="eastAsia" w:ascii="仿宋_GB2312" w:hAnsi="仿宋"/>
          <w:szCs w:val="28"/>
        </w:rPr>
        <w:t>，主管部门</w:t>
      </w:r>
      <w:r>
        <w:rPr>
          <w:rFonts w:ascii="仿宋_GB2312" w:hAnsi="仿宋"/>
          <w:szCs w:val="28"/>
        </w:rPr>
        <w:t>10月来</w:t>
      </w:r>
      <w:r>
        <w:rPr>
          <w:rFonts w:hint="eastAsia" w:ascii="仿宋_GB2312" w:hAnsi="仿宋"/>
          <w:szCs w:val="28"/>
        </w:rPr>
        <w:t>学校调研</w:t>
      </w:r>
      <w:r>
        <w:rPr>
          <w:rFonts w:ascii="仿宋_GB2312" w:hAnsi="仿宋"/>
          <w:szCs w:val="28"/>
        </w:rPr>
        <w:t>项目，分配项目金额</w:t>
      </w:r>
      <w:r>
        <w:rPr>
          <w:rFonts w:hint="eastAsia" w:ascii="仿宋_GB2312" w:hAnsi="仿宋"/>
          <w:szCs w:val="28"/>
        </w:rPr>
        <w:t>及</w:t>
      </w:r>
      <w:r>
        <w:rPr>
          <w:rFonts w:ascii="仿宋_GB2312" w:hAnsi="仿宋"/>
          <w:szCs w:val="28"/>
        </w:rPr>
        <w:t>功能分类</w:t>
      </w:r>
      <w:r>
        <w:rPr>
          <w:rFonts w:hint="eastAsia" w:ascii="仿宋_GB2312" w:hAnsi="仿宋"/>
          <w:szCs w:val="28"/>
        </w:rPr>
        <w:t>，学校按下达标准编制，年初预算资金3000万元，年中追加部分预算批复项目：2023.9追加基建资金3371.95万元（批文：</w:t>
      </w:r>
      <w:r>
        <w:rPr>
          <w:rFonts w:ascii="仿宋_GB2312" w:hAnsi="仿宋"/>
          <w:szCs w:val="28"/>
        </w:rPr>
        <w:t>乌财建【2023】3</w:t>
      </w:r>
      <w:r>
        <w:rPr>
          <w:rFonts w:hint="eastAsia" w:ascii="仿宋_GB2312" w:hAnsi="仿宋"/>
          <w:szCs w:val="28"/>
        </w:rPr>
        <w:t>31</w:t>
      </w:r>
      <w:r>
        <w:rPr>
          <w:rFonts w:ascii="仿宋_GB2312" w:hAnsi="仿宋"/>
          <w:szCs w:val="28"/>
        </w:rPr>
        <w:t>号《关于下达2023年教育系统（第二批</w:t>
      </w:r>
      <w:r>
        <w:rPr>
          <w:rFonts w:hint="eastAsia" w:ascii="仿宋_GB2312" w:hAnsi="仿宋"/>
          <w:szCs w:val="28"/>
        </w:rPr>
        <w:t>）</w:t>
      </w:r>
      <w:r>
        <w:rPr>
          <w:rFonts w:ascii="仿宋_GB2312" w:hAnsi="仿宋"/>
          <w:szCs w:val="28"/>
        </w:rPr>
        <w:t>资金预算的通知》</w:t>
      </w:r>
      <w:r>
        <w:rPr>
          <w:rFonts w:hint="eastAsia" w:ascii="仿宋_GB2312" w:hAnsi="仿宋"/>
          <w:szCs w:val="28"/>
        </w:rPr>
        <w:t>），2023.10追加基建资金3130.82万元（批文：</w:t>
      </w:r>
      <w:r>
        <w:rPr>
          <w:rFonts w:ascii="仿宋_GB2312" w:hAnsi="仿宋"/>
          <w:szCs w:val="28"/>
        </w:rPr>
        <w:t>乌财建【2023】372号《关于下达2023年教育系统（第三批）资金预算的通知》</w:t>
      </w:r>
      <w:r>
        <w:rPr>
          <w:rFonts w:hint="eastAsia" w:ascii="仿宋_GB2312" w:hAnsi="仿宋"/>
          <w:szCs w:val="28"/>
        </w:rPr>
        <w:t>），合计9502.77万元，故预算编制科学性指标得分</w:t>
      </w:r>
      <w:r>
        <w:rPr>
          <w:rFonts w:ascii="仿宋_GB2312" w:hAnsi="仿宋"/>
          <w:szCs w:val="28"/>
        </w:rPr>
        <w:t>3</w:t>
      </w:r>
      <w:r>
        <w:rPr>
          <w:rFonts w:hint="eastAsia" w:ascii="仿宋_GB2312" w:hAnsi="仿宋"/>
          <w:szCs w:val="28"/>
        </w:rPr>
        <w:t>分。</w:t>
      </w:r>
    </w:p>
    <w:p w14:paraId="28D9440D">
      <w:pPr>
        <w:spacing w:line="360" w:lineRule="auto"/>
        <w:ind w:firstLine="562"/>
        <w:rPr>
          <w:rFonts w:ascii="仿宋_GB2312" w:hAnsi="仿宋"/>
          <w:szCs w:val="28"/>
        </w:rPr>
      </w:pPr>
      <w:r>
        <w:rPr>
          <w:rFonts w:hint="eastAsia"/>
          <w:b/>
          <w:bCs/>
        </w:rPr>
        <w:t>资金分配合理性</w:t>
      </w:r>
      <w:r>
        <w:rPr>
          <w:rFonts w:hint="eastAsia"/>
        </w:rPr>
        <w:t>:</w:t>
      </w:r>
      <w:r>
        <w:rPr>
          <w:rFonts w:hint="eastAsia" w:ascii="仿宋_GB2312" w:hAnsi="仿宋"/>
          <w:szCs w:val="28"/>
        </w:rPr>
        <w:t>根据</w:t>
      </w:r>
      <w:r>
        <w:rPr>
          <w:rFonts w:hint="eastAsia" w:ascii="仿宋_GB2312"/>
          <w:bCs/>
        </w:rPr>
        <w:t>（乌发改函【2017】822号）《关于对乌鲁木齐市第二十中学新校区建设项目立项的批复》、</w:t>
      </w:r>
      <w:r>
        <w:rPr>
          <w:rFonts w:ascii="仿宋_GB2312" w:hAnsi="仿宋"/>
          <w:szCs w:val="28"/>
        </w:rPr>
        <w:t>乌财建【2023】3</w:t>
      </w:r>
      <w:r>
        <w:rPr>
          <w:rFonts w:hint="eastAsia" w:ascii="仿宋_GB2312" w:hAnsi="仿宋"/>
          <w:szCs w:val="28"/>
        </w:rPr>
        <w:t>31</w:t>
      </w:r>
      <w:r>
        <w:rPr>
          <w:rFonts w:ascii="仿宋_GB2312" w:hAnsi="仿宋"/>
          <w:szCs w:val="28"/>
        </w:rPr>
        <w:t>号《关于下达2023年教育系统（第二批</w:t>
      </w:r>
      <w:r>
        <w:rPr>
          <w:rFonts w:hint="eastAsia" w:ascii="仿宋_GB2312" w:hAnsi="仿宋"/>
          <w:szCs w:val="28"/>
        </w:rPr>
        <w:t>）</w:t>
      </w:r>
      <w:r>
        <w:rPr>
          <w:rFonts w:ascii="仿宋_GB2312" w:hAnsi="仿宋"/>
          <w:szCs w:val="28"/>
        </w:rPr>
        <w:t>资金预算的通知》</w:t>
      </w:r>
      <w:r>
        <w:rPr>
          <w:rFonts w:hint="eastAsia" w:ascii="仿宋_GB2312" w:hAnsi="仿宋"/>
          <w:szCs w:val="28"/>
        </w:rPr>
        <w:t>、</w:t>
      </w:r>
      <w:r>
        <w:rPr>
          <w:rFonts w:ascii="仿宋_GB2312" w:hAnsi="仿宋"/>
          <w:szCs w:val="28"/>
        </w:rPr>
        <w:t>乌财建【2023】372号《关于下达2023年教育系统（第三批）资金预算的通知》</w:t>
      </w:r>
      <w:r>
        <w:rPr>
          <w:rFonts w:hint="eastAsia" w:ascii="仿宋_GB2312" w:hAnsi="仿宋"/>
          <w:szCs w:val="28"/>
        </w:rPr>
        <w:t>文件精神，该部分资金主要用于</w:t>
      </w:r>
      <w:r>
        <w:rPr>
          <w:rFonts w:hint="eastAsia" w:ascii="仿宋_GB2312"/>
          <w:bCs/>
        </w:rPr>
        <w:t>田径运动场铺设，科技信息楼、艺术中学、食堂、体育楼的二次装修；建筑设施内的供排水及消防设施的安装调试、道路铺设及部分校园绿化；部分智慧校园及校园文化建设及设备采购及安装</w:t>
      </w:r>
      <w:r>
        <w:rPr>
          <w:rFonts w:hint="eastAsia" w:ascii="仿宋_GB2312" w:hAnsi="仿宋"/>
          <w:szCs w:val="28"/>
        </w:rPr>
        <w:t>。资金分配首先基于学校实际需求，考虑教学活动、学生发展等多方面因素，在确保学校基本需求基础上，根据学校规模、学生结构等因素，合理调整资金分配比例。对于教学设备，旨在优化教学方法，资金分配有所提高;对于基建项目，旨在提高学校的基础设施能力，资金分配有所提高。故资金分配合理性指标得分</w:t>
      </w:r>
      <w:r>
        <w:rPr>
          <w:rFonts w:ascii="仿宋_GB2312" w:hAnsi="仿宋"/>
          <w:szCs w:val="28"/>
        </w:rPr>
        <w:t>3</w:t>
      </w:r>
      <w:r>
        <w:rPr>
          <w:rFonts w:hint="eastAsia" w:ascii="仿宋_GB2312" w:hAnsi="仿宋"/>
          <w:szCs w:val="28"/>
        </w:rPr>
        <w:t>分。</w:t>
      </w:r>
    </w:p>
    <w:p w14:paraId="32148249">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分，得分6分。</w:t>
      </w:r>
    </w:p>
    <w:p w14:paraId="117A7400">
      <w:pPr>
        <w:pStyle w:val="3"/>
        <w:ind w:firstLine="643"/>
        <w:rPr>
          <w:rFonts w:ascii="仿宋" w:hAnsi="仿宋" w:eastAsia="仿宋"/>
          <w:lang w:bidi="en-US"/>
        </w:rPr>
      </w:pPr>
      <w:r>
        <w:rPr>
          <w:rFonts w:hint="eastAsia" w:ascii="仿宋" w:hAnsi="仿宋" w:eastAsia="仿宋"/>
          <w:lang w:bidi="en-US"/>
        </w:rPr>
        <w:t>（二）项目过程情况</w:t>
      </w:r>
      <w:bookmarkEnd w:id="38"/>
      <w:bookmarkEnd w:id="39"/>
      <w:bookmarkStart w:id="40" w:name="_Toc165277246"/>
    </w:p>
    <w:p w14:paraId="01C60A94">
      <w:pPr>
        <w:pStyle w:val="3"/>
        <w:keepNext w:val="0"/>
        <w:keepLines w:val="0"/>
        <w:spacing w:before="0" w:after="0" w:line="415" w:lineRule="auto"/>
        <w:ind w:firstLine="560"/>
        <w:jc w:val="left"/>
        <w:rPr>
          <w:rFonts w:ascii="仿宋_GB2312" w:hAnsi="仿宋" w:eastAsia="仿宋_GB2312" w:cs="黑体"/>
          <w:b w:val="0"/>
          <w:bCs w:val="0"/>
          <w:sz w:val="28"/>
          <w:szCs w:val="28"/>
        </w:rPr>
      </w:pPr>
      <w:r>
        <w:rPr>
          <w:rFonts w:hint="eastAsia" w:ascii="仿宋_GB2312" w:hAnsi="仿宋" w:eastAsia="仿宋_GB2312" w:cs="黑体"/>
          <w:b w:val="0"/>
          <w:bCs w:val="0"/>
          <w:sz w:val="28"/>
          <w:szCs w:val="28"/>
        </w:rPr>
        <w:t>项目过程指标由2个二级指标和5个三级指标构成，权重为20分，实际得分</w:t>
      </w:r>
      <w:r>
        <w:rPr>
          <w:rFonts w:ascii="仿宋_GB2312" w:hAnsi="仿宋" w:eastAsia="仿宋_GB2312" w:cs="黑体"/>
          <w:b w:val="0"/>
          <w:bCs w:val="0"/>
          <w:sz w:val="28"/>
          <w:szCs w:val="28"/>
        </w:rPr>
        <w:t>16</w:t>
      </w:r>
      <w:r>
        <w:rPr>
          <w:rFonts w:hint="eastAsia" w:ascii="仿宋_GB2312" w:hAnsi="仿宋" w:eastAsia="仿宋_GB2312" w:cs="黑体"/>
          <w:b w:val="0"/>
          <w:bCs w:val="0"/>
          <w:sz w:val="28"/>
          <w:szCs w:val="28"/>
        </w:rPr>
        <w:t>分。</w:t>
      </w:r>
    </w:p>
    <w:p w14:paraId="34785DC6">
      <w:pPr>
        <w:pStyle w:val="4"/>
        <w:ind w:firstLine="643"/>
      </w:pPr>
      <w:r>
        <w:t>1.</w:t>
      </w:r>
      <w:r>
        <w:rPr>
          <w:rFonts w:hint="eastAsia"/>
        </w:rPr>
        <w:t>资金管理</w:t>
      </w:r>
      <w:bookmarkEnd w:id="40"/>
    </w:p>
    <w:p w14:paraId="7B5A7600">
      <w:pPr>
        <w:spacing w:line="360" w:lineRule="auto"/>
        <w:ind w:firstLine="562"/>
        <w:rPr>
          <w:rFonts w:ascii="仿宋_GB2312" w:hAnsi="仿宋"/>
          <w:szCs w:val="28"/>
        </w:rPr>
      </w:pPr>
      <w:r>
        <w:rPr>
          <w:rFonts w:hint="eastAsia" w:ascii="仿宋_GB2312"/>
          <w:b/>
          <w:bCs/>
          <w:szCs w:val="28"/>
        </w:rPr>
        <w:t>资金到位率</w:t>
      </w:r>
      <w:r>
        <w:rPr>
          <w:rFonts w:hint="eastAsia" w:ascii="仿宋_GB2312" w:hAnsi="仿宋"/>
          <w:szCs w:val="28"/>
        </w:rPr>
        <w:t>:该项目资金由财政拨付，年初预算资金3000万元， 2023.9追加基建资金3371.95万元，2023.10追加基建资金3130.82万元，合计9502.77万元。在2023年1月到位1000万元、3月到位36.5万元、5月到位5.23万元、6月到位185.5万元、7月到位1319.51万元、9月到位174.58万元、10月到位15.66万元、12月到位1300万元，我校均在当月按照支付合同金额，全部资金及时支付到各供应商。2023年度资金到位4036.98万元，全年预算数9502.77万元，故资金到位率为42.48%。因此，指标得分</w:t>
      </w:r>
      <w:r>
        <w:rPr>
          <w:rFonts w:ascii="仿宋_GB2312" w:hAnsi="仿宋"/>
          <w:szCs w:val="28"/>
        </w:rPr>
        <w:t>2</w:t>
      </w:r>
      <w:r>
        <w:rPr>
          <w:rFonts w:hint="eastAsia" w:ascii="仿宋_GB2312" w:hAnsi="仿宋"/>
          <w:szCs w:val="28"/>
        </w:rPr>
        <w:t>分。</w:t>
      </w:r>
    </w:p>
    <w:p w14:paraId="3102CE31">
      <w:pPr>
        <w:spacing w:line="360" w:lineRule="auto"/>
        <w:ind w:firstLine="562"/>
        <w:rPr>
          <w:rFonts w:ascii="仿宋_GB2312"/>
          <w:b/>
          <w:bCs/>
          <w:szCs w:val="28"/>
        </w:rPr>
      </w:pPr>
      <w:r>
        <w:rPr>
          <w:rFonts w:hint="eastAsia" w:ascii="仿宋_GB2312"/>
          <w:b/>
          <w:bCs/>
          <w:szCs w:val="28"/>
        </w:rPr>
        <w:t>预算执行率:</w:t>
      </w:r>
    </w:p>
    <w:p w14:paraId="193BF88C">
      <w:pPr>
        <w:spacing w:line="360" w:lineRule="auto"/>
        <w:ind w:firstLine="560"/>
        <w:rPr>
          <w:rFonts w:ascii="仿宋_GB2312" w:hAnsi="仿宋"/>
          <w:szCs w:val="28"/>
        </w:rPr>
      </w:pPr>
      <w:r>
        <w:rPr>
          <w:rFonts w:hint="eastAsia" w:ascii="仿宋_GB2312" w:hAnsi="仿宋"/>
          <w:szCs w:val="28"/>
        </w:rPr>
        <w:t>2023年度决算数4036.98万元，全年预算数4036.98万元，预算执行率为100%。故预算执行率得分为5分。</w:t>
      </w:r>
    </w:p>
    <w:p w14:paraId="52CFCC36">
      <w:pPr>
        <w:spacing w:line="360" w:lineRule="auto"/>
        <w:ind w:firstLine="562"/>
        <w:rPr>
          <w:rFonts w:ascii="仿宋_GB2312" w:hAnsi="仿宋"/>
          <w:szCs w:val="28"/>
        </w:rPr>
      </w:pPr>
      <w:r>
        <w:rPr>
          <w:rFonts w:hint="eastAsia" w:ascii="仿宋_GB2312"/>
          <w:b/>
          <w:bCs/>
          <w:szCs w:val="28"/>
        </w:rPr>
        <w:t>资金使用合规性：</w:t>
      </w:r>
      <w:r>
        <w:rPr>
          <w:rFonts w:hint="eastAsia" w:ascii="仿宋_GB2312" w:hAnsi="仿宋"/>
          <w:szCs w:val="28"/>
        </w:rPr>
        <w:t>本项目资金的使用符合专人负责和财务监督内部控制管理制度以及有关项目专项资金管理办法的规定。同时，资金的拨付有文件依据等程序，需要政府采购、招标、签订合同等手续，该项目主要由总务科牵头，</w:t>
      </w:r>
      <w:r>
        <w:rPr>
          <w:rFonts w:ascii="仿宋_GB2312" w:hAnsi="仿宋"/>
          <w:szCs w:val="28"/>
        </w:rPr>
        <w:t>项目资金到位后，总务科</w:t>
      </w:r>
      <w:r>
        <w:rPr>
          <w:rFonts w:hint="eastAsia" w:ascii="仿宋_GB2312" w:hAnsi="仿宋"/>
          <w:szCs w:val="28"/>
        </w:rPr>
        <w:t>列</w:t>
      </w:r>
      <w:r>
        <w:rPr>
          <w:rFonts w:ascii="仿宋_GB2312" w:hAnsi="仿宋"/>
          <w:szCs w:val="28"/>
        </w:rPr>
        <w:t>出支付明细，</w:t>
      </w:r>
      <w:r>
        <w:rPr>
          <w:rFonts w:hint="eastAsia" w:ascii="仿宋_GB2312" w:hAnsi="仿宋"/>
          <w:szCs w:val="28"/>
        </w:rPr>
        <w:t>提供</w:t>
      </w:r>
      <w:r>
        <w:rPr>
          <w:rFonts w:ascii="仿宋_GB2312" w:hAnsi="仿宋"/>
          <w:szCs w:val="28"/>
        </w:rPr>
        <w:t>监管中心的</w:t>
      </w:r>
      <w:r>
        <w:rPr>
          <w:rFonts w:hint="eastAsia" w:ascii="仿宋_GB2312" w:hAnsi="仿宋"/>
          <w:szCs w:val="28"/>
        </w:rPr>
        <w:t>审批单、</w:t>
      </w:r>
      <w:r>
        <w:rPr>
          <w:rFonts w:ascii="仿宋_GB2312" w:hAnsi="仿宋"/>
          <w:szCs w:val="28"/>
        </w:rPr>
        <w:t>教育局财审科基建项目审批单</w:t>
      </w:r>
      <w:r>
        <w:rPr>
          <w:rFonts w:hint="eastAsia" w:ascii="仿宋_GB2312" w:hAnsi="仿宋"/>
          <w:szCs w:val="28"/>
        </w:rPr>
        <w:t>、</w:t>
      </w:r>
      <w:r>
        <w:rPr>
          <w:rFonts w:ascii="仿宋_GB2312" w:hAnsi="仿宋"/>
          <w:szCs w:val="28"/>
        </w:rPr>
        <w:t>学校党委会会议纪要</w:t>
      </w:r>
      <w:r>
        <w:rPr>
          <w:rFonts w:hint="eastAsia" w:ascii="仿宋_GB2312" w:hAnsi="仿宋"/>
          <w:szCs w:val="28"/>
        </w:rPr>
        <w:t>、</w:t>
      </w:r>
      <w:r>
        <w:rPr>
          <w:rFonts w:ascii="仿宋_GB2312" w:hAnsi="仿宋"/>
          <w:szCs w:val="28"/>
        </w:rPr>
        <w:t>支付需要的发票、报告单、领单</w:t>
      </w:r>
      <w:r>
        <w:rPr>
          <w:rFonts w:hint="eastAsia" w:ascii="仿宋_GB2312" w:hAnsi="仿宋"/>
          <w:szCs w:val="28"/>
        </w:rPr>
        <w:t>等，由财务室将该项资金专款专用于与该项目有关的支出。符合项目预算批复或合同规定的用途，不存在截留、挤占、挪用、虚列支出等情况。故资金使用合规性得分为</w:t>
      </w:r>
      <w:r>
        <w:rPr>
          <w:rFonts w:ascii="仿宋_GB2312" w:hAnsi="仿宋"/>
          <w:szCs w:val="28"/>
        </w:rPr>
        <w:t>3</w:t>
      </w:r>
      <w:r>
        <w:rPr>
          <w:rFonts w:hint="eastAsia" w:ascii="仿宋_GB2312" w:hAnsi="仿宋"/>
          <w:szCs w:val="28"/>
        </w:rPr>
        <w:t>分。</w:t>
      </w:r>
    </w:p>
    <w:p w14:paraId="08DA22F7">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13</w:t>
      </w:r>
      <w:r>
        <w:rPr>
          <w:rFonts w:hint="eastAsia" w:ascii="仿宋_GB2312" w:hAnsi="仿宋" w:cs="宋体"/>
          <w:b/>
          <w:kern w:val="0"/>
          <w:szCs w:val="28"/>
        </w:rPr>
        <w:t>分，得分10分。</w:t>
      </w:r>
    </w:p>
    <w:p w14:paraId="7798A677">
      <w:pPr>
        <w:pStyle w:val="4"/>
        <w:ind w:firstLine="643"/>
      </w:pPr>
      <w:bookmarkStart w:id="41" w:name="_Toc165277247"/>
      <w:r>
        <w:t>2.</w:t>
      </w:r>
      <w:r>
        <w:rPr>
          <w:rFonts w:hint="eastAsia"/>
        </w:rPr>
        <w:t>组织实施</w:t>
      </w:r>
      <w:bookmarkEnd w:id="41"/>
    </w:p>
    <w:p w14:paraId="5876F0DC">
      <w:pPr>
        <w:spacing w:line="360" w:lineRule="auto"/>
        <w:ind w:firstLine="562"/>
        <w:rPr>
          <w:rFonts w:ascii="仿宋_GB2312" w:hAnsi="仿宋"/>
          <w:szCs w:val="28"/>
        </w:rPr>
      </w:pPr>
      <w:bookmarkStart w:id="42" w:name="_Toc165277248"/>
      <w:bookmarkStart w:id="43" w:name="_Toc67911614"/>
      <w:r>
        <w:rPr>
          <w:rFonts w:hint="eastAsia" w:ascii="仿宋_GB2312"/>
          <w:b/>
          <w:bCs/>
          <w:szCs w:val="28"/>
        </w:rPr>
        <w:t>管理制度健全性</w:t>
      </w:r>
      <w:r>
        <w:rPr>
          <w:rFonts w:hint="eastAsia" w:ascii="仿宋_GB2312"/>
          <w:szCs w:val="28"/>
        </w:rPr>
        <w:t>:</w:t>
      </w:r>
      <w:r>
        <w:rPr>
          <w:rFonts w:hint="eastAsia" w:ascii="仿宋_GB2312" w:hAnsi="仿宋"/>
          <w:szCs w:val="28"/>
        </w:rPr>
        <w:t>学校已制定相应的专人负责和财务监督内部控制管理制度，且制度合法、合规，为项目顺利实施提供重要保障，但随着工作新标准及要求的提出，我校内控管理制度有部分内容正在修订和完善，故管理制度健全性酌情扣减1分，得分为</w:t>
      </w:r>
      <w:r>
        <w:rPr>
          <w:rFonts w:ascii="仿宋_GB2312" w:hAnsi="仿宋"/>
          <w:szCs w:val="28"/>
        </w:rPr>
        <w:t>2</w:t>
      </w:r>
      <w:r>
        <w:rPr>
          <w:rFonts w:hint="eastAsia" w:ascii="仿宋_GB2312" w:hAnsi="仿宋"/>
          <w:szCs w:val="28"/>
        </w:rPr>
        <w:t>分。</w:t>
      </w:r>
    </w:p>
    <w:p w14:paraId="5BD7C109">
      <w:pPr>
        <w:spacing w:line="360" w:lineRule="auto"/>
        <w:ind w:firstLine="562"/>
        <w:rPr>
          <w:rFonts w:ascii="仿宋_GB2312" w:hAnsi="仿宋"/>
          <w:szCs w:val="28"/>
        </w:rPr>
      </w:pPr>
      <w:r>
        <w:rPr>
          <w:rFonts w:hint="eastAsia" w:ascii="仿宋_GB2312"/>
          <w:b/>
          <w:bCs/>
          <w:szCs w:val="28"/>
        </w:rPr>
        <w:t>制度执行有效性:</w:t>
      </w:r>
      <w:r>
        <w:rPr>
          <w:rFonts w:hint="eastAsia" w:ascii="仿宋_GB2312" w:hAnsi="仿宋"/>
          <w:szCs w:val="28"/>
        </w:rPr>
        <w:t>根据评价小组核查情况，学校严格遵守相关法律法规和相关管理规定，项目调整及支出手续完备，整体管理合理有序，项目完成后，及时将会计凭证、固定资产入库单等相关资料分类归档，制度执行有效。项目实施的人员条件、场地设备、信息支撑等落实到位。故制度执行有效性指标得分</w:t>
      </w:r>
      <w:r>
        <w:rPr>
          <w:rFonts w:ascii="仿宋_GB2312" w:hAnsi="仿宋"/>
          <w:szCs w:val="28"/>
        </w:rPr>
        <w:t>4</w:t>
      </w:r>
      <w:r>
        <w:rPr>
          <w:rFonts w:hint="eastAsia" w:ascii="仿宋_GB2312" w:hAnsi="仿宋"/>
          <w:szCs w:val="28"/>
        </w:rPr>
        <w:t>分。</w:t>
      </w:r>
    </w:p>
    <w:p w14:paraId="7F1554E7">
      <w:pPr>
        <w:autoSpaceDE w:val="0"/>
        <w:spacing w:line="600" w:lineRule="exact"/>
        <w:ind w:firstLine="562"/>
        <w:rPr>
          <w:rFonts w:ascii="仿宋_GB2312" w:hAnsi="仿宋" w:cs="宋体"/>
          <w:b/>
          <w:kern w:val="0"/>
          <w:szCs w:val="28"/>
        </w:rPr>
      </w:pPr>
      <w:bookmarkStart w:id="44" w:name="_Hlk67670213"/>
      <w:r>
        <w:rPr>
          <w:rFonts w:hint="eastAsia" w:ascii="仿宋_GB2312" w:hAnsi="仿宋" w:cs="宋体"/>
          <w:b/>
          <w:kern w:val="0"/>
          <w:szCs w:val="28"/>
        </w:rPr>
        <w:t>综上，该指标满分</w:t>
      </w:r>
      <w:r>
        <w:rPr>
          <w:rFonts w:ascii="仿宋_GB2312" w:hAnsi="仿宋" w:cs="宋体"/>
          <w:b/>
          <w:kern w:val="0"/>
          <w:szCs w:val="28"/>
        </w:rPr>
        <w:t>7</w:t>
      </w:r>
      <w:r>
        <w:rPr>
          <w:rFonts w:hint="eastAsia" w:ascii="仿宋_GB2312" w:hAnsi="仿宋" w:cs="宋体"/>
          <w:b/>
          <w:kern w:val="0"/>
          <w:szCs w:val="28"/>
        </w:rPr>
        <w:t>分，得分</w:t>
      </w:r>
      <w:r>
        <w:rPr>
          <w:rFonts w:ascii="仿宋_GB2312" w:hAnsi="仿宋" w:cs="宋体"/>
          <w:b/>
          <w:kern w:val="0"/>
          <w:szCs w:val="28"/>
        </w:rPr>
        <w:t>6</w:t>
      </w:r>
      <w:r>
        <w:rPr>
          <w:rFonts w:hint="eastAsia" w:ascii="仿宋_GB2312" w:hAnsi="仿宋" w:cs="宋体"/>
          <w:b/>
          <w:kern w:val="0"/>
          <w:szCs w:val="28"/>
        </w:rPr>
        <w:t>分。</w:t>
      </w:r>
    </w:p>
    <w:bookmarkEnd w:id="44"/>
    <w:p w14:paraId="0D904FDD">
      <w:pPr>
        <w:pStyle w:val="3"/>
        <w:ind w:firstLine="643"/>
        <w:rPr>
          <w:rFonts w:ascii="仿宋" w:hAnsi="仿宋" w:eastAsia="仿宋"/>
          <w:lang w:bidi="en-US"/>
        </w:rPr>
      </w:pPr>
      <w:r>
        <w:rPr>
          <w:rFonts w:hint="eastAsia" w:ascii="仿宋" w:hAnsi="仿宋" w:eastAsia="仿宋"/>
          <w:lang w:bidi="en-US"/>
        </w:rPr>
        <w:t>（三）项目产出情况</w:t>
      </w:r>
      <w:bookmarkEnd w:id="42"/>
      <w:bookmarkEnd w:id="43"/>
    </w:p>
    <w:p w14:paraId="0248504D">
      <w:pPr>
        <w:spacing w:line="360" w:lineRule="auto"/>
        <w:ind w:firstLine="560"/>
        <w:rPr>
          <w:rFonts w:ascii="仿宋_GB2312" w:hAnsi="仿宋"/>
          <w:szCs w:val="28"/>
        </w:rPr>
      </w:pPr>
      <w:bookmarkStart w:id="45" w:name="_Toc165277249"/>
      <w:r>
        <w:rPr>
          <w:rFonts w:hint="eastAsia" w:ascii="仿宋_GB2312" w:hAnsi="仿宋"/>
          <w:szCs w:val="28"/>
        </w:rPr>
        <w:t>项目产出指标由4个二级指标和4个三级指标构成，权重为35分，实际得分</w:t>
      </w:r>
      <w:r>
        <w:rPr>
          <w:rFonts w:ascii="仿宋_GB2312" w:hAnsi="仿宋"/>
          <w:szCs w:val="28"/>
        </w:rPr>
        <w:t>35</w:t>
      </w:r>
      <w:r>
        <w:rPr>
          <w:rFonts w:hint="eastAsia" w:ascii="仿宋_GB2312" w:hAnsi="仿宋"/>
          <w:szCs w:val="28"/>
        </w:rPr>
        <w:t>分。</w:t>
      </w:r>
    </w:p>
    <w:p w14:paraId="3E26B831">
      <w:pPr>
        <w:pStyle w:val="4"/>
        <w:ind w:firstLine="643"/>
      </w:pPr>
      <w:r>
        <w:rPr>
          <w:rFonts w:hint="eastAsia"/>
        </w:rPr>
        <w:t>1</w:t>
      </w:r>
      <w:r>
        <w:t>.</w:t>
      </w:r>
      <w:r>
        <w:rPr>
          <w:rFonts w:hint="eastAsia"/>
        </w:rPr>
        <w:t>产出数量</w:t>
      </w:r>
      <w:bookmarkEnd w:id="45"/>
    </w:p>
    <w:p w14:paraId="7A8BEA42">
      <w:pPr>
        <w:spacing w:line="360" w:lineRule="auto"/>
        <w:ind w:firstLine="560"/>
        <w:rPr>
          <w:rFonts w:ascii="仿宋_GB2312" w:hAnsi="仿宋"/>
          <w:szCs w:val="28"/>
        </w:rPr>
      </w:pPr>
      <w:r>
        <w:rPr>
          <w:rFonts w:hint="eastAsia" w:ascii="仿宋_GB2312" w:hAnsi="仿宋"/>
          <w:szCs w:val="28"/>
        </w:rPr>
        <w:t>数量指标“完成项目数量”的目标值是大于等于3项，</w:t>
      </w:r>
      <w:r>
        <w:rPr>
          <w:rFonts w:ascii="仿宋_GB2312" w:hAnsi="仿宋"/>
          <w:szCs w:val="28"/>
        </w:rPr>
        <w:t>2023年度我单位</w:t>
      </w:r>
      <w:r>
        <w:rPr>
          <w:rFonts w:hint="eastAsia" w:ascii="仿宋_GB2312" w:hAnsi="仿宋"/>
          <w:szCs w:val="28"/>
        </w:rPr>
        <w:t>实际完成3项，包括基本建设工程款、工程建设二类费用、设备购置费，实际完成率为100%。其中 “二标段室外配套工程面积”的目标值是大于等于35350平方米，</w:t>
      </w:r>
      <w:r>
        <w:rPr>
          <w:rFonts w:ascii="仿宋_GB2312" w:hAnsi="仿宋"/>
          <w:szCs w:val="28"/>
        </w:rPr>
        <w:t>2023年度我单位</w:t>
      </w:r>
      <w:r>
        <w:rPr>
          <w:rFonts w:hint="eastAsia" w:ascii="仿宋_GB2312" w:hAnsi="仿宋"/>
          <w:szCs w:val="28"/>
        </w:rPr>
        <w:t>实际完成二标段室外配套工程面积35350平方米，实际完成率为100%。</w:t>
      </w:r>
    </w:p>
    <w:p w14:paraId="6FCE32EC">
      <w:pPr>
        <w:spacing w:line="360" w:lineRule="auto"/>
        <w:ind w:firstLine="562"/>
        <w:rPr>
          <w:rFonts w:ascii="仿宋_GB2312"/>
          <w:b/>
          <w:bCs/>
          <w:szCs w:val="28"/>
        </w:rPr>
      </w:pPr>
      <w:r>
        <w:rPr>
          <w:rFonts w:hint="eastAsia" w:ascii="仿宋_GB2312"/>
          <w:b/>
          <w:bCs/>
          <w:szCs w:val="28"/>
        </w:rPr>
        <w:t>实际完成率:100%，故实际完成率得分为10分。</w:t>
      </w:r>
    </w:p>
    <w:p w14:paraId="387189CF">
      <w:pPr>
        <w:pStyle w:val="4"/>
        <w:ind w:firstLine="643"/>
      </w:pPr>
      <w:bookmarkStart w:id="46" w:name="_Toc165277250"/>
      <w:r>
        <w:rPr>
          <w:rFonts w:hint="eastAsia"/>
        </w:rPr>
        <w:t>2</w:t>
      </w:r>
      <w:r>
        <w:t>.</w:t>
      </w:r>
      <w:r>
        <w:rPr>
          <w:rFonts w:hint="eastAsia"/>
        </w:rPr>
        <w:t>产出质量</w:t>
      </w:r>
      <w:bookmarkEnd w:id="46"/>
    </w:p>
    <w:p w14:paraId="53EBA78E">
      <w:pPr>
        <w:spacing w:line="360" w:lineRule="auto"/>
        <w:ind w:firstLine="562"/>
        <w:rPr>
          <w:rFonts w:ascii="仿宋_GB2312" w:hAnsi="仿宋"/>
          <w:szCs w:val="28"/>
        </w:rPr>
      </w:pPr>
      <w:r>
        <w:rPr>
          <w:rFonts w:hint="eastAsia" w:ascii="仿宋_GB2312"/>
          <w:b/>
          <w:bCs/>
          <w:szCs w:val="28"/>
        </w:rPr>
        <w:t>工程验收合格率：</w:t>
      </w:r>
      <w:r>
        <w:rPr>
          <w:rFonts w:hint="eastAsia" w:ascii="仿宋_GB2312" w:hAnsi="仿宋"/>
          <w:szCs w:val="28"/>
        </w:rPr>
        <w:t>目标值为大于等于100%，2023年度我单位在项目完工后，及时验收，合格率实际完成100%，实际完成率为100%,故得分为5分。</w:t>
      </w:r>
    </w:p>
    <w:p w14:paraId="49544D0E">
      <w:pPr>
        <w:pStyle w:val="4"/>
        <w:tabs>
          <w:tab w:val="left" w:pos="7005"/>
        </w:tabs>
        <w:ind w:firstLine="643"/>
      </w:pPr>
      <w:bookmarkStart w:id="47" w:name="_Toc165277251"/>
      <w:r>
        <w:rPr>
          <w:rFonts w:hint="eastAsia"/>
        </w:rPr>
        <w:t>3</w:t>
      </w:r>
      <w:r>
        <w:t>.</w:t>
      </w:r>
      <w:r>
        <w:rPr>
          <w:rFonts w:hint="eastAsia"/>
        </w:rPr>
        <w:t>产出时效</w:t>
      </w:r>
      <w:bookmarkEnd w:id="47"/>
      <w:r>
        <w:tab/>
      </w:r>
    </w:p>
    <w:p w14:paraId="6F04E350">
      <w:pPr>
        <w:spacing w:line="360" w:lineRule="auto"/>
        <w:ind w:firstLine="562"/>
        <w:rPr>
          <w:rFonts w:ascii="仿宋_GB2312" w:hAnsi="仿宋"/>
          <w:szCs w:val="28"/>
        </w:rPr>
      </w:pPr>
      <w:r>
        <w:rPr>
          <w:rFonts w:hint="eastAsia" w:ascii="仿宋_GB2312"/>
          <w:b/>
          <w:bCs/>
          <w:szCs w:val="28"/>
        </w:rPr>
        <w:t>建设工程完工及时率:</w:t>
      </w:r>
      <w:r>
        <w:rPr>
          <w:rFonts w:hint="eastAsia"/>
        </w:rPr>
        <w:t xml:space="preserve"> </w:t>
      </w:r>
      <w:r>
        <w:rPr>
          <w:rFonts w:hint="eastAsia" w:ascii="仿宋_GB2312" w:hAnsi="仿宋"/>
          <w:szCs w:val="28"/>
        </w:rPr>
        <w:t>建设工程完工率目标值为100%，经设计单位、勘察单位、监理单位、施工单位、建设单位五方验收，于 2023年10月18日完成验收，并投入使用，已完成2023年全部工作计划，实际完成100%，故完成及时性得分为5分。</w:t>
      </w:r>
    </w:p>
    <w:p w14:paraId="11D24FCC">
      <w:pPr>
        <w:pStyle w:val="4"/>
        <w:ind w:firstLine="643"/>
      </w:pPr>
      <w:bookmarkStart w:id="48" w:name="_Toc165277252"/>
      <w:r>
        <w:rPr>
          <w:rFonts w:hint="eastAsia"/>
        </w:rPr>
        <w:t>4</w:t>
      </w:r>
      <w:r>
        <w:t>.</w:t>
      </w:r>
      <w:r>
        <w:rPr>
          <w:rFonts w:hint="eastAsia"/>
        </w:rPr>
        <w:t>产出成本</w:t>
      </w:r>
      <w:bookmarkEnd w:id="48"/>
    </w:p>
    <w:p w14:paraId="6CD65C58">
      <w:pPr>
        <w:spacing w:line="360" w:lineRule="auto"/>
        <w:ind w:firstLine="560"/>
        <w:rPr>
          <w:rFonts w:ascii="仿宋_GB2312" w:hAnsi="仿宋"/>
          <w:szCs w:val="28"/>
        </w:rPr>
      </w:pPr>
      <w:r>
        <w:rPr>
          <w:rFonts w:hint="eastAsia" w:ascii="仿宋_GB2312" w:hAnsi="仿宋"/>
          <w:szCs w:val="28"/>
        </w:rPr>
        <w:t>基本建设工程款成本:经发改委批复，一标段中标价12566.21万元，二标段中标价17821.06万元，发改委批复该项目预算为5.2亿元，未超支，根据实际工程进度2023年应支出9502.77万元，实际支出4036.98万元，得分为5分。</w:t>
      </w:r>
    </w:p>
    <w:p w14:paraId="5ADA6B6E">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综上，该部分指标满分</w:t>
      </w:r>
      <w:r>
        <w:rPr>
          <w:rFonts w:ascii="仿宋_GB2312" w:hAnsi="仿宋" w:cs="宋体"/>
          <w:b/>
          <w:kern w:val="0"/>
          <w:szCs w:val="28"/>
        </w:rPr>
        <w:t>35</w:t>
      </w:r>
      <w:r>
        <w:rPr>
          <w:rFonts w:hint="eastAsia" w:ascii="仿宋_GB2312" w:hAnsi="仿宋" w:cs="宋体"/>
          <w:b/>
          <w:kern w:val="0"/>
          <w:szCs w:val="28"/>
        </w:rPr>
        <w:t>分，得分</w:t>
      </w:r>
      <w:r>
        <w:rPr>
          <w:rFonts w:ascii="仿宋_GB2312"/>
          <w:szCs w:val="28"/>
        </w:rPr>
        <w:t>35</w:t>
      </w:r>
      <w:r>
        <w:rPr>
          <w:rFonts w:hint="eastAsia" w:ascii="仿宋_GB2312" w:hAnsi="仿宋" w:cs="宋体"/>
          <w:b/>
          <w:kern w:val="0"/>
          <w:szCs w:val="28"/>
        </w:rPr>
        <w:t>分。</w:t>
      </w:r>
    </w:p>
    <w:p w14:paraId="76A8886E">
      <w:pPr>
        <w:pStyle w:val="3"/>
        <w:ind w:firstLine="643"/>
        <w:rPr>
          <w:rFonts w:ascii="仿宋" w:hAnsi="仿宋" w:eastAsia="仿宋"/>
          <w:lang w:bidi="en-US"/>
        </w:rPr>
      </w:pPr>
      <w:bookmarkStart w:id="49" w:name="_Toc165277253"/>
      <w:bookmarkStart w:id="50" w:name="_Toc67911615"/>
      <w:r>
        <w:rPr>
          <w:rFonts w:hint="eastAsia" w:ascii="仿宋" w:hAnsi="仿宋" w:eastAsia="仿宋"/>
          <w:lang w:bidi="en-US"/>
        </w:rPr>
        <w:t>（四）项目效益情况</w:t>
      </w:r>
      <w:bookmarkEnd w:id="49"/>
      <w:bookmarkEnd w:id="50"/>
    </w:p>
    <w:p w14:paraId="189BDA92">
      <w:pPr>
        <w:spacing w:line="360" w:lineRule="auto"/>
        <w:ind w:firstLine="560"/>
        <w:rPr>
          <w:rFonts w:ascii="仿宋_GB2312" w:hAnsi="仿宋"/>
          <w:szCs w:val="28"/>
        </w:rPr>
      </w:pPr>
      <w:r>
        <w:rPr>
          <w:rFonts w:hint="eastAsia" w:ascii="仿宋_GB2312" w:hAnsi="仿宋"/>
          <w:szCs w:val="28"/>
        </w:rPr>
        <w:t>项目效益指标由</w:t>
      </w:r>
      <w:r>
        <w:rPr>
          <w:rFonts w:ascii="仿宋_GB2312" w:hAnsi="仿宋"/>
          <w:szCs w:val="28"/>
        </w:rPr>
        <w:t>1</w:t>
      </w:r>
      <w:r>
        <w:rPr>
          <w:rFonts w:hint="eastAsia" w:ascii="仿宋_GB2312" w:hAnsi="仿宋"/>
          <w:szCs w:val="28"/>
        </w:rPr>
        <w:t>个二级指标和1个三级指标构成，权重为15分，实际得分15分。</w:t>
      </w:r>
      <w:r>
        <w:rPr>
          <w:rFonts w:ascii="仿宋_GB2312" w:hAnsi="仿宋"/>
          <w:szCs w:val="28"/>
        </w:rPr>
        <w:t xml:space="preserve"> </w:t>
      </w:r>
    </w:p>
    <w:p w14:paraId="6465C009">
      <w:pPr>
        <w:pStyle w:val="4"/>
        <w:ind w:firstLine="643"/>
      </w:pPr>
      <w:bookmarkStart w:id="51" w:name="_Toc165277254"/>
      <w:r>
        <w:rPr>
          <w:rFonts w:hint="eastAsia"/>
        </w:rPr>
        <w:t>1</w:t>
      </w:r>
      <w:r>
        <w:t>.</w:t>
      </w:r>
      <w:r>
        <w:rPr>
          <w:rFonts w:hint="eastAsia"/>
        </w:rPr>
        <w:t>项目效益</w:t>
      </w:r>
      <w:bookmarkEnd w:id="51"/>
    </w:p>
    <w:p w14:paraId="4DAF2284">
      <w:pPr>
        <w:spacing w:line="360" w:lineRule="auto"/>
        <w:ind w:firstLine="562"/>
        <w:rPr>
          <w:rFonts w:ascii="仿宋_GB2312"/>
          <w:b/>
          <w:bCs/>
          <w:szCs w:val="28"/>
        </w:rPr>
      </w:pPr>
      <w:r>
        <w:rPr>
          <w:rFonts w:hint="eastAsia" w:ascii="仿宋_GB2312"/>
          <w:b/>
          <w:bCs/>
          <w:szCs w:val="28"/>
        </w:rPr>
        <w:t>（1）实施效益</w:t>
      </w:r>
    </w:p>
    <w:p w14:paraId="64D993A9">
      <w:pPr>
        <w:spacing w:line="360" w:lineRule="auto"/>
        <w:ind w:firstLine="562"/>
        <w:rPr>
          <w:rFonts w:ascii="仿宋_GB2312"/>
          <w:szCs w:val="28"/>
        </w:rPr>
      </w:pPr>
      <w:r>
        <w:rPr>
          <w:rFonts w:hint="eastAsia" w:ascii="仿宋_GB2312"/>
          <w:b/>
          <w:bCs/>
          <w:szCs w:val="28"/>
        </w:rPr>
        <w:t>经济效益指标：</w:t>
      </w:r>
      <w:r>
        <w:rPr>
          <w:rFonts w:hint="eastAsia" w:ascii="仿宋_GB2312"/>
          <w:szCs w:val="28"/>
        </w:rPr>
        <w:t>不适用。</w:t>
      </w:r>
      <w:r>
        <w:rPr>
          <w:rFonts w:ascii="仿宋_GB2312"/>
          <w:szCs w:val="28"/>
        </w:rPr>
        <w:t xml:space="preserve"> </w:t>
      </w:r>
    </w:p>
    <w:p w14:paraId="7E4EE54A">
      <w:pPr>
        <w:spacing w:line="360" w:lineRule="auto"/>
        <w:ind w:firstLine="562"/>
        <w:rPr>
          <w:rFonts w:ascii="仿宋_GB2312" w:hAnsi="仿宋"/>
          <w:szCs w:val="28"/>
        </w:rPr>
      </w:pPr>
      <w:r>
        <w:rPr>
          <w:rFonts w:hint="eastAsia" w:ascii="仿宋_GB2312"/>
          <w:b/>
          <w:bCs/>
          <w:szCs w:val="28"/>
        </w:rPr>
        <w:t>社会效益指标</w:t>
      </w:r>
      <w:r>
        <w:rPr>
          <w:rFonts w:hint="eastAsia" w:ascii="仿宋_GB2312"/>
          <w:szCs w:val="28"/>
        </w:rPr>
        <w:t>：</w:t>
      </w:r>
      <w:r>
        <w:rPr>
          <w:rFonts w:hint="eastAsia" w:ascii="仿宋_GB2312" w:hAnsi="仿宋"/>
          <w:szCs w:val="28"/>
        </w:rPr>
        <w:t>评价指标“有效改善办学条件、满足学生及家长对教育资源的需求”，指标值:有效改善，实际完成值：有效改善，达到年度指标。本项目的实施保证了正常教育教学的需要；进一步增强了学校的基础设施、硬件设施的建设，为教师和学生提供更先进的教育教学环境；满足了学生及家长对教育资源的需求，为社会培养了有用人才，故社会效益指标完全达到预期。</w:t>
      </w:r>
    </w:p>
    <w:p w14:paraId="708D1219">
      <w:pPr>
        <w:spacing w:line="360" w:lineRule="auto"/>
        <w:ind w:firstLine="562"/>
        <w:rPr>
          <w:rFonts w:ascii="仿宋_GB2312"/>
          <w:szCs w:val="28"/>
        </w:rPr>
      </w:pPr>
      <w:r>
        <w:rPr>
          <w:rFonts w:hint="eastAsia" w:ascii="仿宋_GB2312"/>
          <w:b/>
          <w:bCs/>
          <w:szCs w:val="28"/>
        </w:rPr>
        <w:t>生态效益指标</w:t>
      </w:r>
      <w:r>
        <w:rPr>
          <w:rFonts w:hint="eastAsia" w:ascii="仿宋_GB2312"/>
          <w:szCs w:val="28"/>
        </w:rPr>
        <w:t>：不适用。</w:t>
      </w:r>
    </w:p>
    <w:p w14:paraId="4534794C">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综上，该指标满分15分，得分15分。</w:t>
      </w:r>
    </w:p>
    <w:p w14:paraId="32347CFE">
      <w:pPr>
        <w:pStyle w:val="4"/>
        <w:ind w:firstLine="643"/>
      </w:pPr>
      <w:bookmarkStart w:id="52" w:name="_Toc165277255"/>
      <w:r>
        <w:t>2. 满意度指标完成情况分析</w:t>
      </w:r>
      <w:bookmarkEnd w:id="52"/>
    </w:p>
    <w:p w14:paraId="5F23F13D">
      <w:pPr>
        <w:spacing w:line="360" w:lineRule="auto"/>
        <w:ind w:firstLine="562"/>
        <w:rPr>
          <w:rFonts w:ascii="仿宋_GB2312"/>
          <w:b/>
          <w:bCs/>
          <w:szCs w:val="28"/>
        </w:rPr>
      </w:pPr>
      <w:r>
        <w:rPr>
          <w:rFonts w:hint="eastAsia" w:ascii="仿宋_GB2312"/>
          <w:b/>
          <w:bCs/>
          <w:szCs w:val="28"/>
        </w:rPr>
        <w:t>（</w:t>
      </w:r>
      <w:r>
        <w:rPr>
          <w:rFonts w:ascii="仿宋_GB2312"/>
          <w:b/>
          <w:bCs/>
          <w:szCs w:val="28"/>
        </w:rPr>
        <w:t>1</w:t>
      </w:r>
      <w:r>
        <w:rPr>
          <w:rFonts w:hint="eastAsia" w:ascii="仿宋_GB2312"/>
          <w:b/>
          <w:bCs/>
          <w:szCs w:val="28"/>
        </w:rPr>
        <w:t>）满意度指标</w:t>
      </w:r>
    </w:p>
    <w:p w14:paraId="00EA950B">
      <w:pPr>
        <w:spacing w:line="360" w:lineRule="auto"/>
        <w:ind w:firstLine="562"/>
        <w:rPr>
          <w:rFonts w:ascii="仿宋_GB2312" w:hAnsi="仿宋"/>
          <w:szCs w:val="28"/>
        </w:rPr>
      </w:pPr>
      <w:r>
        <w:rPr>
          <w:rFonts w:hint="eastAsia" w:ascii="仿宋_GB2312"/>
          <w:b/>
          <w:bCs/>
          <w:szCs w:val="28"/>
        </w:rPr>
        <w:t>学生、教师对项目的整体满意度:</w:t>
      </w:r>
      <w:r>
        <w:rPr>
          <w:rFonts w:hint="eastAsia" w:ascii="仿宋_GB2312" w:hAnsi="仿宋"/>
          <w:szCs w:val="28"/>
        </w:rPr>
        <w:t>评价指标“学生、教师对项目的整体满意度”，指标值:≥95%，实际完成值:=100%。通过设置问卷调查的方式进行考评评价，共计调查有效调查问卷20份。其中，统计“学生、教师对项目的整体满意度”的平均值为100%。故满意度指标得分为10分。</w:t>
      </w:r>
    </w:p>
    <w:p w14:paraId="42647F58">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综上，该指标满分10分，得分10分。</w:t>
      </w:r>
    </w:p>
    <w:p w14:paraId="17DED1CF">
      <w:pPr>
        <w:pStyle w:val="2"/>
        <w:ind w:firstLine="0" w:firstLineChars="0"/>
        <w:jc w:val="left"/>
        <w:rPr>
          <w:rFonts w:ascii="仿宋" w:hAnsi="仿宋" w:eastAsia="仿宋"/>
          <w:sz w:val="36"/>
          <w:szCs w:val="36"/>
          <w:lang w:bidi="en-US"/>
        </w:rPr>
      </w:pPr>
      <w:bookmarkStart w:id="53" w:name="_Toc67911617"/>
      <w:bookmarkStart w:id="54" w:name="_Toc165277256"/>
      <w:r>
        <w:rPr>
          <w:rFonts w:hint="eastAsia" w:ascii="仿宋" w:hAnsi="仿宋" w:eastAsia="仿宋"/>
          <w:sz w:val="36"/>
          <w:szCs w:val="36"/>
          <w:lang w:bidi="en-US"/>
        </w:rPr>
        <w:t>五、主要经验及做法、存在的问题及原因分析</w:t>
      </w:r>
      <w:bookmarkEnd w:id="53"/>
      <w:bookmarkEnd w:id="54"/>
    </w:p>
    <w:p w14:paraId="6E9BF1A2">
      <w:pPr>
        <w:pStyle w:val="3"/>
        <w:ind w:firstLine="643"/>
        <w:rPr>
          <w:rFonts w:ascii="仿宋" w:hAnsi="仿宋" w:eastAsia="仿宋"/>
          <w:lang w:bidi="en-US"/>
        </w:rPr>
      </w:pPr>
      <w:bookmarkStart w:id="55" w:name="_Toc165277257"/>
      <w:bookmarkStart w:id="56" w:name="_Toc67911618"/>
      <w:r>
        <w:rPr>
          <w:rFonts w:hint="eastAsia" w:ascii="仿宋" w:hAnsi="仿宋" w:eastAsia="仿宋"/>
          <w:lang w:bidi="en-US"/>
        </w:rPr>
        <w:t>（一）主要经验及做法</w:t>
      </w:r>
      <w:bookmarkEnd w:id="55"/>
      <w:bookmarkEnd w:id="56"/>
    </w:p>
    <w:p w14:paraId="38CC3E2F">
      <w:pPr>
        <w:autoSpaceDE w:val="0"/>
        <w:spacing w:line="600" w:lineRule="exact"/>
        <w:ind w:firstLine="560"/>
        <w:rPr>
          <w:rFonts w:ascii="仿宋_GB2312" w:hAnsi="仿宋"/>
          <w:szCs w:val="28"/>
        </w:rPr>
      </w:pPr>
      <w:bookmarkStart w:id="57" w:name="_Toc165277258"/>
      <w:r>
        <w:rPr>
          <w:rFonts w:hint="eastAsia" w:ascii="仿宋_GB2312" w:hAnsi="仿宋"/>
          <w:szCs w:val="28"/>
        </w:rPr>
        <w:t>2023年我校新校区投入使用，</w:t>
      </w:r>
      <w:r>
        <w:rPr>
          <w:rFonts w:ascii="仿宋_GB2312"/>
          <w:bCs/>
        </w:rPr>
        <w:t>满足</w:t>
      </w:r>
      <w:r>
        <w:rPr>
          <w:rFonts w:hint="eastAsia" w:ascii="仿宋_GB2312"/>
          <w:bCs/>
        </w:rPr>
        <w:t>了</w:t>
      </w:r>
      <w:r>
        <w:rPr>
          <w:rFonts w:ascii="仿宋_GB2312"/>
          <w:bCs/>
        </w:rPr>
        <w:t>教育规划形势需要</w:t>
      </w:r>
      <w:r>
        <w:rPr>
          <w:rFonts w:hint="eastAsia" w:ascii="仿宋_GB2312"/>
          <w:bCs/>
        </w:rPr>
        <w:t>及</w:t>
      </w:r>
      <w:r>
        <w:rPr>
          <w:rFonts w:ascii="仿宋_GB2312"/>
          <w:bCs/>
        </w:rPr>
        <w:t>改善教育教学的软硬件设施的需要</w:t>
      </w:r>
      <w:r>
        <w:rPr>
          <w:rFonts w:hint="eastAsia" w:ascii="仿宋_GB2312"/>
          <w:bCs/>
        </w:rPr>
        <w:t>、</w:t>
      </w:r>
      <w:r>
        <w:rPr>
          <w:rFonts w:ascii="仿宋_GB2312"/>
          <w:bCs/>
        </w:rPr>
        <w:t>周边适龄学生对教育基础设施的需求</w:t>
      </w:r>
      <w:r>
        <w:rPr>
          <w:rFonts w:hint="eastAsia" w:ascii="仿宋_GB2312"/>
          <w:bCs/>
        </w:rPr>
        <w:t>，</w:t>
      </w:r>
      <w:r>
        <w:rPr>
          <w:rFonts w:hint="eastAsia" w:ascii="仿宋_GB2312" w:hAnsi="仿宋"/>
          <w:szCs w:val="28"/>
        </w:rPr>
        <w:t>具</w:t>
      </w:r>
      <w:r>
        <w:rPr>
          <w:rFonts w:ascii="仿宋_GB2312" w:hAnsi="仿宋"/>
          <w:szCs w:val="28"/>
        </w:rPr>
        <w:t>有很大的社会效益</w:t>
      </w:r>
      <w:r>
        <w:rPr>
          <w:rFonts w:hint="eastAsia" w:ascii="仿宋_GB2312" w:hAnsi="仿宋"/>
          <w:szCs w:val="28"/>
        </w:rPr>
        <w:t>，主要经验及做法总结如下</w:t>
      </w:r>
    </w:p>
    <w:p w14:paraId="298F428E">
      <w:pPr>
        <w:autoSpaceDE w:val="0"/>
        <w:spacing w:line="600" w:lineRule="exact"/>
        <w:ind w:firstLine="560"/>
        <w:jc w:val="left"/>
        <w:rPr>
          <w:rFonts w:ascii="仿宋_GB2312" w:hAnsi="仿宋"/>
          <w:szCs w:val="28"/>
        </w:rPr>
      </w:pPr>
      <w:r>
        <w:rPr>
          <w:rFonts w:hint="eastAsia" w:ascii="仿宋_GB2312" w:hAnsi="仿宋"/>
          <w:szCs w:val="28"/>
        </w:rPr>
        <w:t>1.长期以来，学校的发展得到政府和各级部门的高度重视和大力支持，不断加大对学校基本建设的投入，学校领导开拓创新、求真务实，确保了教学工作的中心地位，坚持以育人为中心，不断改善办学条件。</w:t>
      </w:r>
    </w:p>
    <w:p w14:paraId="1B04BD8B">
      <w:pPr>
        <w:autoSpaceDE w:val="0"/>
        <w:spacing w:line="600" w:lineRule="exact"/>
        <w:ind w:firstLine="560"/>
        <w:jc w:val="left"/>
        <w:rPr>
          <w:rFonts w:ascii="仿宋_GB2312" w:hAnsi="仿宋"/>
          <w:szCs w:val="28"/>
        </w:rPr>
      </w:pPr>
      <w:r>
        <w:rPr>
          <w:rFonts w:hint="eastAsia" w:ascii="仿宋_GB2312" w:hAnsi="仿宋"/>
          <w:szCs w:val="28"/>
        </w:rPr>
        <w:t>2、</w:t>
      </w:r>
      <w:r>
        <w:rPr>
          <w:rFonts w:ascii="仿宋_GB2312" w:hAnsi="仿宋"/>
          <w:szCs w:val="28"/>
        </w:rPr>
        <w:t>在项目开始之前,必须制定一个清晰而明确的项目目标和计划,以确保团队成员都了解围绕什么工作以及如何完成它们</w:t>
      </w:r>
      <w:r>
        <w:rPr>
          <w:rFonts w:hint="eastAsia" w:ascii="仿宋_GB2312" w:hAnsi="仿宋"/>
          <w:szCs w:val="28"/>
        </w:rPr>
        <w:t>，</w:t>
      </w:r>
      <w:r>
        <w:rPr>
          <w:rFonts w:ascii="仿宋_GB2312" w:hAnsi="仿宋"/>
          <w:szCs w:val="28"/>
        </w:rPr>
        <w:t xml:space="preserve"> 目标必须是明确、可衡量的,并为每个小组成员提供一个明确定义的任务。计划应包括项目的所有步骤、所需资源以及实现这些步骤所需的时间。这样,每个团队成员都能清晰地知道自己的职责和时间</w:t>
      </w:r>
      <w:r>
        <w:rPr>
          <w:rFonts w:hint="eastAsia" w:ascii="仿宋_GB2312" w:hAnsi="仿宋"/>
          <w:szCs w:val="28"/>
        </w:rPr>
        <w:t>安排</w:t>
      </w:r>
      <w:r>
        <w:rPr>
          <w:rFonts w:ascii="仿宋_GB2312" w:hAnsi="仿宋"/>
          <w:szCs w:val="28"/>
        </w:rPr>
        <w:t>。</w:t>
      </w:r>
    </w:p>
    <w:p w14:paraId="1FE84581">
      <w:pPr>
        <w:ind w:left="560" w:firstLine="0" w:firstLineChars="0"/>
        <w:rPr>
          <w:rFonts w:ascii="仿宋_GB2312" w:hAnsi="仿宋"/>
          <w:szCs w:val="28"/>
        </w:rPr>
      </w:pPr>
      <w:r>
        <w:rPr>
          <w:rFonts w:hint="eastAsia" w:ascii="仿宋_GB2312" w:hAnsi="仿宋"/>
          <w:szCs w:val="28"/>
        </w:rPr>
        <w:t>3、项目执行环节：</w:t>
      </w:r>
    </w:p>
    <w:p w14:paraId="2CBF2EB2">
      <w:pPr>
        <w:spacing w:line="360" w:lineRule="auto"/>
        <w:ind w:firstLine="560"/>
        <w:rPr>
          <w:rFonts w:ascii="仿宋_GB2312" w:hAnsi="仿宋"/>
          <w:szCs w:val="28"/>
        </w:rPr>
      </w:pPr>
      <w:r>
        <w:rPr>
          <w:rFonts w:hint="eastAsia" w:ascii="仿宋_GB2312" w:hAnsi="仿宋"/>
          <w:szCs w:val="28"/>
        </w:rPr>
        <w:t>项目执行过程中定期督察实施进度，对期间发现的不合理内容及时做出纠正，对存在的问题及时上报学校并解决，提高和施工单位对接频率，保证施工进度，保证施工质量。</w:t>
      </w:r>
    </w:p>
    <w:p w14:paraId="25D7BACE">
      <w:pPr>
        <w:spacing w:line="360" w:lineRule="auto"/>
        <w:ind w:firstLine="560"/>
        <w:rPr>
          <w:rFonts w:ascii="仿宋_GB2312" w:hAnsi="仿宋"/>
          <w:szCs w:val="28"/>
        </w:rPr>
      </w:pPr>
      <w:r>
        <w:rPr>
          <w:rFonts w:hint="eastAsia" w:ascii="仿宋_GB2312" w:hAnsi="仿宋"/>
          <w:szCs w:val="28"/>
        </w:rPr>
        <w:t>4、项目验收环节：</w:t>
      </w:r>
    </w:p>
    <w:p w14:paraId="00038B17">
      <w:pPr>
        <w:spacing w:line="360" w:lineRule="auto"/>
        <w:ind w:firstLine="560"/>
        <w:rPr>
          <w:rFonts w:ascii="仿宋_GB2312" w:hAnsi="仿宋"/>
          <w:szCs w:val="28"/>
        </w:rPr>
      </w:pPr>
      <w:r>
        <w:rPr>
          <w:rFonts w:hint="eastAsia" w:ascii="仿宋_GB2312" w:hAnsi="仿宋"/>
          <w:szCs w:val="28"/>
        </w:rPr>
        <w:t>和校内使用部门人员、资产人员以及监管部门人员，一起对项目进行清点验收，提出问题汇总，待施工单位完成整改后，进行接收相关资料归档。</w:t>
      </w:r>
    </w:p>
    <w:p w14:paraId="057E8A97">
      <w:pPr>
        <w:pStyle w:val="3"/>
        <w:ind w:firstLine="643"/>
        <w:rPr>
          <w:rFonts w:ascii="仿宋" w:hAnsi="仿宋" w:eastAsia="仿宋"/>
          <w:lang w:bidi="en-US"/>
        </w:rPr>
      </w:pPr>
      <w:r>
        <w:rPr>
          <w:rFonts w:hint="eastAsia" w:ascii="仿宋" w:hAnsi="仿宋" w:eastAsia="仿宋"/>
          <w:lang w:bidi="en-US"/>
        </w:rPr>
        <w:t>（二）存在的问题及原因分析</w:t>
      </w:r>
      <w:bookmarkEnd w:id="57"/>
    </w:p>
    <w:p w14:paraId="45E1B597">
      <w:pPr>
        <w:spacing w:line="360" w:lineRule="auto"/>
        <w:ind w:firstLine="560"/>
        <w:rPr>
          <w:rFonts w:ascii="仿宋_GB2312" w:hAnsi="仿宋"/>
          <w:szCs w:val="28"/>
        </w:rPr>
      </w:pPr>
      <w:bookmarkStart w:id="58" w:name="_Toc67911620"/>
      <w:bookmarkStart w:id="59" w:name="_Toc165277259"/>
      <w:bookmarkStart w:id="60" w:name="_Toc67911619"/>
      <w:r>
        <w:rPr>
          <w:rFonts w:hint="eastAsia" w:ascii="仿宋_GB2312" w:hAnsi="仿宋"/>
          <w:szCs w:val="28"/>
        </w:rPr>
        <w:t>1、在市政外围配套设施工程中因协调不足，外单位到位不能积极配合造成工程不能顺利进行，主要表现在水、电、气、暖方面。</w:t>
      </w:r>
    </w:p>
    <w:p w14:paraId="7F002BBB">
      <w:pPr>
        <w:spacing w:line="360" w:lineRule="auto"/>
        <w:ind w:firstLine="560"/>
        <w:rPr>
          <w:rFonts w:ascii="仿宋_GB2312" w:hAnsi="仿宋"/>
          <w:szCs w:val="28"/>
        </w:rPr>
      </w:pPr>
      <w:r>
        <w:rPr>
          <w:rFonts w:hint="eastAsia" w:ascii="仿宋_GB2312" w:hAnsi="仿宋"/>
          <w:szCs w:val="28"/>
        </w:rPr>
        <w:t>2、个别其它施工手续办理时的不顺畅。</w:t>
      </w:r>
    </w:p>
    <w:p w14:paraId="2CFB7061">
      <w:pPr>
        <w:spacing w:line="360" w:lineRule="auto"/>
        <w:ind w:firstLine="560"/>
        <w:rPr>
          <w:rFonts w:ascii="仿宋_GB2312" w:hAnsi="仿宋"/>
          <w:szCs w:val="28"/>
        </w:rPr>
      </w:pPr>
      <w:r>
        <w:rPr>
          <w:rFonts w:hint="eastAsia" w:ascii="仿宋_GB2312" w:hAnsi="仿宋"/>
          <w:szCs w:val="28"/>
        </w:rPr>
        <w:t>3、因财政资金不能及时到位，影响工程进度。</w:t>
      </w:r>
    </w:p>
    <w:p w14:paraId="1A405C34">
      <w:pPr>
        <w:pStyle w:val="2"/>
        <w:ind w:firstLine="0" w:firstLineChars="0"/>
        <w:jc w:val="left"/>
        <w:rPr>
          <w:rFonts w:ascii="仿宋" w:hAnsi="仿宋" w:eastAsia="仿宋"/>
          <w:sz w:val="36"/>
          <w:szCs w:val="36"/>
          <w:lang w:bidi="en-US"/>
        </w:rPr>
      </w:pPr>
      <w:r>
        <w:rPr>
          <w:rFonts w:hint="eastAsia" w:ascii="仿宋" w:hAnsi="仿宋" w:eastAsia="仿宋"/>
          <w:sz w:val="36"/>
          <w:szCs w:val="36"/>
          <w:lang w:bidi="en-US"/>
        </w:rPr>
        <w:t>六、有关</w:t>
      </w:r>
      <w:bookmarkEnd w:id="58"/>
      <w:bookmarkEnd w:id="59"/>
      <w:r>
        <w:rPr>
          <w:rFonts w:hint="eastAsia" w:ascii="仿宋" w:hAnsi="仿宋" w:eastAsia="仿宋"/>
          <w:sz w:val="36"/>
          <w:szCs w:val="36"/>
          <w:lang w:bidi="en-US"/>
        </w:rPr>
        <w:t>建议</w:t>
      </w:r>
    </w:p>
    <w:p w14:paraId="6CBE3497">
      <w:pPr>
        <w:spacing w:line="360" w:lineRule="auto"/>
        <w:ind w:firstLine="560"/>
        <w:rPr>
          <w:rFonts w:ascii="仿宋_GB2312" w:hAnsi="仿宋"/>
          <w:szCs w:val="28"/>
        </w:rPr>
      </w:pPr>
      <w:r>
        <w:rPr>
          <w:rFonts w:hint="eastAsia" w:ascii="仿宋_GB2312" w:hAnsi="仿宋"/>
          <w:szCs w:val="28"/>
        </w:rPr>
        <w:t>建议在水、电、气、暖方面从政府层面给予积极协调，不要以部门利益阻碍建设单位的使用。</w:t>
      </w:r>
    </w:p>
    <w:p w14:paraId="6C1E8289">
      <w:pPr>
        <w:pStyle w:val="2"/>
        <w:ind w:firstLine="0" w:firstLineChars="0"/>
        <w:jc w:val="left"/>
        <w:rPr>
          <w:rFonts w:ascii="仿宋" w:hAnsi="仿宋" w:eastAsia="仿宋"/>
          <w:sz w:val="36"/>
          <w:szCs w:val="36"/>
          <w:lang w:bidi="en-US"/>
        </w:rPr>
      </w:pPr>
      <w:bookmarkStart w:id="61" w:name="_Toc165277260"/>
      <w:r>
        <w:rPr>
          <w:rFonts w:hint="eastAsia" w:ascii="仿宋" w:hAnsi="仿宋" w:eastAsia="仿宋"/>
          <w:sz w:val="36"/>
          <w:szCs w:val="36"/>
          <w:lang w:bidi="en-US"/>
        </w:rPr>
        <w:t>七、其他需要说明的问题</w:t>
      </w:r>
      <w:bookmarkEnd w:id="60"/>
      <w:bookmarkEnd w:id="61"/>
    </w:p>
    <w:p w14:paraId="31428C30">
      <w:pPr>
        <w:spacing w:line="360" w:lineRule="auto"/>
        <w:ind w:firstLine="560"/>
        <w:rPr>
          <w:rFonts w:ascii="仿宋_GB2312" w:hAnsi="仿宋"/>
          <w:szCs w:val="28"/>
        </w:rPr>
      </w:pPr>
      <w:r>
        <w:rPr>
          <w:rFonts w:hint="eastAsia" w:ascii="仿宋_GB2312" w:hAnsi="仿宋"/>
          <w:szCs w:val="28"/>
        </w:rPr>
        <w:t>1</w:t>
      </w:r>
      <w:r>
        <w:rPr>
          <w:rFonts w:ascii="仿宋_GB2312" w:hAnsi="仿宋"/>
          <w:szCs w:val="28"/>
        </w:rPr>
        <w:t>.</w:t>
      </w:r>
      <w:r>
        <w:rPr>
          <w:rFonts w:hint="eastAsia" w:ascii="仿宋_GB2312" w:hAnsi="仿宋"/>
          <w:szCs w:val="28"/>
        </w:rPr>
        <w:t>项目支出政策和路径设计科学，符合实际需要；</w:t>
      </w:r>
    </w:p>
    <w:p w14:paraId="1FC76872">
      <w:pPr>
        <w:spacing w:line="360" w:lineRule="auto"/>
        <w:ind w:firstLine="560"/>
        <w:rPr>
          <w:rFonts w:ascii="仿宋_GB2312" w:hAnsi="仿宋"/>
          <w:szCs w:val="28"/>
        </w:rPr>
      </w:pPr>
      <w:r>
        <w:rPr>
          <w:rFonts w:ascii="仿宋_GB2312" w:hAnsi="仿宋"/>
          <w:szCs w:val="28"/>
        </w:rPr>
        <w:t>2.</w:t>
      </w:r>
      <w:r>
        <w:rPr>
          <w:rFonts w:hint="eastAsia" w:ascii="仿宋_GB2312" w:hAnsi="仿宋"/>
          <w:szCs w:val="28"/>
        </w:rPr>
        <w:t>项目安排准确，未发现背离项目立项初衷的情况；</w:t>
      </w:r>
    </w:p>
    <w:p w14:paraId="3FFEAA84">
      <w:pPr>
        <w:spacing w:line="360" w:lineRule="auto"/>
        <w:ind w:firstLine="560"/>
        <w:rPr>
          <w:rFonts w:ascii="仿宋_GB2312" w:hAnsi="仿宋"/>
          <w:szCs w:val="28"/>
        </w:rPr>
      </w:pPr>
      <w:r>
        <w:rPr>
          <w:rFonts w:ascii="仿宋_GB2312" w:hAnsi="仿宋"/>
          <w:szCs w:val="28"/>
        </w:rPr>
        <w:t>3.</w:t>
      </w:r>
      <w:r>
        <w:rPr>
          <w:rFonts w:hint="eastAsia" w:ascii="仿宋_GB2312" w:hAnsi="仿宋"/>
          <w:szCs w:val="28"/>
        </w:rPr>
        <w:t>项目的申报、审核机制完善；</w:t>
      </w:r>
    </w:p>
    <w:p w14:paraId="0D61E8B9">
      <w:pPr>
        <w:spacing w:line="360" w:lineRule="auto"/>
        <w:ind w:firstLine="560"/>
        <w:rPr>
          <w:rFonts w:ascii="仿宋_GB2312" w:hAnsi="仿宋"/>
          <w:szCs w:val="28"/>
        </w:rPr>
      </w:pPr>
      <w:r>
        <w:rPr>
          <w:rFonts w:ascii="仿宋_GB2312" w:hAnsi="仿宋"/>
          <w:szCs w:val="28"/>
        </w:rPr>
        <w:t>4.</w:t>
      </w:r>
      <w:r>
        <w:rPr>
          <w:rFonts w:hint="eastAsia" w:ascii="仿宋_GB2312" w:hAnsi="仿宋"/>
          <w:szCs w:val="28"/>
        </w:rPr>
        <w:t>未发现虚假行为和骗取财政资金的问题。</w:t>
      </w:r>
    </w:p>
    <w:p w14:paraId="317BCCEA">
      <w:pPr>
        <w:spacing w:line="360" w:lineRule="auto"/>
        <w:ind w:firstLine="560"/>
        <w:rPr>
          <w:rFonts w:ascii="仿宋_GB2312"/>
          <w:szCs w:val="28"/>
        </w:rPr>
      </w:pP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font>
  <w:font w:name="Gungsuh">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5BBC3">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70380">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0502C">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docPartObj>
        <w:docPartGallery w:val="AutoText"/>
      </w:docPartObj>
    </w:sdtPr>
    <w:sdtEndPr>
      <w:rPr>
        <w:rFonts w:hint="eastAsia" w:ascii="仿宋_GB2312" w:eastAsia="仿宋_GB2312"/>
        <w:sz w:val="21"/>
        <w:szCs w:val="21"/>
      </w:rPr>
    </w:sdtEndPr>
    <w:sdtContent>
      <w:p w14:paraId="58815224">
        <w:pPr>
          <w:pStyle w:val="10"/>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15</w:t>
        </w:r>
        <w:r>
          <w:rPr>
            <w:rFonts w:hint="eastAsia" w:ascii="仿宋_GB2312" w:eastAsia="仿宋_GB2312"/>
            <w:sz w:val="21"/>
            <w:szCs w:val="21"/>
          </w:rPr>
          <w:fldChar w:fldCharType="end"/>
        </w:r>
      </w:p>
    </w:sdtContent>
  </w:sdt>
  <w:p w14:paraId="41D4AB79">
    <w:pPr>
      <w:pStyle w:val="10"/>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docPartObj>
        <w:docPartGallery w:val="AutoText"/>
      </w:docPartObj>
    </w:sdtPr>
    <w:sdtEndPr>
      <w:rPr>
        <w:rFonts w:hint="eastAsia" w:ascii="仿宋_GB2312" w:eastAsia="仿宋_GB2312"/>
        <w:sz w:val="21"/>
        <w:szCs w:val="21"/>
      </w:rPr>
    </w:sdtEndPr>
    <w:sdtContent>
      <w:p w14:paraId="4A9662CB">
        <w:pPr>
          <w:pStyle w:val="10"/>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27</w:t>
        </w:r>
        <w:r>
          <w:rPr>
            <w:rFonts w:hint="eastAsia" w:ascii="仿宋_GB2312" w:eastAsia="仿宋_GB2312"/>
            <w:sz w:val="21"/>
            <w:szCs w:val="21"/>
          </w:rPr>
          <w:fldChar w:fldCharType="end"/>
        </w:r>
      </w:p>
    </w:sdtContent>
  </w:sdt>
  <w:p w14:paraId="0658D207">
    <w:pPr>
      <w:pStyle w:val="10"/>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BB83E">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A2F43">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321E2">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8D22E">
    <w:pPr>
      <w:pStyle w:val="1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F764F">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0A"/>
    <w:rsid w:val="000153EC"/>
    <w:rsid w:val="00023D78"/>
    <w:rsid w:val="00024733"/>
    <w:rsid w:val="00026FAD"/>
    <w:rsid w:val="00031A7F"/>
    <w:rsid w:val="00036FD7"/>
    <w:rsid w:val="00042151"/>
    <w:rsid w:val="000438A0"/>
    <w:rsid w:val="00057BB6"/>
    <w:rsid w:val="0007002C"/>
    <w:rsid w:val="00071C0F"/>
    <w:rsid w:val="0007219D"/>
    <w:rsid w:val="00086724"/>
    <w:rsid w:val="00086F27"/>
    <w:rsid w:val="00093451"/>
    <w:rsid w:val="00093575"/>
    <w:rsid w:val="00094122"/>
    <w:rsid w:val="000947BD"/>
    <w:rsid w:val="00097ABA"/>
    <w:rsid w:val="000A2B58"/>
    <w:rsid w:val="000A43E8"/>
    <w:rsid w:val="000B520E"/>
    <w:rsid w:val="000B6FA0"/>
    <w:rsid w:val="000C22A1"/>
    <w:rsid w:val="000C720A"/>
    <w:rsid w:val="000C77D3"/>
    <w:rsid w:val="000D17F9"/>
    <w:rsid w:val="000D7CC5"/>
    <w:rsid w:val="000E1EB5"/>
    <w:rsid w:val="000E3A5D"/>
    <w:rsid w:val="000F5DE3"/>
    <w:rsid w:val="00102B8D"/>
    <w:rsid w:val="00111969"/>
    <w:rsid w:val="00122676"/>
    <w:rsid w:val="00123E4D"/>
    <w:rsid w:val="00127975"/>
    <w:rsid w:val="00132762"/>
    <w:rsid w:val="00134828"/>
    <w:rsid w:val="00140701"/>
    <w:rsid w:val="00145565"/>
    <w:rsid w:val="00147D9F"/>
    <w:rsid w:val="001544E6"/>
    <w:rsid w:val="001606E9"/>
    <w:rsid w:val="001645EB"/>
    <w:rsid w:val="00170059"/>
    <w:rsid w:val="001708E1"/>
    <w:rsid w:val="00177169"/>
    <w:rsid w:val="00186C8E"/>
    <w:rsid w:val="00187B13"/>
    <w:rsid w:val="0019279F"/>
    <w:rsid w:val="001A3189"/>
    <w:rsid w:val="001A3DC3"/>
    <w:rsid w:val="001A79B9"/>
    <w:rsid w:val="001B034C"/>
    <w:rsid w:val="001C505D"/>
    <w:rsid w:val="001C50BA"/>
    <w:rsid w:val="001C665C"/>
    <w:rsid w:val="001D52EF"/>
    <w:rsid w:val="001D66B5"/>
    <w:rsid w:val="001E0456"/>
    <w:rsid w:val="001E15B4"/>
    <w:rsid w:val="001E2A3D"/>
    <w:rsid w:val="001E754D"/>
    <w:rsid w:val="001E77A7"/>
    <w:rsid w:val="001E7E9F"/>
    <w:rsid w:val="001F6E43"/>
    <w:rsid w:val="00201C55"/>
    <w:rsid w:val="00212817"/>
    <w:rsid w:val="00213964"/>
    <w:rsid w:val="00213B5B"/>
    <w:rsid w:val="00217064"/>
    <w:rsid w:val="002206F3"/>
    <w:rsid w:val="00220DC6"/>
    <w:rsid w:val="0022245F"/>
    <w:rsid w:val="0022294C"/>
    <w:rsid w:val="00225A82"/>
    <w:rsid w:val="00247354"/>
    <w:rsid w:val="00250131"/>
    <w:rsid w:val="00253B03"/>
    <w:rsid w:val="00260B83"/>
    <w:rsid w:val="00261F2F"/>
    <w:rsid w:val="00262533"/>
    <w:rsid w:val="00262B75"/>
    <w:rsid w:val="0026512A"/>
    <w:rsid w:val="00267C4C"/>
    <w:rsid w:val="002767C9"/>
    <w:rsid w:val="002810AA"/>
    <w:rsid w:val="0028735D"/>
    <w:rsid w:val="002A468E"/>
    <w:rsid w:val="002A68A7"/>
    <w:rsid w:val="002A6E59"/>
    <w:rsid w:val="002B34B9"/>
    <w:rsid w:val="002B7C09"/>
    <w:rsid w:val="002D3916"/>
    <w:rsid w:val="002E1E67"/>
    <w:rsid w:val="002E608B"/>
    <w:rsid w:val="002F3AF7"/>
    <w:rsid w:val="002F75CC"/>
    <w:rsid w:val="00302E15"/>
    <w:rsid w:val="0032183D"/>
    <w:rsid w:val="0032329D"/>
    <w:rsid w:val="0032686C"/>
    <w:rsid w:val="00332C71"/>
    <w:rsid w:val="00333EA5"/>
    <w:rsid w:val="00340CED"/>
    <w:rsid w:val="00343485"/>
    <w:rsid w:val="00350839"/>
    <w:rsid w:val="0035686F"/>
    <w:rsid w:val="00357BD8"/>
    <w:rsid w:val="003766AB"/>
    <w:rsid w:val="00377BA7"/>
    <w:rsid w:val="003B0631"/>
    <w:rsid w:val="003C24DB"/>
    <w:rsid w:val="003C4BD9"/>
    <w:rsid w:val="003D611E"/>
    <w:rsid w:val="003D625B"/>
    <w:rsid w:val="003D74DE"/>
    <w:rsid w:val="003F542C"/>
    <w:rsid w:val="003F5715"/>
    <w:rsid w:val="004027BD"/>
    <w:rsid w:val="00404C10"/>
    <w:rsid w:val="0041404F"/>
    <w:rsid w:val="004249EE"/>
    <w:rsid w:val="00425C1F"/>
    <w:rsid w:val="00437C39"/>
    <w:rsid w:val="00442A1B"/>
    <w:rsid w:val="00443D50"/>
    <w:rsid w:val="00453D4B"/>
    <w:rsid w:val="00454C32"/>
    <w:rsid w:val="0045667C"/>
    <w:rsid w:val="004673BA"/>
    <w:rsid w:val="00487E94"/>
    <w:rsid w:val="004925F6"/>
    <w:rsid w:val="004957B3"/>
    <w:rsid w:val="004A02BD"/>
    <w:rsid w:val="004A6DD5"/>
    <w:rsid w:val="004B0624"/>
    <w:rsid w:val="004B12BE"/>
    <w:rsid w:val="004B5A40"/>
    <w:rsid w:val="004D1D09"/>
    <w:rsid w:val="004D4759"/>
    <w:rsid w:val="004E0DF3"/>
    <w:rsid w:val="004E5D45"/>
    <w:rsid w:val="004E7BA1"/>
    <w:rsid w:val="004F17C9"/>
    <w:rsid w:val="004F66E9"/>
    <w:rsid w:val="005001CA"/>
    <w:rsid w:val="00502EC2"/>
    <w:rsid w:val="005156F3"/>
    <w:rsid w:val="005345BF"/>
    <w:rsid w:val="00534DD6"/>
    <w:rsid w:val="00540320"/>
    <w:rsid w:val="005417D4"/>
    <w:rsid w:val="0054345B"/>
    <w:rsid w:val="0054442E"/>
    <w:rsid w:val="00545C97"/>
    <w:rsid w:val="00550DA4"/>
    <w:rsid w:val="00553F30"/>
    <w:rsid w:val="00563798"/>
    <w:rsid w:val="00566083"/>
    <w:rsid w:val="0056794C"/>
    <w:rsid w:val="005764CD"/>
    <w:rsid w:val="005779FD"/>
    <w:rsid w:val="0058379D"/>
    <w:rsid w:val="00585FFB"/>
    <w:rsid w:val="00592653"/>
    <w:rsid w:val="00593474"/>
    <w:rsid w:val="005A12D0"/>
    <w:rsid w:val="005A2254"/>
    <w:rsid w:val="005A2A4D"/>
    <w:rsid w:val="005A5ABF"/>
    <w:rsid w:val="005A5E3B"/>
    <w:rsid w:val="005A76A5"/>
    <w:rsid w:val="005B7A28"/>
    <w:rsid w:val="005D02D3"/>
    <w:rsid w:val="005D2F48"/>
    <w:rsid w:val="005D3C0B"/>
    <w:rsid w:val="005D412A"/>
    <w:rsid w:val="005D4D5B"/>
    <w:rsid w:val="005E2098"/>
    <w:rsid w:val="005F21CD"/>
    <w:rsid w:val="005F226E"/>
    <w:rsid w:val="005F273F"/>
    <w:rsid w:val="005F3A17"/>
    <w:rsid w:val="005F4636"/>
    <w:rsid w:val="006007AC"/>
    <w:rsid w:val="00604BA5"/>
    <w:rsid w:val="006055B4"/>
    <w:rsid w:val="006072ED"/>
    <w:rsid w:val="00607D5B"/>
    <w:rsid w:val="00611B95"/>
    <w:rsid w:val="00614CEC"/>
    <w:rsid w:val="0062730B"/>
    <w:rsid w:val="00627F97"/>
    <w:rsid w:val="00645664"/>
    <w:rsid w:val="0065079B"/>
    <w:rsid w:val="00656DB7"/>
    <w:rsid w:val="00662C67"/>
    <w:rsid w:val="00670BAA"/>
    <w:rsid w:val="00671451"/>
    <w:rsid w:val="00680D7E"/>
    <w:rsid w:val="00687B72"/>
    <w:rsid w:val="00693F6F"/>
    <w:rsid w:val="006B60FE"/>
    <w:rsid w:val="006C2111"/>
    <w:rsid w:val="006C28E1"/>
    <w:rsid w:val="006C40AE"/>
    <w:rsid w:val="006E48B6"/>
    <w:rsid w:val="006E6431"/>
    <w:rsid w:val="006F3315"/>
    <w:rsid w:val="007027A1"/>
    <w:rsid w:val="00705854"/>
    <w:rsid w:val="00715D3D"/>
    <w:rsid w:val="00722A72"/>
    <w:rsid w:val="00726F55"/>
    <w:rsid w:val="0073210F"/>
    <w:rsid w:val="00732866"/>
    <w:rsid w:val="00733402"/>
    <w:rsid w:val="0073417E"/>
    <w:rsid w:val="007411F4"/>
    <w:rsid w:val="00742E54"/>
    <w:rsid w:val="00743F96"/>
    <w:rsid w:val="0076734C"/>
    <w:rsid w:val="007702C0"/>
    <w:rsid w:val="00771B26"/>
    <w:rsid w:val="00773D2A"/>
    <w:rsid w:val="0078063A"/>
    <w:rsid w:val="00783118"/>
    <w:rsid w:val="00783D22"/>
    <w:rsid w:val="00794639"/>
    <w:rsid w:val="00796DE8"/>
    <w:rsid w:val="007A772C"/>
    <w:rsid w:val="007A7CB4"/>
    <w:rsid w:val="007B037D"/>
    <w:rsid w:val="007C0D14"/>
    <w:rsid w:val="007C0D27"/>
    <w:rsid w:val="007C16C4"/>
    <w:rsid w:val="007C3F63"/>
    <w:rsid w:val="007C5659"/>
    <w:rsid w:val="007D7CE0"/>
    <w:rsid w:val="007E1967"/>
    <w:rsid w:val="007F185A"/>
    <w:rsid w:val="007F6051"/>
    <w:rsid w:val="007F6745"/>
    <w:rsid w:val="007F77F3"/>
    <w:rsid w:val="00801D99"/>
    <w:rsid w:val="008123C5"/>
    <w:rsid w:val="008315BA"/>
    <w:rsid w:val="00831695"/>
    <w:rsid w:val="008327EB"/>
    <w:rsid w:val="00835535"/>
    <w:rsid w:val="00836A64"/>
    <w:rsid w:val="008418B2"/>
    <w:rsid w:val="00841ADC"/>
    <w:rsid w:val="00841E29"/>
    <w:rsid w:val="00844338"/>
    <w:rsid w:val="00845BE2"/>
    <w:rsid w:val="00863BAF"/>
    <w:rsid w:val="00863F65"/>
    <w:rsid w:val="00866FB0"/>
    <w:rsid w:val="00873E8E"/>
    <w:rsid w:val="00884C5F"/>
    <w:rsid w:val="00885AEE"/>
    <w:rsid w:val="00894E2C"/>
    <w:rsid w:val="008A3394"/>
    <w:rsid w:val="008A476A"/>
    <w:rsid w:val="008A704C"/>
    <w:rsid w:val="008B10AC"/>
    <w:rsid w:val="008C4803"/>
    <w:rsid w:val="008D3BE8"/>
    <w:rsid w:val="008D3FFC"/>
    <w:rsid w:val="008D6D96"/>
    <w:rsid w:val="008E23DB"/>
    <w:rsid w:val="008E243A"/>
    <w:rsid w:val="008E25CA"/>
    <w:rsid w:val="00901B42"/>
    <w:rsid w:val="0090689A"/>
    <w:rsid w:val="009068E0"/>
    <w:rsid w:val="00907B15"/>
    <w:rsid w:val="00914048"/>
    <w:rsid w:val="00917C57"/>
    <w:rsid w:val="009214DF"/>
    <w:rsid w:val="00923604"/>
    <w:rsid w:val="009258BD"/>
    <w:rsid w:val="00927AED"/>
    <w:rsid w:val="009316BB"/>
    <w:rsid w:val="009320A9"/>
    <w:rsid w:val="00933961"/>
    <w:rsid w:val="00940BA3"/>
    <w:rsid w:val="0094740B"/>
    <w:rsid w:val="009534D1"/>
    <w:rsid w:val="009546FE"/>
    <w:rsid w:val="0095473C"/>
    <w:rsid w:val="00954936"/>
    <w:rsid w:val="00963948"/>
    <w:rsid w:val="009703D0"/>
    <w:rsid w:val="009748EA"/>
    <w:rsid w:val="00981879"/>
    <w:rsid w:val="0098656D"/>
    <w:rsid w:val="00995079"/>
    <w:rsid w:val="00996B5B"/>
    <w:rsid w:val="009A33B6"/>
    <w:rsid w:val="009C3F50"/>
    <w:rsid w:val="009D4C5C"/>
    <w:rsid w:val="009E1404"/>
    <w:rsid w:val="009F1224"/>
    <w:rsid w:val="009F55B0"/>
    <w:rsid w:val="00A00443"/>
    <w:rsid w:val="00A01604"/>
    <w:rsid w:val="00A106CE"/>
    <w:rsid w:val="00A2064E"/>
    <w:rsid w:val="00A22963"/>
    <w:rsid w:val="00A26C70"/>
    <w:rsid w:val="00A3555B"/>
    <w:rsid w:val="00A425B1"/>
    <w:rsid w:val="00A43A0A"/>
    <w:rsid w:val="00A52E6C"/>
    <w:rsid w:val="00A52E72"/>
    <w:rsid w:val="00A632D7"/>
    <w:rsid w:val="00A64F7D"/>
    <w:rsid w:val="00A65160"/>
    <w:rsid w:val="00A675F9"/>
    <w:rsid w:val="00A7149D"/>
    <w:rsid w:val="00A76059"/>
    <w:rsid w:val="00A86F0C"/>
    <w:rsid w:val="00A87210"/>
    <w:rsid w:val="00A92F9F"/>
    <w:rsid w:val="00AB7184"/>
    <w:rsid w:val="00AC2563"/>
    <w:rsid w:val="00AC3E1D"/>
    <w:rsid w:val="00AD5430"/>
    <w:rsid w:val="00AE1259"/>
    <w:rsid w:val="00AE1DCD"/>
    <w:rsid w:val="00AE6C31"/>
    <w:rsid w:val="00AE7063"/>
    <w:rsid w:val="00B11D44"/>
    <w:rsid w:val="00B15A52"/>
    <w:rsid w:val="00B1600D"/>
    <w:rsid w:val="00B22F6F"/>
    <w:rsid w:val="00B30F6B"/>
    <w:rsid w:val="00B328D7"/>
    <w:rsid w:val="00B32FD3"/>
    <w:rsid w:val="00B4167E"/>
    <w:rsid w:val="00B4346C"/>
    <w:rsid w:val="00B56B1B"/>
    <w:rsid w:val="00B66D74"/>
    <w:rsid w:val="00B72218"/>
    <w:rsid w:val="00B808DC"/>
    <w:rsid w:val="00B90BA4"/>
    <w:rsid w:val="00B928FF"/>
    <w:rsid w:val="00B962E0"/>
    <w:rsid w:val="00BA0A35"/>
    <w:rsid w:val="00BA10B1"/>
    <w:rsid w:val="00BA13B7"/>
    <w:rsid w:val="00BA1C9D"/>
    <w:rsid w:val="00BA65B8"/>
    <w:rsid w:val="00BA76B5"/>
    <w:rsid w:val="00BB4E45"/>
    <w:rsid w:val="00BC5C63"/>
    <w:rsid w:val="00BD263E"/>
    <w:rsid w:val="00BD2B0B"/>
    <w:rsid w:val="00BE18A6"/>
    <w:rsid w:val="00BE395E"/>
    <w:rsid w:val="00BF1766"/>
    <w:rsid w:val="00BF550D"/>
    <w:rsid w:val="00C00DA2"/>
    <w:rsid w:val="00C10C79"/>
    <w:rsid w:val="00C16F7C"/>
    <w:rsid w:val="00C20C51"/>
    <w:rsid w:val="00C21BE0"/>
    <w:rsid w:val="00C409B9"/>
    <w:rsid w:val="00C514BD"/>
    <w:rsid w:val="00C634EC"/>
    <w:rsid w:val="00C66545"/>
    <w:rsid w:val="00C70191"/>
    <w:rsid w:val="00C7648F"/>
    <w:rsid w:val="00C8191C"/>
    <w:rsid w:val="00C876A8"/>
    <w:rsid w:val="00C927D9"/>
    <w:rsid w:val="00CA5BE4"/>
    <w:rsid w:val="00CA74C5"/>
    <w:rsid w:val="00CB3DFC"/>
    <w:rsid w:val="00CB6D38"/>
    <w:rsid w:val="00CC0CC6"/>
    <w:rsid w:val="00CC12EB"/>
    <w:rsid w:val="00CE2BD1"/>
    <w:rsid w:val="00CE6337"/>
    <w:rsid w:val="00CF0658"/>
    <w:rsid w:val="00CF4B50"/>
    <w:rsid w:val="00CF640C"/>
    <w:rsid w:val="00D04E2D"/>
    <w:rsid w:val="00D152B1"/>
    <w:rsid w:val="00D170CA"/>
    <w:rsid w:val="00D23DCB"/>
    <w:rsid w:val="00D319B6"/>
    <w:rsid w:val="00D3320C"/>
    <w:rsid w:val="00D3399A"/>
    <w:rsid w:val="00D3702E"/>
    <w:rsid w:val="00D40CC8"/>
    <w:rsid w:val="00D4325A"/>
    <w:rsid w:val="00D435A3"/>
    <w:rsid w:val="00D4562E"/>
    <w:rsid w:val="00D50828"/>
    <w:rsid w:val="00D637F2"/>
    <w:rsid w:val="00D76426"/>
    <w:rsid w:val="00D84293"/>
    <w:rsid w:val="00D91467"/>
    <w:rsid w:val="00D9228E"/>
    <w:rsid w:val="00DA4BA7"/>
    <w:rsid w:val="00DB1175"/>
    <w:rsid w:val="00DB1D9E"/>
    <w:rsid w:val="00DB316E"/>
    <w:rsid w:val="00DB33D5"/>
    <w:rsid w:val="00DC1EA8"/>
    <w:rsid w:val="00DC4EAB"/>
    <w:rsid w:val="00DD54BF"/>
    <w:rsid w:val="00DD7869"/>
    <w:rsid w:val="00DE4A74"/>
    <w:rsid w:val="00DF643F"/>
    <w:rsid w:val="00E00B28"/>
    <w:rsid w:val="00E014DB"/>
    <w:rsid w:val="00E04EC2"/>
    <w:rsid w:val="00E05FAB"/>
    <w:rsid w:val="00E136AF"/>
    <w:rsid w:val="00E13973"/>
    <w:rsid w:val="00E14FE5"/>
    <w:rsid w:val="00E24ACA"/>
    <w:rsid w:val="00E253B2"/>
    <w:rsid w:val="00E2600F"/>
    <w:rsid w:val="00E26770"/>
    <w:rsid w:val="00E30B1D"/>
    <w:rsid w:val="00E314A3"/>
    <w:rsid w:val="00E341E2"/>
    <w:rsid w:val="00E46AA3"/>
    <w:rsid w:val="00E526C7"/>
    <w:rsid w:val="00E52F0A"/>
    <w:rsid w:val="00E53410"/>
    <w:rsid w:val="00E60843"/>
    <w:rsid w:val="00E66AAD"/>
    <w:rsid w:val="00E73F9C"/>
    <w:rsid w:val="00E75E83"/>
    <w:rsid w:val="00E96630"/>
    <w:rsid w:val="00EA63EF"/>
    <w:rsid w:val="00EA7E72"/>
    <w:rsid w:val="00EB0442"/>
    <w:rsid w:val="00EB7927"/>
    <w:rsid w:val="00EC03B5"/>
    <w:rsid w:val="00EC219E"/>
    <w:rsid w:val="00EC5F03"/>
    <w:rsid w:val="00EC6F5D"/>
    <w:rsid w:val="00EC7682"/>
    <w:rsid w:val="00ED5D03"/>
    <w:rsid w:val="00EE20A2"/>
    <w:rsid w:val="00EF3B51"/>
    <w:rsid w:val="00F0007A"/>
    <w:rsid w:val="00F03DAA"/>
    <w:rsid w:val="00F06D23"/>
    <w:rsid w:val="00F17877"/>
    <w:rsid w:val="00F24091"/>
    <w:rsid w:val="00F24988"/>
    <w:rsid w:val="00F36E98"/>
    <w:rsid w:val="00F42C08"/>
    <w:rsid w:val="00F52C6D"/>
    <w:rsid w:val="00F55451"/>
    <w:rsid w:val="00F640B2"/>
    <w:rsid w:val="00F667B6"/>
    <w:rsid w:val="00F6704C"/>
    <w:rsid w:val="00F71E28"/>
    <w:rsid w:val="00F73710"/>
    <w:rsid w:val="00F83806"/>
    <w:rsid w:val="00F86485"/>
    <w:rsid w:val="00F872E7"/>
    <w:rsid w:val="00FA1548"/>
    <w:rsid w:val="00FA4373"/>
    <w:rsid w:val="00FB09C6"/>
    <w:rsid w:val="00FB2BBD"/>
    <w:rsid w:val="00FB77D2"/>
    <w:rsid w:val="00FC0BAB"/>
    <w:rsid w:val="00FC1D53"/>
    <w:rsid w:val="00FC373B"/>
    <w:rsid w:val="00FD056B"/>
    <w:rsid w:val="00FD25A8"/>
    <w:rsid w:val="00FD7A36"/>
    <w:rsid w:val="00FD7C5F"/>
    <w:rsid w:val="00FE193C"/>
    <w:rsid w:val="00FE2E4B"/>
    <w:rsid w:val="00FE3823"/>
    <w:rsid w:val="00FE6342"/>
    <w:rsid w:val="00FE7DCA"/>
    <w:rsid w:val="00FF0452"/>
    <w:rsid w:val="00FF4EF8"/>
    <w:rsid w:val="11801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9"/>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4"/>
    <w:unhideWhenUsed/>
    <w:uiPriority w:val="99"/>
    <w:pPr>
      <w:jc w:val="left"/>
    </w:pPr>
  </w:style>
  <w:style w:type="paragraph" w:styleId="7">
    <w:name w:val="toc 3"/>
    <w:basedOn w:val="1"/>
    <w:next w:val="1"/>
    <w:autoRedefine/>
    <w:unhideWhenUsed/>
    <w:qFormat/>
    <w:uiPriority w:val="39"/>
    <w:pPr>
      <w:ind w:left="840" w:leftChars="400"/>
    </w:pPr>
  </w:style>
  <w:style w:type="paragraph" w:styleId="8">
    <w:name w:val="Date"/>
    <w:basedOn w:val="1"/>
    <w:next w:val="1"/>
    <w:link w:val="27"/>
    <w:semiHidden/>
    <w:unhideWhenUsed/>
    <w:qFormat/>
    <w:uiPriority w:val="99"/>
    <w:pPr>
      <w:ind w:left="100" w:leftChars="2500"/>
    </w:pPr>
  </w:style>
  <w:style w:type="paragraph" w:styleId="9">
    <w:name w:val="Balloon Text"/>
    <w:basedOn w:val="1"/>
    <w:link w:val="36"/>
    <w:semiHidden/>
    <w:unhideWhenUsed/>
    <w:uiPriority w:val="99"/>
    <w:rPr>
      <w:sz w:val="18"/>
      <w:szCs w:val="18"/>
    </w:rPr>
  </w:style>
  <w:style w:type="paragraph" w:styleId="10">
    <w:name w:val="footer"/>
    <w:basedOn w:val="1"/>
    <w:link w:val="26"/>
    <w:unhideWhenUsed/>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1">
    <w:name w:val="header"/>
    <w:basedOn w:val="1"/>
    <w:link w:val="25"/>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2">
    <w:name w:val="toc 1"/>
    <w:basedOn w:val="1"/>
    <w:next w:val="1"/>
    <w:autoRedefine/>
    <w:unhideWhenUsed/>
    <w:qFormat/>
    <w:uiPriority w:val="39"/>
  </w:style>
  <w:style w:type="paragraph" w:styleId="13">
    <w:name w:val="footnote text"/>
    <w:basedOn w:val="1"/>
    <w:link w:val="29"/>
    <w:semiHidden/>
    <w:unhideWhenUsed/>
    <w:qFormat/>
    <w:uiPriority w:val="99"/>
    <w:pPr>
      <w:snapToGrid w:val="0"/>
      <w:jc w:val="left"/>
    </w:pPr>
    <w:rPr>
      <w:sz w:val="18"/>
      <w:szCs w:val="18"/>
    </w:rPr>
  </w:style>
  <w:style w:type="paragraph" w:styleId="14">
    <w:name w:val="toc 2"/>
    <w:basedOn w:val="1"/>
    <w:next w:val="1"/>
    <w:autoRedefine/>
    <w:unhideWhenUsed/>
    <w:uiPriority w:val="39"/>
    <w:pPr>
      <w:ind w:left="420" w:leftChars="200"/>
    </w:pPr>
  </w:style>
  <w:style w:type="paragraph" w:styleId="15">
    <w:name w:val="Normal (Web)"/>
    <w:basedOn w:val="1"/>
    <w:qFormat/>
    <w:uiPriority w:val="0"/>
    <w:pPr>
      <w:spacing w:before="100" w:beforeAutospacing="1" w:after="100" w:afterAutospacing="1"/>
      <w:ind w:firstLine="0" w:firstLineChars="0"/>
      <w:jc w:val="left"/>
    </w:pPr>
    <w:rPr>
      <w:rFonts w:eastAsia="宋体" w:cs="Times New Roman"/>
      <w:kern w:val="0"/>
      <w:sz w:val="24"/>
      <w:szCs w:val="24"/>
    </w:rPr>
  </w:style>
  <w:style w:type="paragraph" w:styleId="16">
    <w:name w:val="annotation subject"/>
    <w:basedOn w:val="6"/>
    <w:next w:val="6"/>
    <w:link w:val="35"/>
    <w:semiHidden/>
    <w:unhideWhenUsed/>
    <w:uiPriority w:val="99"/>
    <w:rPr>
      <w:b/>
      <w:bCs/>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bCs/>
    </w:rPr>
  </w:style>
  <w:style w:type="character" w:styleId="21">
    <w:name w:val="Emphasis"/>
    <w:basedOn w:val="19"/>
    <w:qFormat/>
    <w:uiPriority w:val="20"/>
    <w:rPr>
      <w:i/>
    </w:rPr>
  </w:style>
  <w:style w:type="character" w:styleId="22">
    <w:name w:val="Hyperlink"/>
    <w:basedOn w:val="19"/>
    <w:unhideWhenUsed/>
    <w:uiPriority w:val="99"/>
    <w:rPr>
      <w:color w:val="0563C1" w:themeColor="hyperlink"/>
      <w:u w:val="single"/>
      <w14:textFill>
        <w14:solidFill>
          <w14:schemeClr w14:val="hlink"/>
        </w14:solidFill>
      </w14:textFill>
    </w:rPr>
  </w:style>
  <w:style w:type="character" w:styleId="23">
    <w:name w:val="annotation reference"/>
    <w:basedOn w:val="19"/>
    <w:semiHidden/>
    <w:unhideWhenUsed/>
    <w:qFormat/>
    <w:uiPriority w:val="99"/>
    <w:rPr>
      <w:sz w:val="21"/>
      <w:szCs w:val="21"/>
    </w:rPr>
  </w:style>
  <w:style w:type="character" w:styleId="24">
    <w:name w:val="footnote reference"/>
    <w:basedOn w:val="19"/>
    <w:semiHidden/>
    <w:unhideWhenUsed/>
    <w:uiPriority w:val="99"/>
    <w:rPr>
      <w:vertAlign w:val="superscript"/>
    </w:rPr>
  </w:style>
  <w:style w:type="character" w:customStyle="1" w:styleId="25">
    <w:name w:val="页眉 字符"/>
    <w:basedOn w:val="19"/>
    <w:link w:val="11"/>
    <w:qFormat/>
    <w:uiPriority w:val="99"/>
    <w:rPr>
      <w:sz w:val="18"/>
      <w:szCs w:val="18"/>
    </w:rPr>
  </w:style>
  <w:style w:type="character" w:customStyle="1" w:styleId="26">
    <w:name w:val="页脚 字符"/>
    <w:basedOn w:val="19"/>
    <w:link w:val="10"/>
    <w:uiPriority w:val="99"/>
    <w:rPr>
      <w:sz w:val="18"/>
      <w:szCs w:val="18"/>
    </w:rPr>
  </w:style>
  <w:style w:type="character" w:customStyle="1" w:styleId="27">
    <w:name w:val="日期 字符"/>
    <w:basedOn w:val="19"/>
    <w:link w:val="8"/>
    <w:semiHidden/>
    <w:qFormat/>
    <w:uiPriority w:val="99"/>
    <w:rPr>
      <w:rFonts w:ascii="Calibri" w:hAnsi="Calibri" w:eastAsia="仿宋_GB2312" w:cs="黑体"/>
      <w:sz w:val="28"/>
    </w:rPr>
  </w:style>
  <w:style w:type="character" w:customStyle="1" w:styleId="28">
    <w:name w:val="标题 2 字符"/>
    <w:basedOn w:val="19"/>
    <w:link w:val="3"/>
    <w:qFormat/>
    <w:uiPriority w:val="9"/>
    <w:rPr>
      <w:rFonts w:asciiTheme="majorHAnsi" w:hAnsiTheme="majorHAnsi" w:eastAsiaTheme="majorEastAsia" w:cstheme="majorBidi"/>
      <w:b/>
      <w:bCs/>
      <w:sz w:val="32"/>
      <w:szCs w:val="32"/>
    </w:rPr>
  </w:style>
  <w:style w:type="character" w:customStyle="1" w:styleId="29">
    <w:name w:val="脚注文本 字符"/>
    <w:basedOn w:val="19"/>
    <w:link w:val="13"/>
    <w:semiHidden/>
    <w:qFormat/>
    <w:uiPriority w:val="99"/>
    <w:rPr>
      <w:rFonts w:ascii="Calibri" w:hAnsi="Calibri" w:eastAsia="仿宋_GB2312" w:cs="黑体"/>
      <w:sz w:val="18"/>
      <w:szCs w:val="18"/>
    </w:rPr>
  </w:style>
  <w:style w:type="paragraph" w:styleId="30">
    <w:name w:val="List Paragraph"/>
    <w:basedOn w:val="1"/>
    <w:qFormat/>
    <w:uiPriority w:val="34"/>
    <w:pPr>
      <w:ind w:firstLine="420"/>
    </w:pPr>
  </w:style>
  <w:style w:type="table" w:customStyle="1" w:styleId="31">
    <w:name w:val="网格型1"/>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
    <w:name w:val="标题 1 字符"/>
    <w:basedOn w:val="19"/>
    <w:link w:val="2"/>
    <w:qFormat/>
    <w:uiPriority w:val="9"/>
    <w:rPr>
      <w:rFonts w:ascii="Calibri" w:hAnsi="Calibri" w:eastAsia="仿宋_GB2312" w:cs="黑体"/>
      <w:b/>
      <w:bCs/>
      <w:kern w:val="44"/>
      <w:sz w:val="44"/>
      <w:szCs w:val="44"/>
    </w:rPr>
  </w:style>
  <w:style w:type="paragraph" w:customStyle="1" w:styleId="33">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4">
    <w:name w:val="批注文字 字符"/>
    <w:basedOn w:val="19"/>
    <w:link w:val="6"/>
    <w:qFormat/>
    <w:uiPriority w:val="99"/>
    <w:rPr>
      <w:rFonts w:ascii="Calibri" w:hAnsi="Calibri" w:eastAsia="仿宋_GB2312" w:cs="黑体"/>
      <w:sz w:val="28"/>
    </w:rPr>
  </w:style>
  <w:style w:type="character" w:customStyle="1" w:styleId="35">
    <w:name w:val="批注主题 字符"/>
    <w:basedOn w:val="34"/>
    <w:link w:val="16"/>
    <w:semiHidden/>
    <w:qFormat/>
    <w:uiPriority w:val="99"/>
    <w:rPr>
      <w:rFonts w:ascii="Calibri" w:hAnsi="Calibri" w:eastAsia="仿宋_GB2312" w:cs="黑体"/>
      <w:b/>
      <w:bCs/>
      <w:sz w:val="28"/>
    </w:rPr>
  </w:style>
  <w:style w:type="character" w:customStyle="1" w:styleId="36">
    <w:name w:val="批注框文本 字符"/>
    <w:basedOn w:val="19"/>
    <w:link w:val="9"/>
    <w:semiHidden/>
    <w:uiPriority w:val="99"/>
    <w:rPr>
      <w:rFonts w:ascii="Calibri" w:hAnsi="Calibri" w:eastAsia="仿宋_GB2312" w:cs="黑体"/>
      <w:sz w:val="18"/>
      <w:szCs w:val="18"/>
    </w:rPr>
  </w:style>
  <w:style w:type="character" w:customStyle="1" w:styleId="37">
    <w:name w:val="标题 3 字符"/>
    <w:basedOn w:val="19"/>
    <w:link w:val="4"/>
    <w:qFormat/>
    <w:uiPriority w:val="9"/>
    <w:rPr>
      <w:rFonts w:ascii="Calibri" w:hAnsi="Calibri" w:eastAsia="仿宋_GB2312" w:cs="黑体"/>
      <w:b/>
      <w:bCs/>
      <w:sz w:val="32"/>
      <w:szCs w:val="32"/>
    </w:rPr>
  </w:style>
  <w:style w:type="character" w:customStyle="1" w:styleId="38">
    <w:name w:val="15"/>
    <w:basedOn w:val="19"/>
    <w:autoRedefine/>
    <w:qFormat/>
    <w:uiPriority w:val="0"/>
    <w:rPr>
      <w:rFonts w:hint="default" w:ascii="Calibri" w:hAnsi="Calibri" w:cs="Times New Roman"/>
      <w:b/>
      <w:bCs/>
    </w:rPr>
  </w:style>
  <w:style w:type="character" w:customStyle="1" w:styleId="39">
    <w:name w:val="标题 4 字符"/>
    <w:basedOn w:val="19"/>
    <w:link w:val="5"/>
    <w:semiHidden/>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5E90-B201-4C30-AE4A-867505A89F6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30</Pages>
  <Words>13442</Words>
  <Characters>14206</Characters>
  <Lines>104</Lines>
  <Paragraphs>29</Paragraphs>
  <TotalTime>10</TotalTime>
  <ScaleCrop>false</ScaleCrop>
  <LinksUpToDate>false</LinksUpToDate>
  <CharactersWithSpaces>14235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2024-08-21T03:18:00Z</dcterms:created>
  <dc:creator>张 宇</dc:creator>
  <cp:lastModifiedBy>Administrator</cp:lastModifiedBy>
  <cp:lastPrinted>2024-05-07T03:16:00Z</cp:lastPrinted>
  <dcterms:modified xsi:type="dcterms:W3CDTF">2025-02-10T09:55:28Z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eyJoZGlkIjoiMWRjMTk2M2ZkYzFjZDdkZWQ2N2Q2M2JmOGJmODU5ZWQifQ==</vt:lpwstr>
  </property>
  <property fmtid="{D5CDD505-2E9C-101B-9397-08002B2CF9AE}" pid="3" name="KSOProductBuildVer">
    <vt:lpwstr>2052-12.1.0.19770</vt:lpwstr>
  </property>
  <property fmtid="{D5CDD505-2E9C-101B-9397-08002B2CF9AE}" pid="4" name="ICV">
    <vt:lpwstr>3FEC3877F9614634A8585EB6A105A1A0_12</vt:lpwstr>
  </property>
</Properties>
</file>