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lang w:bidi="en-US"/>
        </w:rPr>
      </w:pPr>
      <w:r>
        <w:rPr>
          <w:rFonts w:hint="eastAsia"/>
          <w:lang w:bidi="en-US"/>
        </w:rPr>
        <w:br w:type="textWrapping"/>
      </w:r>
    </w:p>
    <w:p>
      <w:pPr>
        <w:rPr>
          <w:lang w:bidi="en-US"/>
        </w:rPr>
      </w:pPr>
    </w:p>
    <w:p>
      <w:pPr>
        <w:rPr>
          <w:lang w:bidi="en-US"/>
        </w:rPr>
      </w:pPr>
    </w:p>
    <w:p>
      <w:pPr>
        <w:jc w:val="center"/>
        <w:rPr>
          <w:b/>
          <w:bCs w:val="0"/>
          <w:sz w:val="44"/>
          <w:szCs w:val="44"/>
        </w:rPr>
      </w:pPr>
      <w:r>
        <w:rPr>
          <w:rFonts w:hint="eastAsia"/>
          <w:b/>
          <w:bCs w:val="0"/>
          <w:sz w:val="44"/>
          <w:szCs w:val="44"/>
        </w:rPr>
        <w:t>财政项目支出绩效评价报告</w:t>
      </w:r>
    </w:p>
    <w:p>
      <w:pPr>
        <w:rPr>
          <w:lang w:bidi="en-US"/>
        </w:rPr>
      </w:pPr>
    </w:p>
    <w:p>
      <w:pPr>
        <w:rPr>
          <w:lang w:bidi="en-US"/>
        </w:rPr>
      </w:pPr>
    </w:p>
    <w:p>
      <w:pPr>
        <w:rPr>
          <w:lang w:bidi="en-US"/>
        </w:rPr>
      </w:pPr>
    </w:p>
    <w:p>
      <w:pPr>
        <w:rPr>
          <w:lang w:bidi="en-US"/>
        </w:rPr>
      </w:pPr>
    </w:p>
    <w:p>
      <w:pPr>
        <w:rPr>
          <w:lang w:bidi="en-US"/>
        </w:rPr>
      </w:pPr>
    </w:p>
    <w:p>
      <w:pPr>
        <w:rPr>
          <w:lang w:bidi="en-US"/>
        </w:rPr>
      </w:pPr>
    </w:p>
    <w:p>
      <w:pPr>
        <w:rPr>
          <w:lang w:bidi="en-US"/>
        </w:rPr>
      </w:pPr>
    </w:p>
    <w:p>
      <w:pPr>
        <w:jc w:val="center"/>
        <w:rPr>
          <w:b/>
          <w:bCs w:val="0"/>
          <w:sz w:val="32"/>
          <w:szCs w:val="32"/>
          <w:lang w:bidi="en-US"/>
        </w:rPr>
      </w:pPr>
      <w:r>
        <w:rPr>
          <w:rFonts w:hint="eastAsia"/>
          <w:b/>
          <w:bCs w:val="0"/>
          <w:sz w:val="32"/>
          <w:szCs w:val="32"/>
          <w:lang w:bidi="en-US"/>
        </w:rPr>
        <w:t>项目名称:市教育局及局属部分学校资金</w:t>
      </w:r>
    </w:p>
    <w:p>
      <w:pPr>
        <w:jc w:val="center"/>
        <w:rPr>
          <w:b/>
          <w:bCs w:val="0"/>
          <w:sz w:val="32"/>
          <w:szCs w:val="32"/>
          <w:lang w:bidi="en-US"/>
        </w:rPr>
      </w:pPr>
      <w:r>
        <w:rPr>
          <w:rFonts w:hint="eastAsia"/>
          <w:b/>
          <w:bCs w:val="0"/>
          <w:sz w:val="32"/>
          <w:szCs w:val="32"/>
          <w:lang w:bidi="en-US"/>
        </w:rPr>
        <w:t>-中小学规划布局项目</w:t>
      </w:r>
    </w:p>
    <w:p>
      <w:pPr>
        <w:jc w:val="center"/>
        <w:rPr>
          <w:b/>
          <w:bCs w:val="0"/>
          <w:sz w:val="32"/>
          <w:szCs w:val="32"/>
          <w:lang w:bidi="en-US"/>
        </w:rPr>
      </w:pPr>
      <w:r>
        <w:rPr>
          <w:rFonts w:hint="eastAsia"/>
          <w:b/>
          <w:bCs w:val="0"/>
          <w:sz w:val="32"/>
          <w:szCs w:val="32"/>
          <w:lang w:bidi="en-US"/>
        </w:rPr>
        <w:t>项目单位:乌鲁木齐市第十五中学</w:t>
      </w:r>
    </w:p>
    <w:p>
      <w:pPr>
        <w:jc w:val="center"/>
        <w:rPr>
          <w:b/>
          <w:bCs w:val="0"/>
          <w:sz w:val="32"/>
          <w:szCs w:val="32"/>
          <w:lang w:bidi="en-US"/>
        </w:rPr>
      </w:pPr>
      <w:r>
        <w:rPr>
          <w:rFonts w:hint="eastAsia"/>
          <w:b/>
          <w:bCs w:val="0"/>
          <w:sz w:val="32"/>
          <w:szCs w:val="32"/>
          <w:lang w:bidi="en-US"/>
        </w:rPr>
        <w:t>主管部门:乌鲁木齐市教育局</w:t>
      </w:r>
    </w:p>
    <w:p>
      <w:pPr>
        <w:jc w:val="center"/>
        <w:rPr>
          <w:b/>
          <w:bCs w:val="0"/>
          <w:sz w:val="32"/>
          <w:szCs w:val="32"/>
          <w:lang w:bidi="en-US"/>
        </w:rPr>
      </w:pPr>
    </w:p>
    <w:p>
      <w:pPr>
        <w:jc w:val="center"/>
        <w:rPr>
          <w:b/>
          <w:bCs w:val="0"/>
          <w:sz w:val="32"/>
          <w:szCs w:val="32"/>
          <w:lang w:bidi="en-US"/>
        </w:rPr>
      </w:pPr>
    </w:p>
    <w:p>
      <w:pPr>
        <w:jc w:val="center"/>
        <w:rPr>
          <w:b/>
          <w:bCs w:val="0"/>
          <w:sz w:val="32"/>
          <w:szCs w:val="32"/>
          <w:lang w:bidi="en-US"/>
        </w:rPr>
      </w:pPr>
    </w:p>
    <w:p>
      <w:pPr>
        <w:jc w:val="center"/>
        <w:rPr>
          <w:b/>
          <w:bCs w:val="0"/>
          <w:sz w:val="32"/>
          <w:szCs w:val="32"/>
          <w:lang w:bidi="en-US"/>
        </w:rPr>
      </w:pPr>
      <w:r>
        <w:rPr>
          <w:rFonts w:hint="eastAsia"/>
          <w:b/>
          <w:bCs w:val="0"/>
          <w:sz w:val="32"/>
          <w:szCs w:val="32"/>
          <w:lang w:bidi="en-US"/>
        </w:rPr>
        <w:t>2024年05月06日</w:t>
      </w:r>
    </w:p>
    <w:p>
      <w:pPr>
        <w:rPr>
          <w:b/>
          <w:bCs w:val="0"/>
          <w:lang w:bidi="en-US"/>
        </w:rPr>
      </w:pPr>
    </w:p>
    <w:p>
      <w:pPr>
        <w:rPr>
          <w:lang w:bidi="en-US"/>
        </w:rPr>
      </w:pPr>
      <w:r>
        <w:rPr>
          <w:lang w:bidi="en-US"/>
        </w:rPr>
        <w:tab/>
      </w:r>
    </w:p>
    <w:sdt>
      <w:sdtPr>
        <w:rPr>
          <w:rFonts w:ascii="Calibri" w:hAnsi="Calibri" w:eastAsia="仿宋_GB2312" w:cs="黑体"/>
          <w:color w:val="auto"/>
          <w:kern w:val="2"/>
          <w:sz w:val="28"/>
          <w:szCs w:val="22"/>
          <w:lang w:val="zh-CN"/>
        </w:rPr>
        <w:id w:val="-1822651860"/>
        <w:docPartObj>
          <w:docPartGallery w:val="Table of Contents"/>
          <w:docPartUnique/>
        </w:docPartObj>
      </w:sdtPr>
      <w:sdtEndPr>
        <w:rPr>
          <w:rFonts w:ascii="仿宋_GB2312" w:hAnsi="Calibri" w:eastAsia="仿宋_GB2312" w:cs="黑体"/>
          <w:b/>
          <w:color w:val="auto"/>
          <w:kern w:val="2"/>
          <w:sz w:val="28"/>
          <w:szCs w:val="28"/>
          <w:lang w:val="zh-CN"/>
        </w:rPr>
      </w:sdtEndPr>
      <w:sdtContent>
        <w:p>
          <w:pPr>
            <w:pStyle w:val="30"/>
          </w:pPr>
          <w:r>
            <w:rPr>
              <w:lang w:val="zh-CN"/>
            </w:rPr>
            <w:t>目录</w:t>
          </w:r>
        </w:p>
        <w:p>
          <w:pPr>
            <w:pStyle w:val="12"/>
            <w:tabs>
              <w:tab w:val="right" w:leader="dot" w:pos="8306"/>
            </w:tabs>
          </w:pPr>
          <w:r>
            <w:fldChar w:fldCharType="begin"/>
          </w:r>
          <w:r>
            <w:instrText xml:space="preserve"> TOC \o "1-3" \h \z \u </w:instrText>
          </w:r>
          <w:r>
            <w:fldChar w:fldCharType="separate"/>
          </w:r>
          <w:r>
            <w:fldChar w:fldCharType="begin"/>
          </w:r>
          <w:r>
            <w:instrText xml:space="preserve"> HYPERLINK \l _Toc9383 </w:instrText>
          </w:r>
          <w:r>
            <w:fldChar w:fldCharType="separate"/>
          </w:r>
          <w:r>
            <w:rPr>
              <w:rFonts w:hint="eastAsia"/>
              <w:lang w:bidi="en-US"/>
            </w:rPr>
            <w:t>一、基本情况</w:t>
          </w:r>
          <w:r>
            <w:tab/>
          </w:r>
          <w:r>
            <w:fldChar w:fldCharType="begin"/>
          </w:r>
          <w:r>
            <w:instrText xml:space="preserve"> PAGEREF _Toc9383 \h </w:instrText>
          </w:r>
          <w:r>
            <w:fldChar w:fldCharType="separate"/>
          </w:r>
          <w:r>
            <w:t>1</w:t>
          </w:r>
          <w:r>
            <w:fldChar w:fldCharType="end"/>
          </w:r>
          <w:r>
            <w:fldChar w:fldCharType="end"/>
          </w:r>
        </w:p>
        <w:p>
          <w:pPr>
            <w:pStyle w:val="14"/>
            <w:tabs>
              <w:tab w:val="right" w:leader="dot" w:pos="8306"/>
            </w:tabs>
          </w:pPr>
          <w:r>
            <w:rPr>
              <w:lang w:val="zh-CN"/>
            </w:rPr>
            <w:fldChar w:fldCharType="begin"/>
          </w:r>
          <w:r>
            <w:rPr>
              <w:lang w:val="zh-CN"/>
            </w:rPr>
            <w:instrText xml:space="preserve"> HYPERLINK \l _Toc28119 </w:instrText>
          </w:r>
          <w:r>
            <w:rPr>
              <w:lang w:val="zh-CN"/>
            </w:rPr>
            <w:fldChar w:fldCharType="separate"/>
          </w:r>
          <w:r>
            <w:rPr>
              <w:rFonts w:hint="eastAsia"/>
              <w:lang w:bidi="en-US"/>
            </w:rPr>
            <w:t>（一）项目概况:</w:t>
          </w:r>
          <w:r>
            <w:tab/>
          </w:r>
          <w:r>
            <w:fldChar w:fldCharType="begin"/>
          </w:r>
          <w:r>
            <w:instrText xml:space="preserve"> PAGEREF _Toc28119 \h </w:instrText>
          </w:r>
          <w:r>
            <w:fldChar w:fldCharType="separate"/>
          </w:r>
          <w:r>
            <w:t>1</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_Toc8370 </w:instrText>
          </w:r>
          <w:r>
            <w:rPr>
              <w:lang w:val="zh-CN"/>
            </w:rPr>
            <w:fldChar w:fldCharType="separate"/>
          </w:r>
          <w:r>
            <w:rPr>
              <w:rFonts w:hint="eastAsia"/>
            </w:rPr>
            <w:t>1．项目背景、主要内容及实施情况</w:t>
          </w:r>
          <w:r>
            <w:tab/>
          </w:r>
          <w:r>
            <w:fldChar w:fldCharType="begin"/>
          </w:r>
          <w:r>
            <w:instrText xml:space="preserve"> PAGEREF _Toc8370 \h </w:instrText>
          </w:r>
          <w:r>
            <w:fldChar w:fldCharType="separate"/>
          </w:r>
          <w:r>
            <w:t>1</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_Toc3277 </w:instrText>
          </w:r>
          <w:r>
            <w:rPr>
              <w:lang w:val="zh-CN"/>
            </w:rPr>
            <w:fldChar w:fldCharType="separate"/>
          </w:r>
          <w:r>
            <w:rPr>
              <w:rFonts w:hint="eastAsia"/>
            </w:rPr>
            <w:t>2</w:t>
          </w:r>
          <w:r>
            <w:t>.资金投入和使用情况</w:t>
          </w:r>
          <w:r>
            <w:tab/>
          </w:r>
          <w:r>
            <w:fldChar w:fldCharType="begin"/>
          </w:r>
          <w:r>
            <w:instrText xml:space="preserve"> PAGEREF _Toc3277 \h </w:instrText>
          </w:r>
          <w:r>
            <w:fldChar w:fldCharType="separate"/>
          </w:r>
          <w:r>
            <w:t>1</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_Toc27298 </w:instrText>
          </w:r>
          <w:r>
            <w:rPr>
              <w:lang w:val="zh-CN"/>
            </w:rPr>
            <w:fldChar w:fldCharType="separate"/>
          </w:r>
          <w:r>
            <w:rPr>
              <w:rFonts w:hint="eastAsia"/>
              <w:lang w:bidi="en-US"/>
            </w:rPr>
            <w:t>（二）项目绩效目标:</w:t>
          </w:r>
          <w:r>
            <w:tab/>
          </w:r>
          <w:r>
            <w:fldChar w:fldCharType="begin"/>
          </w:r>
          <w:r>
            <w:instrText xml:space="preserve"> PAGEREF _Toc27298 \h </w:instrText>
          </w:r>
          <w:r>
            <w:fldChar w:fldCharType="separate"/>
          </w:r>
          <w:r>
            <w:t>2</w:t>
          </w:r>
          <w:r>
            <w:fldChar w:fldCharType="end"/>
          </w:r>
          <w:r>
            <w:rPr>
              <w:lang w:val="zh-CN"/>
            </w:rPr>
            <w:fldChar w:fldCharType="end"/>
          </w:r>
        </w:p>
        <w:p>
          <w:pPr>
            <w:pStyle w:val="12"/>
            <w:tabs>
              <w:tab w:val="right" w:leader="dot" w:pos="8306"/>
            </w:tabs>
          </w:pPr>
          <w:r>
            <w:rPr>
              <w:lang w:val="zh-CN"/>
            </w:rPr>
            <w:fldChar w:fldCharType="begin"/>
          </w:r>
          <w:r>
            <w:rPr>
              <w:lang w:val="zh-CN"/>
            </w:rPr>
            <w:instrText xml:space="preserve"> HYPERLINK \l _Toc6692 </w:instrText>
          </w:r>
          <w:r>
            <w:rPr>
              <w:lang w:val="zh-CN"/>
            </w:rPr>
            <w:fldChar w:fldCharType="separate"/>
          </w:r>
          <w:r>
            <w:rPr>
              <w:rFonts w:hint="eastAsia"/>
              <w:lang w:bidi="en-US"/>
            </w:rPr>
            <w:t>二、绩效评价工作开展情况</w:t>
          </w:r>
          <w:r>
            <w:tab/>
          </w:r>
          <w:r>
            <w:fldChar w:fldCharType="begin"/>
          </w:r>
          <w:r>
            <w:instrText xml:space="preserve"> PAGEREF _Toc6692 \h </w:instrText>
          </w:r>
          <w:r>
            <w:fldChar w:fldCharType="separate"/>
          </w:r>
          <w:r>
            <w:t>4</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_Toc25165 </w:instrText>
          </w:r>
          <w:r>
            <w:rPr>
              <w:lang w:val="zh-CN"/>
            </w:rPr>
            <w:fldChar w:fldCharType="separate"/>
          </w:r>
          <w:r>
            <w:rPr>
              <w:rFonts w:hint="eastAsia"/>
              <w:lang w:bidi="en-US"/>
            </w:rPr>
            <w:t>（一）绩效评价目的、对象和范围</w:t>
          </w:r>
          <w:r>
            <w:tab/>
          </w:r>
          <w:r>
            <w:fldChar w:fldCharType="begin"/>
          </w:r>
          <w:r>
            <w:instrText xml:space="preserve"> PAGEREF _Toc25165 \h </w:instrText>
          </w:r>
          <w:r>
            <w:fldChar w:fldCharType="separate"/>
          </w:r>
          <w:r>
            <w:t>4</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_Toc12471 </w:instrText>
          </w:r>
          <w:r>
            <w:rPr>
              <w:lang w:val="zh-CN"/>
            </w:rPr>
            <w:fldChar w:fldCharType="separate"/>
          </w:r>
          <w:r>
            <w:rPr>
              <w:rFonts w:hint="eastAsia"/>
            </w:rPr>
            <w:t>1</w:t>
          </w:r>
          <w:r>
            <w:t>.绩效评价完整性</w:t>
          </w:r>
          <w:r>
            <w:tab/>
          </w:r>
          <w:r>
            <w:fldChar w:fldCharType="begin"/>
          </w:r>
          <w:r>
            <w:instrText xml:space="preserve"> PAGEREF _Toc12471 \h </w:instrText>
          </w:r>
          <w:r>
            <w:fldChar w:fldCharType="separate"/>
          </w:r>
          <w:r>
            <w:t>4</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_Toc4088 </w:instrText>
          </w:r>
          <w:r>
            <w:rPr>
              <w:lang w:val="zh-CN"/>
            </w:rPr>
            <w:fldChar w:fldCharType="separate"/>
          </w:r>
          <w:r>
            <w:t>2</w:t>
          </w:r>
          <w:r>
            <w:rPr>
              <w:rFonts w:hint="eastAsia"/>
            </w:rPr>
            <w:t>.评价目的</w:t>
          </w:r>
          <w:r>
            <w:tab/>
          </w:r>
          <w:r>
            <w:fldChar w:fldCharType="begin"/>
          </w:r>
          <w:r>
            <w:instrText xml:space="preserve"> PAGEREF _Toc4088 \h </w:instrText>
          </w:r>
          <w:r>
            <w:fldChar w:fldCharType="separate"/>
          </w:r>
          <w:r>
            <w:t>5</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_Toc5418 </w:instrText>
          </w:r>
          <w:r>
            <w:rPr>
              <w:lang w:val="zh-CN"/>
            </w:rPr>
            <w:fldChar w:fldCharType="separate"/>
          </w:r>
          <w:r>
            <w:t>3</w:t>
          </w:r>
          <w:r>
            <w:rPr>
              <w:rFonts w:hint="eastAsia"/>
            </w:rPr>
            <w:t>.评价对象</w:t>
          </w:r>
          <w:r>
            <w:tab/>
          </w:r>
          <w:r>
            <w:fldChar w:fldCharType="begin"/>
          </w:r>
          <w:r>
            <w:instrText xml:space="preserve"> PAGEREF _Toc5418 \h </w:instrText>
          </w:r>
          <w:r>
            <w:fldChar w:fldCharType="separate"/>
          </w:r>
          <w:r>
            <w:t>6</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_Toc21858 </w:instrText>
          </w:r>
          <w:r>
            <w:rPr>
              <w:lang w:val="zh-CN"/>
            </w:rPr>
            <w:fldChar w:fldCharType="separate"/>
          </w:r>
          <w:r>
            <w:rPr>
              <w:rFonts w:hint="eastAsia"/>
            </w:rPr>
            <w:t>4</w:t>
          </w:r>
          <w:r>
            <w:t>.</w:t>
          </w:r>
          <w:r>
            <w:rPr>
              <w:rFonts w:hint="eastAsia"/>
            </w:rPr>
            <w:t>绩效评价范围</w:t>
          </w:r>
          <w:r>
            <w:tab/>
          </w:r>
          <w:r>
            <w:fldChar w:fldCharType="begin"/>
          </w:r>
          <w:r>
            <w:instrText xml:space="preserve"> PAGEREF _Toc21858 \h </w:instrText>
          </w:r>
          <w:r>
            <w:fldChar w:fldCharType="separate"/>
          </w:r>
          <w:r>
            <w:t>6</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_Toc15172 </w:instrText>
          </w:r>
          <w:r>
            <w:rPr>
              <w:lang w:val="zh-CN"/>
            </w:rPr>
            <w:fldChar w:fldCharType="separate"/>
          </w:r>
          <w:r>
            <w:rPr>
              <w:rFonts w:hint="eastAsia"/>
              <w:lang w:bidi="en-US"/>
            </w:rPr>
            <w:t>（二）绩效评价原则、指标体系、方法及标准</w:t>
          </w:r>
          <w:r>
            <w:tab/>
          </w:r>
          <w:r>
            <w:fldChar w:fldCharType="begin"/>
          </w:r>
          <w:r>
            <w:instrText xml:space="preserve"> PAGEREF _Toc15172 \h </w:instrText>
          </w:r>
          <w:r>
            <w:fldChar w:fldCharType="separate"/>
          </w:r>
          <w:r>
            <w:t>7</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_Toc5166 </w:instrText>
          </w:r>
          <w:r>
            <w:rPr>
              <w:lang w:val="zh-CN"/>
            </w:rPr>
            <w:fldChar w:fldCharType="separate"/>
          </w:r>
          <w:r>
            <w:rPr>
              <w:rFonts w:hint="eastAsia"/>
            </w:rPr>
            <w:t>1</w:t>
          </w:r>
          <w:r>
            <w:t>.</w:t>
          </w:r>
          <w:r>
            <w:rPr>
              <w:rFonts w:hint="eastAsia"/>
            </w:rPr>
            <w:t>评价原则</w:t>
          </w:r>
          <w:r>
            <w:tab/>
          </w:r>
          <w:r>
            <w:fldChar w:fldCharType="begin"/>
          </w:r>
          <w:r>
            <w:instrText xml:space="preserve"> PAGEREF _Toc5166 \h </w:instrText>
          </w:r>
          <w:r>
            <w:fldChar w:fldCharType="separate"/>
          </w:r>
          <w:r>
            <w:t>7</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_Toc12073 </w:instrText>
          </w:r>
          <w:r>
            <w:rPr>
              <w:lang w:val="zh-CN"/>
            </w:rPr>
            <w:fldChar w:fldCharType="separate"/>
          </w:r>
          <w:r>
            <w:t>2.</w:t>
          </w:r>
          <w:r>
            <w:rPr>
              <w:rFonts w:hint="eastAsia"/>
            </w:rPr>
            <w:t>评价指标体系</w:t>
          </w:r>
          <w:r>
            <w:tab/>
          </w:r>
          <w:r>
            <w:fldChar w:fldCharType="begin"/>
          </w:r>
          <w:r>
            <w:instrText xml:space="preserve"> PAGEREF _Toc12073 \h </w:instrText>
          </w:r>
          <w:r>
            <w:fldChar w:fldCharType="separate"/>
          </w:r>
          <w:r>
            <w:t>7</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_Toc23745 </w:instrText>
          </w:r>
          <w:r>
            <w:rPr>
              <w:lang w:val="zh-CN"/>
            </w:rPr>
            <w:fldChar w:fldCharType="separate"/>
          </w:r>
          <w:r>
            <w:t>3.</w:t>
          </w:r>
          <w:r>
            <w:rPr>
              <w:rFonts w:hint="eastAsia"/>
            </w:rPr>
            <w:t>评价方法</w:t>
          </w:r>
          <w:r>
            <w:tab/>
          </w:r>
          <w:r>
            <w:fldChar w:fldCharType="begin"/>
          </w:r>
          <w:r>
            <w:instrText xml:space="preserve"> PAGEREF _Toc23745 \h </w:instrText>
          </w:r>
          <w:r>
            <w:fldChar w:fldCharType="separate"/>
          </w:r>
          <w:r>
            <w:t>14</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_Toc18771 </w:instrText>
          </w:r>
          <w:r>
            <w:rPr>
              <w:lang w:val="zh-CN"/>
            </w:rPr>
            <w:fldChar w:fldCharType="separate"/>
          </w:r>
          <w:r>
            <w:t>4.</w:t>
          </w:r>
          <w:r>
            <w:rPr>
              <w:rFonts w:hint="eastAsia"/>
            </w:rPr>
            <w:t>评价标准</w:t>
          </w:r>
          <w:r>
            <w:tab/>
          </w:r>
          <w:r>
            <w:fldChar w:fldCharType="begin"/>
          </w:r>
          <w:r>
            <w:instrText xml:space="preserve"> PAGEREF _Toc18771 \h </w:instrText>
          </w:r>
          <w:r>
            <w:fldChar w:fldCharType="separate"/>
          </w:r>
          <w:r>
            <w:t>15</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_Toc4286 </w:instrText>
          </w:r>
          <w:r>
            <w:rPr>
              <w:lang w:val="zh-CN"/>
            </w:rPr>
            <w:fldChar w:fldCharType="separate"/>
          </w:r>
          <w:r>
            <w:rPr>
              <w:rFonts w:hint="eastAsia"/>
              <w:lang w:bidi="en-US"/>
            </w:rPr>
            <w:t>（三）绩效评价工作过程</w:t>
          </w:r>
          <w:r>
            <w:tab/>
          </w:r>
          <w:r>
            <w:fldChar w:fldCharType="begin"/>
          </w:r>
          <w:r>
            <w:instrText xml:space="preserve"> PAGEREF _Toc4286 \h </w:instrText>
          </w:r>
          <w:r>
            <w:fldChar w:fldCharType="separate"/>
          </w:r>
          <w:r>
            <w:t>16</w:t>
          </w:r>
          <w:r>
            <w:fldChar w:fldCharType="end"/>
          </w:r>
          <w:r>
            <w:rPr>
              <w:lang w:val="zh-CN"/>
            </w:rPr>
            <w:fldChar w:fldCharType="end"/>
          </w:r>
        </w:p>
        <w:p>
          <w:pPr>
            <w:pStyle w:val="12"/>
            <w:tabs>
              <w:tab w:val="right" w:leader="dot" w:pos="8306"/>
            </w:tabs>
          </w:pPr>
          <w:r>
            <w:rPr>
              <w:lang w:val="zh-CN"/>
            </w:rPr>
            <w:fldChar w:fldCharType="begin"/>
          </w:r>
          <w:r>
            <w:rPr>
              <w:lang w:val="zh-CN"/>
            </w:rPr>
            <w:instrText xml:space="preserve"> HYPERLINK \l _Toc2948 </w:instrText>
          </w:r>
          <w:r>
            <w:rPr>
              <w:lang w:val="zh-CN"/>
            </w:rPr>
            <w:fldChar w:fldCharType="separate"/>
          </w:r>
          <w:r>
            <w:rPr>
              <w:rFonts w:hint="eastAsia"/>
              <w:lang w:bidi="en-US"/>
            </w:rPr>
            <w:t>三、综合评价情况及评价结论</w:t>
          </w:r>
          <w:r>
            <w:tab/>
          </w:r>
          <w:r>
            <w:fldChar w:fldCharType="begin"/>
          </w:r>
          <w:r>
            <w:instrText xml:space="preserve"> PAGEREF _Toc2948 \h </w:instrText>
          </w:r>
          <w:r>
            <w:fldChar w:fldCharType="separate"/>
          </w:r>
          <w:r>
            <w:t>16</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_Toc32465 </w:instrText>
          </w:r>
          <w:r>
            <w:rPr>
              <w:lang w:val="zh-CN"/>
            </w:rPr>
            <w:fldChar w:fldCharType="separate"/>
          </w:r>
          <w:r>
            <w:rPr>
              <w:rFonts w:hint="eastAsia"/>
              <w:lang w:bidi="en-US"/>
            </w:rPr>
            <w:t>（一）评价结论</w:t>
          </w:r>
          <w:r>
            <w:tab/>
          </w:r>
          <w:r>
            <w:fldChar w:fldCharType="begin"/>
          </w:r>
          <w:r>
            <w:instrText xml:space="preserve"> PAGEREF _Toc32465 \h </w:instrText>
          </w:r>
          <w:r>
            <w:fldChar w:fldCharType="separate"/>
          </w:r>
          <w:r>
            <w:t>16</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_Toc13821 </w:instrText>
          </w:r>
          <w:r>
            <w:rPr>
              <w:lang w:val="zh-CN"/>
            </w:rPr>
            <w:fldChar w:fldCharType="separate"/>
          </w:r>
          <w:r>
            <w:rPr>
              <w:rFonts w:hint="eastAsia"/>
              <w:lang w:bidi="en-US"/>
            </w:rPr>
            <w:t>（二）主要绩效</w:t>
          </w:r>
          <w:r>
            <w:tab/>
          </w:r>
          <w:r>
            <w:fldChar w:fldCharType="begin"/>
          </w:r>
          <w:r>
            <w:instrText xml:space="preserve"> PAGEREF _Toc13821 \h </w:instrText>
          </w:r>
          <w:r>
            <w:fldChar w:fldCharType="separate"/>
          </w:r>
          <w:r>
            <w:t>18</w:t>
          </w:r>
          <w:r>
            <w:fldChar w:fldCharType="end"/>
          </w:r>
          <w:r>
            <w:rPr>
              <w:lang w:val="zh-CN"/>
            </w:rPr>
            <w:fldChar w:fldCharType="end"/>
          </w:r>
        </w:p>
        <w:p>
          <w:pPr>
            <w:pStyle w:val="12"/>
            <w:tabs>
              <w:tab w:val="right" w:leader="dot" w:pos="8306"/>
            </w:tabs>
          </w:pPr>
          <w:r>
            <w:rPr>
              <w:lang w:val="zh-CN"/>
            </w:rPr>
            <w:fldChar w:fldCharType="begin"/>
          </w:r>
          <w:r>
            <w:rPr>
              <w:lang w:val="zh-CN"/>
            </w:rPr>
            <w:instrText xml:space="preserve"> HYPERLINK \l _Toc26986 </w:instrText>
          </w:r>
          <w:r>
            <w:rPr>
              <w:lang w:val="zh-CN"/>
            </w:rPr>
            <w:fldChar w:fldCharType="separate"/>
          </w:r>
          <w:r>
            <w:rPr>
              <w:rFonts w:hint="eastAsia"/>
              <w:lang w:bidi="en-US"/>
            </w:rPr>
            <w:t>四、绩效评价指标分析</w:t>
          </w:r>
          <w:r>
            <w:tab/>
          </w:r>
          <w:r>
            <w:fldChar w:fldCharType="begin"/>
          </w:r>
          <w:r>
            <w:instrText xml:space="preserve"> PAGEREF _Toc26986 \h </w:instrText>
          </w:r>
          <w:r>
            <w:fldChar w:fldCharType="separate"/>
          </w:r>
          <w:r>
            <w:t>18</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_Toc24516 </w:instrText>
          </w:r>
          <w:r>
            <w:rPr>
              <w:lang w:val="zh-CN"/>
            </w:rPr>
            <w:fldChar w:fldCharType="separate"/>
          </w:r>
          <w:r>
            <w:rPr>
              <w:rFonts w:hint="eastAsia"/>
              <w:lang w:bidi="en-US"/>
            </w:rPr>
            <w:t>（一）项目决策情况</w:t>
          </w:r>
          <w:r>
            <w:tab/>
          </w:r>
          <w:r>
            <w:fldChar w:fldCharType="begin"/>
          </w:r>
          <w:r>
            <w:instrText xml:space="preserve"> PAGEREF _Toc24516 \h </w:instrText>
          </w:r>
          <w:r>
            <w:fldChar w:fldCharType="separate"/>
          </w:r>
          <w:r>
            <w:t>18</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_Toc14470 </w:instrText>
          </w:r>
          <w:r>
            <w:rPr>
              <w:lang w:val="zh-CN"/>
            </w:rPr>
            <w:fldChar w:fldCharType="separate"/>
          </w:r>
          <w:r>
            <w:t>1.</w:t>
          </w:r>
          <w:r>
            <w:rPr>
              <w:rFonts w:hint="eastAsia"/>
            </w:rPr>
            <w:t>项目立项</w:t>
          </w:r>
          <w:r>
            <w:tab/>
          </w:r>
          <w:r>
            <w:fldChar w:fldCharType="begin"/>
          </w:r>
          <w:r>
            <w:instrText xml:space="preserve"> PAGEREF _Toc14470 \h </w:instrText>
          </w:r>
          <w:r>
            <w:fldChar w:fldCharType="separate"/>
          </w:r>
          <w:r>
            <w:t>19</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_Toc29118 </w:instrText>
          </w:r>
          <w:r>
            <w:rPr>
              <w:lang w:val="zh-CN"/>
            </w:rPr>
            <w:fldChar w:fldCharType="separate"/>
          </w:r>
          <w:r>
            <w:rPr>
              <w:rFonts w:hint="eastAsia"/>
            </w:rPr>
            <w:t>2</w:t>
          </w:r>
          <w:r>
            <w:t>.</w:t>
          </w:r>
          <w:r>
            <w:rPr>
              <w:rFonts w:hint="eastAsia"/>
            </w:rPr>
            <w:t>绩效目标</w:t>
          </w:r>
          <w:r>
            <w:tab/>
          </w:r>
          <w:r>
            <w:fldChar w:fldCharType="begin"/>
          </w:r>
          <w:r>
            <w:instrText xml:space="preserve"> PAGEREF _Toc29118 \h </w:instrText>
          </w:r>
          <w:r>
            <w:fldChar w:fldCharType="separate"/>
          </w:r>
          <w:r>
            <w:t>19</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_Toc22223 </w:instrText>
          </w:r>
          <w:r>
            <w:rPr>
              <w:lang w:val="zh-CN"/>
            </w:rPr>
            <w:fldChar w:fldCharType="separate"/>
          </w:r>
          <w:r>
            <w:rPr>
              <w:rFonts w:hint="eastAsia"/>
            </w:rPr>
            <w:t>3.资金投入</w:t>
          </w:r>
          <w:r>
            <w:tab/>
          </w:r>
          <w:r>
            <w:fldChar w:fldCharType="begin"/>
          </w:r>
          <w:r>
            <w:instrText xml:space="preserve"> PAGEREF _Toc22223 \h </w:instrText>
          </w:r>
          <w:r>
            <w:fldChar w:fldCharType="separate"/>
          </w:r>
          <w:r>
            <w:t>20</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_Toc9184 </w:instrText>
          </w:r>
          <w:r>
            <w:rPr>
              <w:lang w:val="zh-CN"/>
            </w:rPr>
            <w:fldChar w:fldCharType="separate"/>
          </w:r>
          <w:r>
            <w:rPr>
              <w:rFonts w:hint="eastAsia"/>
              <w:lang w:bidi="en-US"/>
            </w:rPr>
            <w:t>（二）项目过程情况</w:t>
          </w:r>
          <w:r>
            <w:tab/>
          </w:r>
          <w:r>
            <w:fldChar w:fldCharType="begin"/>
          </w:r>
          <w:r>
            <w:instrText xml:space="preserve"> PAGEREF _Toc9184 \h </w:instrText>
          </w:r>
          <w:r>
            <w:fldChar w:fldCharType="separate"/>
          </w:r>
          <w:r>
            <w:t>22</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_Toc31886 </w:instrText>
          </w:r>
          <w:r>
            <w:rPr>
              <w:lang w:val="zh-CN"/>
            </w:rPr>
            <w:fldChar w:fldCharType="separate"/>
          </w:r>
          <w:r>
            <w:t>1.</w:t>
          </w:r>
          <w:r>
            <w:rPr>
              <w:rFonts w:hint="eastAsia"/>
            </w:rPr>
            <w:t>资金管理</w:t>
          </w:r>
          <w:r>
            <w:tab/>
          </w:r>
          <w:r>
            <w:fldChar w:fldCharType="begin"/>
          </w:r>
          <w:r>
            <w:instrText xml:space="preserve"> PAGEREF _Toc31886 \h </w:instrText>
          </w:r>
          <w:r>
            <w:fldChar w:fldCharType="separate"/>
          </w:r>
          <w:r>
            <w:t>22</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_Toc21717 </w:instrText>
          </w:r>
          <w:r>
            <w:rPr>
              <w:lang w:val="zh-CN"/>
            </w:rPr>
            <w:fldChar w:fldCharType="separate"/>
          </w:r>
          <w:r>
            <w:t>2.</w:t>
          </w:r>
          <w:r>
            <w:rPr>
              <w:rFonts w:hint="eastAsia"/>
            </w:rPr>
            <w:t>组织实施</w:t>
          </w:r>
          <w:r>
            <w:tab/>
          </w:r>
          <w:r>
            <w:fldChar w:fldCharType="begin"/>
          </w:r>
          <w:r>
            <w:instrText xml:space="preserve"> PAGEREF _Toc21717 \h </w:instrText>
          </w:r>
          <w:r>
            <w:fldChar w:fldCharType="separate"/>
          </w:r>
          <w:r>
            <w:t>24</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_Toc32573 </w:instrText>
          </w:r>
          <w:r>
            <w:rPr>
              <w:lang w:val="zh-CN"/>
            </w:rPr>
            <w:fldChar w:fldCharType="separate"/>
          </w:r>
          <w:r>
            <w:rPr>
              <w:rFonts w:hint="eastAsia"/>
              <w:lang w:bidi="en-US"/>
            </w:rPr>
            <w:t>（三）项目产出情况</w:t>
          </w:r>
          <w:r>
            <w:tab/>
          </w:r>
          <w:r>
            <w:fldChar w:fldCharType="begin"/>
          </w:r>
          <w:r>
            <w:instrText xml:space="preserve"> PAGEREF _Toc32573 \h </w:instrText>
          </w:r>
          <w:r>
            <w:fldChar w:fldCharType="separate"/>
          </w:r>
          <w:r>
            <w:t>24</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_Toc6076 </w:instrText>
          </w:r>
          <w:r>
            <w:rPr>
              <w:lang w:val="zh-CN"/>
            </w:rPr>
            <w:fldChar w:fldCharType="separate"/>
          </w:r>
          <w:r>
            <w:rPr>
              <w:rFonts w:hint="eastAsia"/>
            </w:rPr>
            <w:t>1</w:t>
          </w:r>
          <w:r>
            <w:t>.</w:t>
          </w:r>
          <w:r>
            <w:rPr>
              <w:rFonts w:hint="eastAsia"/>
            </w:rPr>
            <w:t>产出数量</w:t>
          </w:r>
          <w:r>
            <w:tab/>
          </w:r>
          <w:r>
            <w:fldChar w:fldCharType="begin"/>
          </w:r>
          <w:r>
            <w:instrText xml:space="preserve"> PAGEREF _Toc6076 \h </w:instrText>
          </w:r>
          <w:r>
            <w:fldChar w:fldCharType="separate"/>
          </w:r>
          <w:r>
            <w:t>24</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_Toc13003 </w:instrText>
          </w:r>
          <w:r>
            <w:rPr>
              <w:lang w:val="zh-CN"/>
            </w:rPr>
            <w:fldChar w:fldCharType="separate"/>
          </w:r>
          <w:r>
            <w:rPr>
              <w:rFonts w:hint="eastAsia"/>
            </w:rPr>
            <w:t>2</w:t>
          </w:r>
          <w:r>
            <w:t>.</w:t>
          </w:r>
          <w:r>
            <w:rPr>
              <w:rFonts w:hint="eastAsia"/>
            </w:rPr>
            <w:t>产出质量</w:t>
          </w:r>
          <w:r>
            <w:tab/>
          </w:r>
          <w:r>
            <w:fldChar w:fldCharType="begin"/>
          </w:r>
          <w:r>
            <w:instrText xml:space="preserve"> PAGEREF _Toc13003 \h </w:instrText>
          </w:r>
          <w:r>
            <w:fldChar w:fldCharType="separate"/>
          </w:r>
          <w:r>
            <w:t>25</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_Toc28909 </w:instrText>
          </w:r>
          <w:r>
            <w:rPr>
              <w:lang w:val="zh-CN"/>
            </w:rPr>
            <w:fldChar w:fldCharType="separate"/>
          </w:r>
          <w:r>
            <w:rPr>
              <w:rFonts w:hint="eastAsia"/>
            </w:rPr>
            <w:t>3</w:t>
          </w:r>
          <w:r>
            <w:t>.</w:t>
          </w:r>
          <w:r>
            <w:rPr>
              <w:rFonts w:hint="eastAsia"/>
            </w:rPr>
            <w:t>产出时效</w:t>
          </w:r>
          <w:r>
            <w:tab/>
          </w:r>
          <w:r>
            <w:fldChar w:fldCharType="begin"/>
          </w:r>
          <w:r>
            <w:instrText xml:space="preserve"> PAGEREF _Toc28909 \h </w:instrText>
          </w:r>
          <w:r>
            <w:fldChar w:fldCharType="separate"/>
          </w:r>
          <w:r>
            <w:t>25</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_Toc4550 </w:instrText>
          </w:r>
          <w:r>
            <w:rPr>
              <w:lang w:val="zh-CN"/>
            </w:rPr>
            <w:fldChar w:fldCharType="separate"/>
          </w:r>
          <w:r>
            <w:rPr>
              <w:rFonts w:hint="eastAsia"/>
            </w:rPr>
            <w:t>4</w:t>
          </w:r>
          <w:r>
            <w:t>.</w:t>
          </w:r>
          <w:r>
            <w:rPr>
              <w:rFonts w:hint="eastAsia"/>
            </w:rPr>
            <w:t>产出成本</w:t>
          </w:r>
          <w:r>
            <w:tab/>
          </w:r>
          <w:r>
            <w:fldChar w:fldCharType="begin"/>
          </w:r>
          <w:r>
            <w:instrText xml:space="preserve"> PAGEREF _Toc4550 \h </w:instrText>
          </w:r>
          <w:r>
            <w:fldChar w:fldCharType="separate"/>
          </w:r>
          <w:r>
            <w:t>25</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_Toc16879 </w:instrText>
          </w:r>
          <w:r>
            <w:rPr>
              <w:lang w:val="zh-CN"/>
            </w:rPr>
            <w:fldChar w:fldCharType="separate"/>
          </w:r>
          <w:r>
            <w:rPr>
              <w:rFonts w:hint="eastAsia"/>
              <w:lang w:bidi="en-US"/>
            </w:rPr>
            <w:t>（四）项目效益情况</w:t>
          </w:r>
          <w:r>
            <w:tab/>
          </w:r>
          <w:r>
            <w:fldChar w:fldCharType="begin"/>
          </w:r>
          <w:r>
            <w:instrText xml:space="preserve"> PAGEREF _Toc16879 \h </w:instrText>
          </w:r>
          <w:r>
            <w:fldChar w:fldCharType="separate"/>
          </w:r>
          <w:r>
            <w:t>27</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_Toc19462 </w:instrText>
          </w:r>
          <w:r>
            <w:rPr>
              <w:lang w:val="zh-CN"/>
            </w:rPr>
            <w:fldChar w:fldCharType="separate"/>
          </w:r>
          <w:r>
            <w:rPr>
              <w:rFonts w:hint="eastAsia"/>
            </w:rPr>
            <w:t>1. 项目效益</w:t>
          </w:r>
          <w:r>
            <w:tab/>
          </w:r>
          <w:r>
            <w:fldChar w:fldCharType="begin"/>
          </w:r>
          <w:r>
            <w:instrText xml:space="preserve"> PAGEREF _Toc19462 \h </w:instrText>
          </w:r>
          <w:r>
            <w:fldChar w:fldCharType="separate"/>
          </w:r>
          <w:r>
            <w:t>27</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_Toc9724 </w:instrText>
          </w:r>
          <w:r>
            <w:rPr>
              <w:lang w:val="zh-CN"/>
            </w:rPr>
            <w:fldChar w:fldCharType="separate"/>
          </w:r>
          <w:r>
            <w:t>2. 满意度指标完成情况分析</w:t>
          </w:r>
          <w:r>
            <w:tab/>
          </w:r>
          <w:r>
            <w:fldChar w:fldCharType="begin"/>
          </w:r>
          <w:r>
            <w:instrText xml:space="preserve"> PAGEREF _Toc9724 \h </w:instrText>
          </w:r>
          <w:r>
            <w:fldChar w:fldCharType="separate"/>
          </w:r>
          <w:r>
            <w:t>28</w:t>
          </w:r>
          <w:r>
            <w:fldChar w:fldCharType="end"/>
          </w:r>
          <w:r>
            <w:rPr>
              <w:lang w:val="zh-CN"/>
            </w:rPr>
            <w:fldChar w:fldCharType="end"/>
          </w:r>
        </w:p>
        <w:p>
          <w:pPr>
            <w:pStyle w:val="12"/>
            <w:tabs>
              <w:tab w:val="right" w:leader="dot" w:pos="8306"/>
            </w:tabs>
          </w:pPr>
          <w:r>
            <w:rPr>
              <w:lang w:val="zh-CN"/>
            </w:rPr>
            <w:fldChar w:fldCharType="begin"/>
          </w:r>
          <w:r>
            <w:rPr>
              <w:lang w:val="zh-CN"/>
            </w:rPr>
            <w:instrText xml:space="preserve"> HYPERLINK \l _Toc6037 </w:instrText>
          </w:r>
          <w:r>
            <w:rPr>
              <w:lang w:val="zh-CN"/>
            </w:rPr>
            <w:fldChar w:fldCharType="separate"/>
          </w:r>
          <w:r>
            <w:rPr>
              <w:rFonts w:hint="eastAsia"/>
              <w:lang w:bidi="en-US"/>
            </w:rPr>
            <w:t>五、主要经验及做法、存在的问题及原因分析</w:t>
          </w:r>
          <w:r>
            <w:tab/>
          </w:r>
          <w:r>
            <w:fldChar w:fldCharType="begin"/>
          </w:r>
          <w:r>
            <w:instrText xml:space="preserve"> PAGEREF _Toc6037 \h </w:instrText>
          </w:r>
          <w:r>
            <w:fldChar w:fldCharType="separate"/>
          </w:r>
          <w:r>
            <w:t>28</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_Toc19401 </w:instrText>
          </w:r>
          <w:r>
            <w:rPr>
              <w:lang w:val="zh-CN"/>
            </w:rPr>
            <w:fldChar w:fldCharType="separate"/>
          </w:r>
          <w:r>
            <w:rPr>
              <w:rFonts w:hint="eastAsia"/>
              <w:lang w:bidi="en-US"/>
            </w:rPr>
            <w:t>（一）主要经验及做法</w:t>
          </w:r>
          <w:r>
            <w:tab/>
          </w:r>
          <w:r>
            <w:fldChar w:fldCharType="begin"/>
          </w:r>
          <w:r>
            <w:instrText xml:space="preserve"> PAGEREF _Toc19401 \h </w:instrText>
          </w:r>
          <w:r>
            <w:fldChar w:fldCharType="separate"/>
          </w:r>
          <w:r>
            <w:t>28</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_Toc15842 </w:instrText>
          </w:r>
          <w:r>
            <w:rPr>
              <w:lang w:val="zh-CN"/>
            </w:rPr>
            <w:fldChar w:fldCharType="separate"/>
          </w:r>
          <w:r>
            <w:rPr>
              <w:rFonts w:hint="eastAsia"/>
              <w:lang w:bidi="en-US"/>
            </w:rPr>
            <w:t>（二）存在的问题及原因分析</w:t>
          </w:r>
          <w:r>
            <w:tab/>
          </w:r>
          <w:r>
            <w:fldChar w:fldCharType="begin"/>
          </w:r>
          <w:r>
            <w:instrText xml:space="preserve"> PAGEREF _Toc15842 \h </w:instrText>
          </w:r>
          <w:r>
            <w:fldChar w:fldCharType="separate"/>
          </w:r>
          <w:r>
            <w:t>29</w:t>
          </w:r>
          <w:r>
            <w:fldChar w:fldCharType="end"/>
          </w:r>
          <w:r>
            <w:rPr>
              <w:lang w:val="zh-CN"/>
            </w:rPr>
            <w:fldChar w:fldCharType="end"/>
          </w:r>
        </w:p>
        <w:p>
          <w:pPr>
            <w:pStyle w:val="12"/>
            <w:tabs>
              <w:tab w:val="right" w:leader="dot" w:pos="8306"/>
            </w:tabs>
          </w:pPr>
          <w:r>
            <w:rPr>
              <w:lang w:val="zh-CN"/>
            </w:rPr>
            <w:fldChar w:fldCharType="begin"/>
          </w:r>
          <w:r>
            <w:rPr>
              <w:lang w:val="zh-CN"/>
            </w:rPr>
            <w:instrText xml:space="preserve"> HYPERLINK \l _Toc32364 </w:instrText>
          </w:r>
          <w:r>
            <w:rPr>
              <w:lang w:val="zh-CN"/>
            </w:rPr>
            <w:fldChar w:fldCharType="separate"/>
          </w:r>
          <w:r>
            <w:rPr>
              <w:rFonts w:hint="eastAsia"/>
              <w:lang w:bidi="en-US"/>
            </w:rPr>
            <w:t>六、有关建议</w:t>
          </w:r>
          <w:r>
            <w:tab/>
          </w:r>
          <w:r>
            <w:fldChar w:fldCharType="begin"/>
          </w:r>
          <w:r>
            <w:instrText xml:space="preserve"> PAGEREF _Toc32364 \h </w:instrText>
          </w:r>
          <w:r>
            <w:fldChar w:fldCharType="separate"/>
          </w:r>
          <w:r>
            <w:t>29</w:t>
          </w:r>
          <w:r>
            <w:fldChar w:fldCharType="end"/>
          </w:r>
          <w:r>
            <w:rPr>
              <w:lang w:val="zh-CN"/>
            </w:rPr>
            <w:fldChar w:fldCharType="end"/>
          </w:r>
        </w:p>
        <w:p>
          <w:pPr>
            <w:pStyle w:val="12"/>
            <w:tabs>
              <w:tab w:val="right" w:leader="dot" w:pos="8306"/>
            </w:tabs>
          </w:pPr>
          <w:r>
            <w:rPr>
              <w:lang w:val="zh-CN"/>
            </w:rPr>
            <w:fldChar w:fldCharType="begin"/>
          </w:r>
          <w:r>
            <w:rPr>
              <w:lang w:val="zh-CN"/>
            </w:rPr>
            <w:instrText xml:space="preserve"> HYPERLINK \l _Toc28546 </w:instrText>
          </w:r>
          <w:r>
            <w:rPr>
              <w:lang w:val="zh-CN"/>
            </w:rPr>
            <w:fldChar w:fldCharType="separate"/>
          </w:r>
          <w:r>
            <w:rPr>
              <w:rFonts w:hint="eastAsia"/>
              <w:lang w:bidi="en-US"/>
            </w:rPr>
            <w:t>七、其他需要说明的问题</w:t>
          </w:r>
          <w:r>
            <w:tab/>
          </w:r>
          <w:r>
            <w:fldChar w:fldCharType="begin"/>
          </w:r>
          <w:r>
            <w:instrText xml:space="preserve"> PAGEREF _Toc28546 \h </w:instrText>
          </w:r>
          <w:r>
            <w:fldChar w:fldCharType="separate"/>
          </w:r>
          <w:r>
            <w:t>30</w:t>
          </w:r>
          <w:r>
            <w:fldChar w:fldCharType="end"/>
          </w:r>
          <w:r>
            <w:rPr>
              <w:lang w:val="zh-CN"/>
            </w:rPr>
            <w:fldChar w:fldCharType="end"/>
          </w:r>
        </w:p>
        <w:p>
          <w:r>
            <w:rPr>
              <w:lang w:val="zh-CN"/>
            </w:rPr>
            <w:fldChar w:fldCharType="end"/>
          </w:r>
        </w:p>
      </w:sdtContent>
    </w:sdt>
    <w:p>
      <w:pPr>
        <w:rPr>
          <w:lang w:bidi="en-US"/>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pPr>
        <w:pStyle w:val="2"/>
        <w:rPr>
          <w:lang w:bidi="en-US"/>
        </w:rPr>
      </w:pPr>
      <w:bookmarkStart w:id="0" w:name="_Toc67911601"/>
      <w:bookmarkStart w:id="1" w:name="_Toc9383"/>
      <w:r>
        <w:rPr>
          <w:rFonts w:hint="eastAsia"/>
          <w:lang w:bidi="en-US"/>
        </w:rPr>
        <w:t>一、基本情况</w:t>
      </w:r>
      <w:bookmarkEnd w:id="0"/>
      <w:bookmarkEnd w:id="1"/>
    </w:p>
    <w:p>
      <w:pPr>
        <w:pStyle w:val="3"/>
        <w:rPr>
          <w:lang w:bidi="en-US"/>
        </w:rPr>
      </w:pPr>
      <w:bookmarkStart w:id="2" w:name="_Toc67911602"/>
      <w:bookmarkStart w:id="3" w:name="_Toc28119"/>
      <w:r>
        <w:rPr>
          <w:rFonts w:hint="eastAsia"/>
          <w:lang w:bidi="en-US"/>
        </w:rPr>
        <w:t>（一）项目概况</w:t>
      </w:r>
      <w:bookmarkEnd w:id="2"/>
      <w:r>
        <w:rPr>
          <w:rFonts w:hint="eastAsia"/>
          <w:lang w:bidi="en-US"/>
        </w:rPr>
        <w:t>:</w:t>
      </w:r>
      <w:bookmarkEnd w:id="3"/>
    </w:p>
    <w:p>
      <w:pPr>
        <w:pStyle w:val="4"/>
      </w:pPr>
      <w:bookmarkStart w:id="4" w:name="_Toc8370"/>
      <w:r>
        <w:rPr>
          <w:rFonts w:hint="eastAsia"/>
        </w:rPr>
        <w:t>1．项目背景、主要内容及实施情况</w:t>
      </w:r>
      <w:bookmarkEnd w:id="4"/>
    </w:p>
    <w:p>
      <w:pPr>
        <w:ind w:firstLine="560" w:firstLineChars="200"/>
      </w:pPr>
      <w:r>
        <w:rPr>
          <w:rFonts w:hint="eastAsia"/>
        </w:rPr>
        <w:t>该项目实施背景:该项目根据乌财科教[2021]12号-乌市中小学规划布局调整第一批，乌财科教[2021]70号-关于拨付乌鲁木齐市中小学规划布局调整第三批项目资金的通知，保证正常教育教学的需要;进一步增强学校的基础设施，增强学校的硬件设施，为教师和学生提供更先进的教育教学环境，激发教师不断学习的积极性。</w:t>
      </w:r>
    </w:p>
    <w:p>
      <w:pPr>
        <w:ind w:firstLine="560" w:firstLineChars="200"/>
      </w:pPr>
      <w:r>
        <w:t>项目</w:t>
      </w:r>
      <w:r>
        <w:rPr>
          <w:rFonts w:hint="eastAsia"/>
        </w:rPr>
        <w:t>2</w:t>
      </w:r>
      <w:r>
        <w:t>023年的主要实施内容</w:t>
      </w:r>
      <w:r>
        <w:rPr>
          <w:rFonts w:hint="eastAsia"/>
        </w:rPr>
        <w:t>:①购置教室设备②购置餐厅设备</w:t>
      </w:r>
      <w:r>
        <w:rPr>
          <w:rFonts w:hint="eastAsia" w:ascii="仿宋" w:hAnsi="仿宋" w:eastAsia="仿宋" w:cs="仿宋"/>
        </w:rPr>
        <w:t>③</w:t>
      </w:r>
      <w:r>
        <w:rPr>
          <w:rFonts w:hint="eastAsia"/>
        </w:rPr>
        <w:t>购置实验室设备</w:t>
      </w:r>
      <w:r>
        <w:rPr>
          <w:rFonts w:hint="eastAsia"/>
        </w:rPr>
        <w:fldChar w:fldCharType="begin"/>
      </w:r>
      <w:r>
        <w:rPr>
          <w:rFonts w:hint="eastAsia"/>
        </w:rPr>
        <w:instrText xml:space="preserve"> = 4 \* GB3 \* MERGEFORMAT </w:instrText>
      </w:r>
      <w:r>
        <w:rPr>
          <w:rFonts w:hint="eastAsia"/>
        </w:rPr>
        <w:fldChar w:fldCharType="separate"/>
      </w:r>
      <w:r>
        <w:rPr>
          <w:rFonts w:hint="eastAsia"/>
        </w:rPr>
        <w:t>④</w:t>
      </w:r>
      <w:r>
        <w:rPr>
          <w:rFonts w:hint="eastAsia"/>
        </w:rPr>
        <w:fldChar w:fldCharType="end"/>
      </w:r>
      <w:r>
        <w:rPr>
          <w:rFonts w:hint="eastAsia"/>
        </w:rPr>
        <w:t>校园文化建设及购置LED屏设备</w:t>
      </w:r>
      <w:r>
        <w:rPr>
          <w:rFonts w:hint="eastAsia"/>
        </w:rPr>
        <w:fldChar w:fldCharType="begin"/>
      </w:r>
      <w:r>
        <w:rPr>
          <w:rFonts w:hint="eastAsia"/>
        </w:rPr>
        <w:instrText xml:space="preserve"> = 5 \* GB3 \* MERGEFORMAT </w:instrText>
      </w:r>
      <w:r>
        <w:rPr>
          <w:rFonts w:hint="eastAsia"/>
        </w:rPr>
        <w:fldChar w:fldCharType="separate"/>
      </w:r>
      <w:r>
        <w:rPr>
          <w:rFonts w:hint="eastAsia"/>
        </w:rPr>
        <w:t>⑤</w:t>
      </w:r>
      <w:r>
        <w:rPr>
          <w:rFonts w:hint="eastAsia"/>
        </w:rPr>
        <w:fldChar w:fldCharType="end"/>
      </w:r>
      <w:r>
        <w:rPr>
          <w:rFonts w:hint="eastAsia"/>
        </w:rPr>
        <w:t>建设直播教室及购置家具</w:t>
      </w:r>
      <w:r>
        <w:rPr>
          <w:rFonts w:hint="eastAsia"/>
        </w:rPr>
        <w:fldChar w:fldCharType="begin"/>
      </w:r>
      <w:r>
        <w:rPr>
          <w:rFonts w:hint="eastAsia"/>
        </w:rPr>
        <w:instrText xml:space="preserve"> = 6 \* GB3 \* MERGEFORMAT </w:instrText>
      </w:r>
      <w:r>
        <w:rPr>
          <w:rFonts w:hint="eastAsia"/>
        </w:rPr>
        <w:fldChar w:fldCharType="separate"/>
      </w:r>
      <w:r>
        <w:rPr>
          <w:rFonts w:hint="eastAsia"/>
        </w:rPr>
        <w:t>⑥</w:t>
      </w:r>
      <w:r>
        <w:rPr>
          <w:rFonts w:hint="eastAsia"/>
        </w:rPr>
        <w:fldChar w:fldCharType="end"/>
      </w:r>
      <w:r>
        <w:rPr>
          <w:rFonts w:hint="eastAsia"/>
        </w:rPr>
        <w:t>购置洗衣房设备⑦建设金属看台及智慧校园⑧搬家服务。</w:t>
      </w:r>
    </w:p>
    <w:p>
      <w:pPr>
        <w:ind w:firstLine="560" w:firstLineChars="200"/>
      </w:pPr>
      <w:r>
        <w:rPr>
          <w:rFonts w:hint="eastAsia"/>
        </w:rPr>
        <w:t>2</w:t>
      </w:r>
      <w:r>
        <w:t>023年当年完成情况</w:t>
      </w:r>
      <w:r>
        <w:rPr>
          <w:rFonts w:hint="eastAsia"/>
        </w:rPr>
        <w:t>:</w:t>
      </w:r>
      <w:r>
        <w:t>实际完成情况为</w:t>
      </w:r>
      <w:r>
        <w:rPr>
          <w:rFonts w:hint="eastAsia"/>
        </w:rPr>
        <w:t>:①购置教室设备②购置餐厅设备③购置实验室设备④校园文化建设及购置LED屏设备⑤建设直播教室及购置家具⑥购置洗衣房设备</w:t>
      </w:r>
      <w:r>
        <w:rPr>
          <w:rFonts w:hint="eastAsia"/>
        </w:rPr>
        <w:fldChar w:fldCharType="begin"/>
      </w:r>
      <w:r>
        <w:rPr>
          <w:rFonts w:hint="eastAsia"/>
        </w:rPr>
        <w:instrText xml:space="preserve"> = 7 \* GB3 \* MERGEFORMAT </w:instrText>
      </w:r>
      <w:r>
        <w:rPr>
          <w:rFonts w:hint="eastAsia"/>
        </w:rPr>
        <w:fldChar w:fldCharType="separate"/>
      </w:r>
      <w:r>
        <w:rPr>
          <w:rFonts w:hint="eastAsia"/>
        </w:rPr>
        <w:t>⑦</w:t>
      </w:r>
      <w:r>
        <w:rPr>
          <w:rFonts w:hint="eastAsia"/>
        </w:rPr>
        <w:fldChar w:fldCharType="end"/>
      </w:r>
      <w:r>
        <w:rPr>
          <w:rFonts w:hint="eastAsia"/>
        </w:rPr>
        <w:t>建设金属看台及智慧校园⑧搬家服务。项目内容已全部完成，资金使用100%合规合法，设备验收合格率100%，实现了该项目的社会效益，提高学校教学水平、改善办学条件、满意度指标为学生满意度指标等于100%。</w:t>
      </w:r>
    </w:p>
    <w:p>
      <w:pPr>
        <w:pStyle w:val="4"/>
      </w:pPr>
      <w:bookmarkStart w:id="5" w:name="_Toc3277"/>
      <w:r>
        <w:rPr>
          <w:rFonts w:hint="eastAsia"/>
        </w:rPr>
        <w:t>2</w:t>
      </w:r>
      <w:r>
        <w:t>.资金投入和使用情况</w:t>
      </w:r>
      <w:bookmarkEnd w:id="5"/>
    </w:p>
    <w:p>
      <w:pPr>
        <w:ind w:firstLine="560" w:firstLineChars="200"/>
        <w:rPr>
          <w:shd w:val="clear" w:color="FFFFFF" w:fill="D9D9D9"/>
        </w:rPr>
      </w:pPr>
      <w:r>
        <w:rPr>
          <w:rFonts w:hint="eastAsia"/>
        </w:rPr>
        <w:t>该项目资金投入情况:经乌财科教[2023]44号-关于下达市教育局及局属部分学校资金的通知文件批准，项目系</w:t>
      </w:r>
      <w:r>
        <w:t>2023</w:t>
      </w:r>
      <w:r>
        <w:rPr>
          <w:rFonts w:hint="eastAsia"/>
        </w:rPr>
        <w:t>年本级资金。安排预算249.87万元;上年结转资金1000万元，共安排预算1249.87万元，于202</w:t>
      </w:r>
      <w:r>
        <w:t>3</w:t>
      </w:r>
      <w:r>
        <w:rPr>
          <w:rFonts w:hint="eastAsia"/>
        </w:rPr>
        <w:t>年年中追加预算批复项目，年中资金调整情况（2022年中小学布局规划-新校区设备采购项目结转至2023年资金1000万元，于2023年支出461.05万元；2023年预算资金为249.87万元，支出214.84万元。2023年共支出675.89万元。</w:t>
      </w:r>
    </w:p>
    <w:p>
      <w:pPr>
        <w:ind w:firstLine="560" w:firstLineChars="200"/>
      </w:pPr>
      <w:r>
        <w:rPr>
          <w:rFonts w:hint="eastAsia"/>
        </w:rPr>
        <w:t>该项目资金使用情况:1.2023年资金总预算为1249.87万元，包括:①2022年中小学布局规划-新校区设备采购项目结转至2023年市教育局及局属部分学校资金-中小学规划布局项目资金1000万元②2023年市教育局及局属部分学校资金-中小学规划布局项目预算资金249.87万元。2.资金投入涉及教室、餐厅、洗衣房、智慧校园、家具、实验室、LED屏等设备及金属看台、搬家服务、校园文化建设。3.①教室设备投入231万元，执行230.4万元②餐厅设备投入82万元，执行81.6万元③实验室设备投入20万元，执行19.5万元④LED屏设备投入172万元，执行79.44万元⑤家具设备投入134万元，执行109.56万元⑥校园文化建设投入114万元，执行113.24万元</w:t>
      </w:r>
      <w:r>
        <w:rPr>
          <w:rFonts w:hint="eastAsia"/>
        </w:rPr>
        <w:fldChar w:fldCharType="begin"/>
      </w:r>
      <w:r>
        <w:rPr>
          <w:rFonts w:hint="eastAsia"/>
        </w:rPr>
        <w:instrText xml:space="preserve"> = 7 \* GB3 \* MERGEFORMAT </w:instrText>
      </w:r>
      <w:r>
        <w:rPr>
          <w:rFonts w:hint="eastAsia"/>
        </w:rPr>
        <w:fldChar w:fldCharType="separate"/>
      </w:r>
      <w:r>
        <w:rPr>
          <w:rFonts w:hint="eastAsia"/>
        </w:rPr>
        <w:t>⑦</w:t>
      </w:r>
      <w:r>
        <w:rPr>
          <w:rFonts w:hint="eastAsia"/>
        </w:rPr>
        <w:fldChar w:fldCharType="end"/>
      </w:r>
      <w:r>
        <w:rPr>
          <w:rFonts w:hint="eastAsia"/>
        </w:rPr>
        <w:t>直播教室投入42.5万元，执行42.15万元</w:t>
      </w:r>
      <w:r>
        <w:rPr>
          <w:rFonts w:hint="eastAsia"/>
        </w:rPr>
        <w:fldChar w:fldCharType="begin"/>
      </w:r>
      <w:r>
        <w:rPr>
          <w:rFonts w:hint="eastAsia"/>
        </w:rPr>
        <w:instrText xml:space="preserve"> = 8 \* GB3 \* MERGEFORMAT </w:instrText>
      </w:r>
      <w:r>
        <w:rPr>
          <w:rFonts w:hint="eastAsia"/>
        </w:rPr>
        <w:fldChar w:fldCharType="separate"/>
      </w:r>
      <w:r>
        <w:rPr>
          <w:rFonts w:hint="eastAsia"/>
        </w:rPr>
        <w:t>⑧</w:t>
      </w:r>
      <w:r>
        <w:rPr>
          <w:rFonts w:hint="eastAsia"/>
        </w:rPr>
        <w:fldChar w:fldCharType="end"/>
      </w:r>
      <w:r>
        <w:rPr>
          <w:rFonts w:hint="eastAsia"/>
        </w:rPr>
        <w:t>洗衣房设备投入24.6万元，执行0万元</w:t>
      </w:r>
      <w:r>
        <w:rPr>
          <w:rFonts w:hint="eastAsia"/>
        </w:rPr>
        <w:fldChar w:fldCharType="begin"/>
      </w:r>
      <w:r>
        <w:rPr>
          <w:rFonts w:hint="eastAsia"/>
        </w:rPr>
        <w:instrText xml:space="preserve"> = 9 \* GB3 \* MERGEFORMAT </w:instrText>
      </w:r>
      <w:r>
        <w:rPr>
          <w:rFonts w:hint="eastAsia"/>
        </w:rPr>
        <w:fldChar w:fldCharType="separate"/>
      </w:r>
      <w:r>
        <w:rPr>
          <w:rFonts w:hint="eastAsia"/>
        </w:rPr>
        <w:t>⑨</w:t>
      </w:r>
      <w:r>
        <w:rPr>
          <w:rFonts w:hint="eastAsia"/>
        </w:rPr>
        <w:fldChar w:fldCharType="end"/>
      </w:r>
      <w:r>
        <w:rPr>
          <w:rFonts w:hint="eastAsia"/>
        </w:rPr>
        <w:t>金属看台投入246万元，执行0万元</w:t>
      </w:r>
      <w:r>
        <w:rPr>
          <w:rFonts w:hint="eastAsia"/>
        </w:rPr>
        <w:fldChar w:fldCharType="begin"/>
      </w:r>
      <w:r>
        <w:rPr>
          <w:rFonts w:hint="eastAsia"/>
        </w:rPr>
        <w:instrText xml:space="preserve"> = 10 \* GB3 \* MERGEFORMAT </w:instrText>
      </w:r>
      <w:r>
        <w:rPr>
          <w:rFonts w:hint="eastAsia"/>
        </w:rPr>
        <w:fldChar w:fldCharType="separate"/>
      </w:r>
      <w:r>
        <w:rPr>
          <w:rFonts w:hint="eastAsia"/>
        </w:rPr>
        <w:t>⑩</w:t>
      </w:r>
      <w:r>
        <w:rPr>
          <w:rFonts w:hint="eastAsia"/>
        </w:rPr>
        <w:fldChar w:fldCharType="end"/>
      </w:r>
      <w:r>
        <w:rPr>
          <w:rFonts w:hint="eastAsia"/>
        </w:rPr>
        <w:t>智慧校园建设投入155.8万元，执行0万元、搬家服务投入27.77万元，执行0万元。共计执行6</w:t>
      </w:r>
      <w:r>
        <w:t>75.89万元，</w:t>
      </w:r>
      <w:r>
        <w:rPr>
          <w:rFonts w:hint="eastAsia"/>
        </w:rPr>
        <w:t>该项目总体预算执行率为54.08%。</w:t>
      </w:r>
    </w:p>
    <w:p>
      <w:pPr>
        <w:pStyle w:val="3"/>
        <w:rPr>
          <w:lang w:bidi="en-US"/>
        </w:rPr>
      </w:pPr>
      <w:bookmarkStart w:id="6" w:name="_Toc67911603"/>
      <w:bookmarkStart w:id="7" w:name="_Toc27298"/>
      <w:r>
        <w:rPr>
          <w:rFonts w:hint="eastAsia"/>
          <w:lang w:bidi="en-US"/>
        </w:rPr>
        <w:t>（二）项目绩效目标</w:t>
      </w:r>
      <w:bookmarkEnd w:id="6"/>
      <w:r>
        <w:rPr>
          <w:rFonts w:hint="eastAsia"/>
          <w:lang w:bidi="en-US"/>
        </w:rPr>
        <w:t>:</w:t>
      </w:r>
      <w:bookmarkEnd w:id="7"/>
    </w:p>
    <w:p>
      <w:pPr>
        <w:ind w:firstLine="560" w:firstLineChars="200"/>
      </w:pPr>
      <w:r>
        <w:rPr>
          <w:rFonts w:hint="eastAsia"/>
        </w:rPr>
        <w:t>本项目依据《中共中央 国务院关于全面实施预算绩效管理的意见》（中发〔2018〕</w:t>
      </w:r>
      <w:r>
        <w:t>34</w:t>
      </w:r>
      <w:r>
        <w:rPr>
          <w:rFonts w:hint="eastAsia"/>
        </w:rPr>
        <w:t>号）、《关于印发&lt;乌鲁木齐市本级部门预算绩效目标管理暂行办法</w:t>
      </w:r>
      <w:r>
        <w:t>&gt;</w:t>
      </w:r>
      <w:r>
        <w:rPr>
          <w:rFonts w:hint="eastAsia"/>
        </w:rPr>
        <w:t>的通知》（乌财预</w:t>
      </w:r>
      <w:bookmarkStart w:id="8" w:name="_Hlk67566397"/>
      <w:r>
        <w:rPr>
          <w:rFonts w:hint="eastAsia"/>
        </w:rPr>
        <w:t>〔2018〕</w:t>
      </w:r>
      <w:r>
        <w:t>5</w:t>
      </w:r>
      <w:r>
        <w:rPr>
          <w:rFonts w:hint="eastAsia"/>
        </w:rPr>
        <w:t>6号</w:t>
      </w:r>
      <w:bookmarkEnd w:id="8"/>
      <w:r>
        <w:rPr>
          <w:rFonts w:hint="eastAsia"/>
        </w:rPr>
        <w:t>）、《关于做好2</w:t>
      </w:r>
      <w:r>
        <w:t>019</w:t>
      </w:r>
      <w:r>
        <w:rPr>
          <w:rFonts w:hint="eastAsia"/>
        </w:rPr>
        <w:t>年部门预算项目支出绩效目标管理有关事宜的通知》（乌财预〔20</w:t>
      </w:r>
      <w:r>
        <w:t>18</w:t>
      </w:r>
      <w:r>
        <w:rPr>
          <w:rFonts w:hint="eastAsia"/>
        </w:rPr>
        <w:t>〕</w:t>
      </w:r>
      <w:r>
        <w:t>76</w:t>
      </w:r>
      <w:r>
        <w:rPr>
          <w:rFonts w:hint="eastAsia"/>
        </w:rPr>
        <w:t>号）和《项目支出绩效评价管理办法》（财预〔20</w:t>
      </w:r>
      <w:r>
        <w:t>20</w:t>
      </w:r>
      <w:r>
        <w:rPr>
          <w:rFonts w:hint="eastAsia"/>
        </w:rPr>
        <w:t>〕</w:t>
      </w:r>
      <w:r>
        <w:t>10</w:t>
      </w:r>
      <w:r>
        <w:rPr>
          <w:rFonts w:hint="eastAsia"/>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ind w:firstLine="560" w:firstLineChars="200"/>
      </w:pPr>
      <w:r>
        <w:rPr>
          <w:rFonts w:hint="eastAsia"/>
        </w:rPr>
        <w:t>该项目为跨年</w:t>
      </w:r>
      <w:r>
        <w:t>项目。</w:t>
      </w:r>
    </w:p>
    <w:p>
      <w:pPr>
        <w:ind w:firstLine="560" w:firstLineChars="200"/>
      </w:pPr>
      <w:r>
        <w:rPr>
          <w:rFonts w:hint="eastAsia"/>
        </w:rPr>
        <w:t>该项目总体绩效目标:为贯彻落实自治区党委、人民政府及市委，市政府关于民生建设的决策部署，满足区内初中班扩招的需要，促进市教育事业发展。此项目购置5间教室设备、62台餐厅设备</w:t>
      </w:r>
      <w:r>
        <w:t>、</w:t>
      </w:r>
      <w:r>
        <w:rPr>
          <w:rFonts w:hint="eastAsia"/>
        </w:rPr>
        <w:t>9间</w:t>
      </w:r>
      <w:r>
        <w:t>实验室、</w:t>
      </w:r>
      <w:r>
        <w:rPr>
          <w:rFonts w:hint="eastAsia"/>
        </w:rPr>
        <w:t>1</w:t>
      </w:r>
      <w:r>
        <w:t>间直播教室、</w:t>
      </w:r>
      <w:r>
        <w:rPr>
          <w:rFonts w:hint="eastAsia"/>
        </w:rPr>
        <w:t>3台全自动洗脱机、1台全自动烘干机、</w:t>
      </w:r>
      <w:r>
        <w:t>购置</w:t>
      </w:r>
      <w:r>
        <w:rPr>
          <w:rFonts w:hint="eastAsia"/>
        </w:rPr>
        <w:t>1批</w:t>
      </w:r>
      <w:r>
        <w:t>学生及教师宿舍家具、图书室家具、办公家具、礼堂椅、金属看台建设完成、</w:t>
      </w:r>
      <w:r>
        <w:rPr>
          <w:rFonts w:hint="eastAsia"/>
        </w:rPr>
        <w:t>9个</w:t>
      </w:r>
      <w:r>
        <w:t>LED屏设备、校园文化建设。</w:t>
      </w:r>
      <w:r>
        <w:rPr>
          <w:rFonts w:hint="eastAsia"/>
        </w:rPr>
        <w:t>设备设施验收合格，从而有效增强学校硬件设备，提升教育教学能力。</w:t>
      </w:r>
    </w:p>
    <w:p>
      <w:pPr>
        <w:ind w:firstLine="560" w:firstLineChars="200"/>
      </w:pPr>
      <w:r>
        <w:rPr>
          <w:rFonts w:hint="eastAsia"/>
        </w:rPr>
        <w:t>该项目阶段性目标为:在2023年完成①购置音乐教室设备种类10类②购置餐厅设备6</w:t>
      </w:r>
      <w:r>
        <w:t>2台</w:t>
      </w:r>
      <w:r>
        <w:rPr>
          <w:rFonts w:hint="eastAsia"/>
        </w:rPr>
        <w:t>、洗衣房设备包括全自动洗脱机3台、全自动烘干机1台③金属看台、智慧校园建设完成④校园文化建设完成⑤建成一间直播教室⑥设备设施验收合格率等于100%⑦有效增强学校硬件设备，提升教育教学能力⑧学生满意度此目标等于100%</w:t>
      </w:r>
    </w:p>
    <w:p>
      <w:pPr>
        <w:pStyle w:val="2"/>
        <w:rPr>
          <w:lang w:bidi="en-US"/>
        </w:rPr>
      </w:pPr>
      <w:bookmarkStart w:id="9" w:name="_Toc67911604"/>
      <w:bookmarkStart w:id="10" w:name="_Toc6692"/>
      <w:r>
        <w:rPr>
          <w:rFonts w:hint="eastAsia"/>
          <w:lang w:bidi="en-US"/>
        </w:rPr>
        <w:t>二、绩效评价工作开展情况</w:t>
      </w:r>
      <w:bookmarkEnd w:id="9"/>
      <w:bookmarkEnd w:id="10"/>
    </w:p>
    <w:p>
      <w:pPr>
        <w:pStyle w:val="3"/>
        <w:rPr>
          <w:lang w:bidi="en-US"/>
        </w:rPr>
      </w:pPr>
      <w:bookmarkStart w:id="11" w:name="_Toc67911605"/>
      <w:bookmarkStart w:id="12" w:name="_Toc25165"/>
      <w:r>
        <w:rPr>
          <w:rFonts w:hint="eastAsia"/>
          <w:lang w:bidi="en-US"/>
        </w:rPr>
        <w:t>（一）绩效评价目的、对象和范围</w:t>
      </w:r>
      <w:bookmarkEnd w:id="11"/>
      <w:bookmarkEnd w:id="12"/>
    </w:p>
    <w:p>
      <w:pPr>
        <w:pStyle w:val="4"/>
      </w:pPr>
      <w:bookmarkStart w:id="13" w:name="_Toc12471"/>
      <w:r>
        <w:rPr>
          <w:rFonts w:hint="eastAsia"/>
        </w:rPr>
        <w:t>1</w:t>
      </w:r>
      <w:r>
        <w:t>.绩效评价完整性</w:t>
      </w:r>
      <w:bookmarkEnd w:id="13"/>
    </w:p>
    <w:p>
      <w:pPr>
        <w:ind w:firstLine="560" w:firstLineChars="200"/>
      </w:pPr>
      <w:r>
        <w:rPr>
          <w:rFonts w:hint="eastAsia"/>
        </w:rPr>
        <w:t>2023年市教育局及局属部分学校资金-中小学规划布局项目:一、项目目标:1.家具设备满足在校寄宿生的日常需求2.实验室设备增强学生技能，帮助学生掌握相关技能3.餐厅设备符合食品安全标准，确保食物处理过程中的卫生与安全4.洗衣房设备满足内初生在校生活质量5</w:t>
      </w:r>
      <w:r>
        <w:t>.LED屏设备满足学校现代化需求</w:t>
      </w:r>
      <w:r>
        <w:rPr>
          <w:rFonts w:hint="eastAsia"/>
        </w:rPr>
        <w:t>6</w:t>
      </w:r>
      <w:r>
        <w:t>.直播教室满足教室上课需求，提升教学质量</w:t>
      </w:r>
      <w:r>
        <w:rPr>
          <w:rFonts w:hint="eastAsia"/>
        </w:rPr>
        <w:t>7</w:t>
      </w:r>
      <w:r>
        <w:t>.效益指标达到预期，学生满意度为</w:t>
      </w:r>
      <w:r>
        <w:rPr>
          <w:rFonts w:hint="eastAsia"/>
        </w:rPr>
        <w:t>1</w:t>
      </w:r>
      <w:r>
        <w:t>00%。</w:t>
      </w:r>
      <w:r>
        <w:rPr>
          <w:rFonts w:hint="eastAsia"/>
        </w:rPr>
        <w:t>二、项目范围及要求:1.项目范围包括教室、实验室、家具、餐厅及洗衣房设备以及建设智慧校园、金属看台、直播教室、校园文化建设2.设备需符合国家安全与环保标准，易于维护且耐用3.优先选择有良好记录和专业服务能力的供应商4.采购过程公开透明，遵守政府采购规定。本项目数量指标涵盖全部项目内容，质量指标由项目验收通过率体现，时效指标由验收使用及时率体现，效益指标由提升教育质量体现，满意度指标由学生满意度体现。指标体系涵盖全部项目内容。</w:t>
      </w:r>
    </w:p>
    <w:p>
      <w:pPr>
        <w:ind w:firstLine="560" w:firstLineChars="200"/>
      </w:pPr>
      <w:r>
        <w:rPr>
          <w:rFonts w:hint="eastAsia"/>
        </w:rPr>
        <w:t>项目的计划与执行过程: 1.需求调研:</w:t>
      </w:r>
      <w:r>
        <w:t>.</w:t>
      </w:r>
      <w:r>
        <w:rPr>
          <w:rFonts w:hint="eastAsia"/>
        </w:rPr>
        <w:t>通过学校布局规划，合理确定采购的相关设备，安排相关业务负责人</w:t>
      </w:r>
      <w:r>
        <w:t>2</w:t>
      </w:r>
      <w:r>
        <w:rPr>
          <w:rFonts w:hint="eastAsia"/>
        </w:rPr>
        <w:t>.学校通过市场调查确定采购预算，再经过教育装备协会审核上报市财政。</w:t>
      </w:r>
      <w:r>
        <w:t>3</w:t>
      </w:r>
      <w:r>
        <w:rPr>
          <w:rFonts w:hint="eastAsia"/>
        </w:rPr>
        <w:t>.绩效目标申报:依据规划，结合预算，制定详细的采购清单</w:t>
      </w:r>
      <w:r>
        <w:t>4</w:t>
      </w:r>
      <w:r>
        <w:rPr>
          <w:rFonts w:hint="eastAsia"/>
        </w:rPr>
        <w:t>.招标采购:公开透明进行设备招标采购，严格评估供应商资质及报价</w:t>
      </w:r>
      <w:r>
        <w:t>5</w:t>
      </w:r>
      <w:r>
        <w:rPr>
          <w:rFonts w:hint="eastAsia"/>
        </w:rPr>
        <w:t>.安装调试:设备到位后，进行安装调试，资金到位后及时支付</w:t>
      </w:r>
      <w:r>
        <w:t>6</w:t>
      </w:r>
      <w:r>
        <w:rPr>
          <w:rFonts w:hint="eastAsia"/>
        </w:rPr>
        <w:t>.效果评估:设备投入使用后，定期进行检查已执行未支付资金的项目，待资金拨付后，及时支付。目前项目已基本完成，部分资金未支付。</w:t>
      </w:r>
    </w:p>
    <w:p>
      <w:pPr>
        <w:ind w:firstLine="560" w:firstLineChars="200"/>
      </w:pPr>
      <w:r>
        <w:rPr>
          <w:rFonts w:hint="eastAsia"/>
        </w:rPr>
        <w:t xml:space="preserve">评价数据的来源与采集:1.产出指标:通过合同与验货单等查看设备种类、设备验收是否合格;通过与相关部门对接得出受益学生人数2.成本指标:通过采购发票与支付凭证、报告单数据查看设备成本3.满意度调查:通过问卷形式，收集学生对该项目的满意度评价4.社会效益指标:根据校园布局规划建设进度及学生满意度评价，评价社会效益指标，提供说明。                        </w:t>
      </w:r>
    </w:p>
    <w:p>
      <w:pPr>
        <w:pStyle w:val="4"/>
      </w:pPr>
      <w:bookmarkStart w:id="14" w:name="_Toc4088"/>
      <w:r>
        <w:t>2</w:t>
      </w:r>
      <w:r>
        <w:rPr>
          <w:rFonts w:hint="eastAsia"/>
        </w:rPr>
        <w:t>.评价目的</w:t>
      </w:r>
      <w:bookmarkEnd w:id="14"/>
    </w:p>
    <w:p>
      <w:pPr>
        <w:ind w:firstLine="560" w:firstLineChars="200"/>
        <w:rPr>
          <w:b/>
        </w:rPr>
      </w:pPr>
      <w:r>
        <w:rPr>
          <w:rFonts w:hint="eastAsia"/>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市教育局及局属部分学校资金-中小学规划布局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pStyle w:val="4"/>
      </w:pPr>
      <w:bookmarkStart w:id="15" w:name="_Toc5418"/>
      <w:r>
        <w:t>3</w:t>
      </w:r>
      <w:r>
        <w:rPr>
          <w:rFonts w:hint="eastAsia"/>
        </w:rPr>
        <w:t>.评价对象</w:t>
      </w:r>
      <w:bookmarkEnd w:id="15"/>
    </w:p>
    <w:p>
      <w:pPr>
        <w:ind w:firstLine="560" w:firstLineChars="200"/>
      </w:pPr>
      <w:r>
        <w:rPr>
          <w:rFonts w:hint="eastAsia"/>
        </w:rPr>
        <w:t>（1）绩效评价的对象:市教育局及局属部分学校资金-中小学规划布局项目</w:t>
      </w:r>
      <w:r>
        <w:t xml:space="preserve"> </w:t>
      </w:r>
    </w:p>
    <w:p>
      <w:pPr>
        <w:pStyle w:val="4"/>
      </w:pPr>
      <w:bookmarkStart w:id="16" w:name="_Toc21858"/>
      <w:r>
        <w:rPr>
          <w:rFonts w:hint="eastAsia"/>
        </w:rPr>
        <w:t>4</w:t>
      </w:r>
      <w:r>
        <w:t>.</w:t>
      </w:r>
      <w:r>
        <w:rPr>
          <w:rFonts w:hint="eastAsia"/>
        </w:rPr>
        <w:t>绩效评价范围</w:t>
      </w:r>
      <w:bookmarkEnd w:id="16"/>
    </w:p>
    <w:p>
      <w:pPr>
        <w:ind w:firstLine="560" w:firstLineChars="200"/>
      </w:pPr>
      <w:r>
        <w:t>1.</w:t>
      </w:r>
      <w:r>
        <w:rPr>
          <w:rFonts w:hint="eastAsia"/>
        </w:rPr>
        <w:t>时间范围:2</w:t>
      </w:r>
      <w:r>
        <w:t>023</w:t>
      </w:r>
      <w:r>
        <w:rPr>
          <w:rFonts w:hint="eastAsia"/>
        </w:rPr>
        <w:t>年1月1日至2</w:t>
      </w:r>
      <w:r>
        <w:t>023</w:t>
      </w:r>
      <w:r>
        <w:rPr>
          <w:rFonts w:hint="eastAsia"/>
        </w:rPr>
        <w:t>年1</w:t>
      </w:r>
      <w:r>
        <w:t>2</w:t>
      </w:r>
      <w:r>
        <w:rPr>
          <w:rFonts w:hint="eastAsia"/>
        </w:rPr>
        <w:t>月3</w:t>
      </w:r>
      <w:r>
        <w:t>1</w:t>
      </w:r>
      <w:r>
        <w:rPr>
          <w:rFonts w:hint="eastAsia"/>
        </w:rPr>
        <w:t>日。</w:t>
      </w:r>
    </w:p>
    <w:p>
      <w:pPr>
        <w:ind w:firstLine="560" w:firstLineChars="200"/>
      </w:pPr>
      <w:r>
        <w:t>2.</w:t>
      </w:r>
      <w:r>
        <w:rPr>
          <w:rFonts w:hint="eastAsia"/>
        </w:rPr>
        <w:t>项目范围:2023年市教育局及局属部分学校资金-中小学规划布局项目是基于正常教育教学的需要，进一步增强学校的基础设施的目的而设立，此项目范围包括教室、实验室、家具、餐厅及洗衣房设备以及建设智慧校园、金属看台、直播教室、校园文化建设。项目评价工作有具体的指标体系，涵盖5个一级指标、11个二级指标、 29个三级指标；采购过程透明公正，采购的设备符合预期目标，通过数据采集、问卷调查等形式，对2023年市教育局及局属部分学校资金-中小学规划布局项目进行客观评价，最终评分结果为:总分为92分，绩效评级为“优”。2023年度内基本完成各项指标设定值，已购置教室、餐厅、实验室、家具等设备，校园设备采购项目能够显著提升教学质量，满足内初生的在校需求；此外，还促进教育资源的均衡分配，提升学校的整体形象和竞争力。有效增强学校硬件设备，且学生满意度此目标等于100%。在项目实施过程中总结出以下经验:1.明确采购目标与标准2.绩效导向的预算编制3.公开透明的采购流程4.严格的质量控制与验收。此项目存在资金支出进度普遍较低的问题，总结出成立专人负责机制、明细预算安排的建议。综上所述，校园设备采购是一个涉及教育质量提升、预算管理、学生安全及长远发展规划的重要环节，需要综合考量多方面因素，通过科学规划和精细管理，实现资源的最优化配置，为学校创造一个安全、高效、现代化的学习与工作环境。</w:t>
      </w:r>
    </w:p>
    <w:p>
      <w:pPr>
        <w:pStyle w:val="3"/>
        <w:rPr>
          <w:lang w:bidi="en-US"/>
        </w:rPr>
      </w:pPr>
      <w:bookmarkStart w:id="17" w:name="_Toc67911606"/>
      <w:bookmarkStart w:id="18" w:name="_Toc15172"/>
      <w:bookmarkStart w:id="19" w:name="_Hlk67586765"/>
      <w:r>
        <w:rPr>
          <w:rFonts w:hint="eastAsia"/>
          <w:lang w:bidi="en-US"/>
        </w:rPr>
        <w:t>（二）绩效评价原则、指标体系、方法及标准</w:t>
      </w:r>
      <w:bookmarkEnd w:id="17"/>
      <w:bookmarkEnd w:id="18"/>
    </w:p>
    <w:bookmarkEnd w:id="19"/>
    <w:p>
      <w:pPr>
        <w:pStyle w:val="4"/>
      </w:pPr>
      <w:bookmarkStart w:id="20" w:name="_Toc5166"/>
      <w:r>
        <w:rPr>
          <w:rFonts w:hint="eastAsia"/>
        </w:rPr>
        <w:t>1</w:t>
      </w:r>
      <w:r>
        <w:t>.</w:t>
      </w:r>
      <w:r>
        <w:rPr>
          <w:rFonts w:hint="eastAsia"/>
        </w:rPr>
        <w:t>评价原则</w:t>
      </w:r>
      <w:bookmarkEnd w:id="20"/>
    </w:p>
    <w:p>
      <w:pPr>
        <w:ind w:firstLine="560" w:firstLineChars="200"/>
      </w:pPr>
      <w:r>
        <w:rPr>
          <w:rFonts w:hint="eastAsia"/>
        </w:rPr>
        <w:t>（一）科学公正。绩效评价应当运用科学合理的方法，按照规范的程序，对项目绩效进行客观、公正的反映。</w:t>
      </w:r>
    </w:p>
    <w:p>
      <w:pPr>
        <w:ind w:firstLine="560" w:firstLineChars="200"/>
      </w:pPr>
      <w:r>
        <w:rPr>
          <w:rFonts w:hint="eastAsia"/>
        </w:rPr>
        <w:t>（二）统筹兼顾。单位自评、部门评价和财政评价应职责明确，各有侧重，相互衔接。单位自评应由项目单位自主实施，即“谁支出、谁自评”。部门评价和财政评价应在单位自评的基础上开展，必要时可委托第三方机构实施。</w:t>
      </w:r>
    </w:p>
    <w:p>
      <w:pPr>
        <w:ind w:firstLine="560" w:firstLineChars="200"/>
      </w:pPr>
      <w:r>
        <w:rPr>
          <w:rFonts w:hint="eastAsia"/>
        </w:rPr>
        <w:t>（三）激励约束。绩效评价结果应与预算安排、政策调整、改进管理实质性挂钩，体现奖优罚劣和激励相容导向，有效要安排、低效要压减、无效要问责。</w:t>
      </w:r>
    </w:p>
    <w:p>
      <w:pPr>
        <w:ind w:firstLine="560" w:firstLineChars="200"/>
      </w:pPr>
      <w:r>
        <w:rPr>
          <w:rFonts w:hint="eastAsia"/>
        </w:rPr>
        <w:t>（四）公开透明。绩效评价结果应依法依规公开，并自觉接受社会监督。</w:t>
      </w:r>
    </w:p>
    <w:p>
      <w:pPr>
        <w:pStyle w:val="4"/>
      </w:pPr>
      <w:bookmarkStart w:id="21" w:name="_Toc12073"/>
      <w:r>
        <w:t>2.</w:t>
      </w:r>
      <w:r>
        <w:rPr>
          <w:rFonts w:hint="eastAsia"/>
        </w:rPr>
        <w:t>评价指标体系</w:t>
      </w:r>
      <w:bookmarkEnd w:id="21"/>
    </w:p>
    <w:p>
      <w:pPr>
        <w:ind w:firstLine="560" w:firstLineChars="200"/>
      </w:pPr>
      <w:r>
        <w:rPr>
          <w:rFonts w:hint="eastAsia"/>
        </w:rPr>
        <w:t>绩效评价指标体系作为衡量绩效目标实现程度的考核工具，一般遵循以下原则:</w:t>
      </w:r>
    </w:p>
    <w:p>
      <w:pPr>
        <w:ind w:firstLine="560" w:firstLineChars="200"/>
      </w:pPr>
      <w:r>
        <w:rPr>
          <w:rFonts w:hint="eastAsia"/>
        </w:rPr>
        <w:t>（1）相关性原则:绩效评价指标应当与绩效目标有直接的联系，能够恰当反映目标的实现程度。</w:t>
      </w:r>
    </w:p>
    <w:p>
      <w:pPr>
        <w:ind w:firstLine="560" w:firstLineChars="200"/>
      </w:pPr>
      <w:r>
        <w:rPr>
          <w:rFonts w:hint="eastAsia"/>
        </w:rPr>
        <w:t>（2）重要性原则:应当优先使用最具评价对象代表性、最能反映评价要求的核心指标。</w:t>
      </w:r>
    </w:p>
    <w:p>
      <w:pPr>
        <w:ind w:firstLine="560" w:firstLineChars="200"/>
      </w:pPr>
      <w:r>
        <w:rPr>
          <w:rFonts w:hint="eastAsia"/>
        </w:rPr>
        <w:t>（3）可比性原则:对同类评价对象要设定共性的绩效评价指标，以便于评价结果可以相互比较。</w:t>
      </w:r>
    </w:p>
    <w:p>
      <w:pPr>
        <w:ind w:firstLine="560" w:firstLineChars="200"/>
      </w:pPr>
      <w:r>
        <w:rPr>
          <w:rFonts w:hint="eastAsia"/>
        </w:rPr>
        <w:t>（4）系统性原则:绩效评价指标的设置应当将定量指标与定性指标相结合，能系统反映财政支出所产生的社会效益、经济效益和可持续影响等。</w:t>
      </w:r>
    </w:p>
    <w:p>
      <w:pPr>
        <w:ind w:firstLine="560" w:firstLineChars="200"/>
      </w:pPr>
      <w:r>
        <w:rPr>
          <w:rFonts w:hint="eastAsia"/>
        </w:rPr>
        <w:t>（5）经济性原则:绩效评价指标设计应当通俗易懂、简便易行，数据的获得应当考虑现实条件和可操作性，符合成本效益原则。</w:t>
      </w:r>
    </w:p>
    <w:p>
      <w:r>
        <w:rPr>
          <w:rFonts w:hint="eastAsia"/>
        </w:rPr>
        <w:t>本项目的评价指标体系建立如下表所示。</w:t>
      </w:r>
    </w:p>
    <w:p/>
    <w:p/>
    <w:p>
      <w:pPr>
        <w:sectPr>
          <w:headerReference r:id="rId11" w:type="default"/>
          <w:footerReference r:id="rId12" w:type="default"/>
          <w:footnotePr>
            <w:numFmt w:val="decimalEnclosedCircleChinese"/>
          </w:footnotePr>
          <w:pgSz w:w="11906" w:h="16838"/>
          <w:pgMar w:top="1440" w:right="1800" w:bottom="1440" w:left="1800" w:header="992" w:footer="992" w:gutter="0"/>
          <w:pgNumType w:start="1"/>
          <w:cols w:space="425" w:num="1"/>
          <w:docGrid w:type="lines" w:linePitch="381" w:charSpace="0"/>
        </w:sectPr>
      </w:pPr>
    </w:p>
    <w:p>
      <w:r>
        <w:t xml:space="preserve">  </w:t>
      </w:r>
      <w:r>
        <w:rPr>
          <w:rFonts w:hint="eastAsia"/>
        </w:rPr>
        <w:t>项目支出绩效评价指标体系</w:t>
      </w:r>
    </w:p>
    <w:tbl>
      <w:tblPr>
        <w:tblStyle w:val="16"/>
        <w:tblW w:w="16540"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355"/>
        <w:gridCol w:w="1512"/>
        <w:gridCol w:w="2323"/>
        <w:gridCol w:w="3654"/>
        <w:gridCol w:w="769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1355" w:type="dxa"/>
            <w:tcBorders>
              <w:tl2br w:val="nil"/>
              <w:tr2bl w:val="nil"/>
            </w:tcBorders>
            <w:shd w:val="clear" w:color="auto" w:fill="D0CECE" w:themeFill="background2" w:themeFillShade="E6"/>
            <w:vAlign w:val="center"/>
          </w:tcPr>
          <w:p>
            <w:pPr>
              <w:spacing w:line="240" w:lineRule="auto"/>
            </w:pPr>
            <w:r>
              <w:rPr>
                <w:rFonts w:hint="eastAsia"/>
              </w:rPr>
              <w:t>一级指标</w:t>
            </w:r>
          </w:p>
        </w:tc>
        <w:tc>
          <w:tcPr>
            <w:tcW w:w="1512" w:type="dxa"/>
            <w:tcBorders>
              <w:tl2br w:val="nil"/>
              <w:tr2bl w:val="nil"/>
            </w:tcBorders>
            <w:shd w:val="clear" w:color="auto" w:fill="D0CECE" w:themeFill="background2" w:themeFillShade="E6"/>
            <w:vAlign w:val="center"/>
          </w:tcPr>
          <w:p>
            <w:pPr>
              <w:spacing w:line="240" w:lineRule="auto"/>
            </w:pPr>
            <w:r>
              <w:rPr>
                <w:rFonts w:hint="eastAsia"/>
              </w:rPr>
              <w:t>二级指标</w:t>
            </w:r>
          </w:p>
        </w:tc>
        <w:tc>
          <w:tcPr>
            <w:tcW w:w="2323" w:type="dxa"/>
            <w:tcBorders>
              <w:tl2br w:val="nil"/>
              <w:tr2bl w:val="nil"/>
            </w:tcBorders>
            <w:shd w:val="clear" w:color="auto" w:fill="D0CECE" w:themeFill="background2" w:themeFillShade="E6"/>
            <w:vAlign w:val="center"/>
          </w:tcPr>
          <w:p>
            <w:pPr>
              <w:spacing w:line="240" w:lineRule="auto"/>
            </w:pPr>
            <w:r>
              <w:rPr>
                <w:rFonts w:hint="eastAsia"/>
              </w:rPr>
              <w:t>三级指标</w:t>
            </w:r>
          </w:p>
        </w:tc>
        <w:tc>
          <w:tcPr>
            <w:tcW w:w="3654" w:type="dxa"/>
            <w:tcBorders>
              <w:tl2br w:val="nil"/>
              <w:tr2bl w:val="nil"/>
            </w:tcBorders>
            <w:shd w:val="clear" w:color="auto" w:fill="D0CECE" w:themeFill="background2" w:themeFillShade="E6"/>
            <w:vAlign w:val="center"/>
          </w:tcPr>
          <w:p>
            <w:pPr>
              <w:spacing w:line="240" w:lineRule="auto"/>
            </w:pPr>
            <w:r>
              <w:rPr>
                <w:rFonts w:hint="eastAsia"/>
              </w:rPr>
              <w:t>指标解释</w:t>
            </w:r>
          </w:p>
        </w:tc>
        <w:tc>
          <w:tcPr>
            <w:tcW w:w="7696" w:type="dxa"/>
            <w:tcBorders>
              <w:tl2br w:val="nil"/>
              <w:tr2bl w:val="nil"/>
            </w:tcBorders>
            <w:shd w:val="clear" w:color="auto" w:fill="D0CECE" w:themeFill="background2" w:themeFillShade="E6"/>
            <w:vAlign w:val="center"/>
          </w:tcPr>
          <w:p>
            <w:pPr>
              <w:spacing w:line="240" w:lineRule="auto"/>
            </w:pPr>
            <w:r>
              <w:rPr>
                <w:rFonts w:hint="eastAsia"/>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36" w:hRule="atLeast"/>
          <w:jc w:val="center"/>
        </w:trPr>
        <w:tc>
          <w:tcPr>
            <w:tcW w:w="1355"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决策</w:t>
            </w:r>
          </w:p>
        </w:tc>
        <w:tc>
          <w:tcPr>
            <w:tcW w:w="1512"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项目立项</w:t>
            </w: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立项依据</w:t>
            </w:r>
          </w:p>
          <w:p>
            <w:pPr>
              <w:spacing w:line="240" w:lineRule="auto"/>
              <w:rPr>
                <w:rFonts w:hint="eastAsia" w:ascii="宋体" w:hAnsi="宋体" w:eastAsia="宋体" w:cs="宋体"/>
                <w:sz w:val="22"/>
                <w:szCs w:val="22"/>
              </w:rPr>
            </w:pPr>
            <w:r>
              <w:rPr>
                <w:rFonts w:hint="eastAsia" w:ascii="宋体" w:hAnsi="宋体" w:eastAsia="宋体" w:cs="宋体"/>
                <w:sz w:val="22"/>
                <w:szCs w:val="22"/>
              </w:rPr>
              <w:t>充分性</w:t>
            </w:r>
          </w:p>
        </w:tc>
        <w:tc>
          <w:tcPr>
            <w:tcW w:w="3654" w:type="dxa"/>
            <w:tcBorders>
              <w:tl2br w:val="nil"/>
              <w:tr2bl w:val="nil"/>
            </w:tcBorders>
            <w:shd w:val="clear" w:color="auto" w:fill="FFFFFF"/>
            <w:vAlign w:val="center"/>
          </w:tcPr>
          <w:p>
            <w:pPr>
              <w:spacing w:line="240" w:lineRule="auto"/>
            </w:pPr>
            <w:r>
              <w:rPr>
                <w:rFonts w:hint="eastAsia" w:ascii="宋体" w:hAnsi="宋体" w:eastAsia="宋体" w:cs="宋体"/>
                <w:sz w:val="22"/>
                <w:szCs w:val="22"/>
              </w:rPr>
              <w:t>项目立项是否符合法律法规、相关政策、发展规划以及部门职责，用以反映和考核项目立项依据情况</w:t>
            </w:r>
            <w:r>
              <w:rPr>
                <w:rFonts w:hint="eastAsia"/>
              </w:rPr>
              <w:t>。</w:t>
            </w:r>
          </w:p>
        </w:tc>
        <w:tc>
          <w:tcPr>
            <w:tcW w:w="7696" w:type="dxa"/>
            <w:tcBorders>
              <w:tl2br w:val="nil"/>
              <w:tr2bl w:val="nil"/>
            </w:tcBorders>
            <w:shd w:val="clear" w:color="auto" w:fill="FFFFFF"/>
            <w:vAlign w:val="center"/>
          </w:tcPr>
          <w:p>
            <w:pPr>
              <w:spacing w:line="240" w:lineRule="auto"/>
            </w:pPr>
            <w:r>
              <w:rPr>
                <w:rFonts w:hint="eastAsia" w:ascii="宋体" w:hAnsi="宋体" w:eastAsia="宋体" w:cs="宋体"/>
                <w:sz w:val="22"/>
                <w:szCs w:val="22"/>
              </w:rPr>
              <w:t>评价要点:</w:t>
            </w:r>
            <w:r>
              <w:rPr>
                <w:rFonts w:hint="eastAsia" w:ascii="宋体" w:hAnsi="宋体" w:eastAsia="宋体" w:cs="宋体"/>
                <w:sz w:val="22"/>
                <w:szCs w:val="22"/>
              </w:rPr>
              <w:br w:type="textWrapping"/>
            </w:r>
            <w:r>
              <w:rPr>
                <w:rFonts w:hint="eastAsia" w:ascii="宋体" w:hAnsi="宋体" w:eastAsia="宋体" w:cs="宋体"/>
                <w:sz w:val="22"/>
                <w:szCs w:val="22"/>
              </w:rPr>
              <w:t>①项目立项是否符合国家法律法规、国民经济发展规划和相关政策；</w:t>
            </w:r>
            <w:r>
              <w:rPr>
                <w:rFonts w:hint="eastAsia" w:ascii="宋体" w:hAnsi="宋体" w:eastAsia="宋体" w:cs="宋体"/>
                <w:sz w:val="22"/>
                <w:szCs w:val="22"/>
              </w:rPr>
              <w:br w:type="textWrapping"/>
            </w:r>
            <w:r>
              <w:rPr>
                <w:rFonts w:hint="eastAsia" w:ascii="宋体" w:hAnsi="宋体" w:eastAsia="宋体" w:cs="宋体"/>
                <w:sz w:val="22"/>
                <w:szCs w:val="22"/>
              </w:rPr>
              <w:t>②项目立项是否符合行业发展规划和政策要求；</w:t>
            </w:r>
            <w:r>
              <w:rPr>
                <w:rFonts w:hint="eastAsia" w:ascii="宋体" w:hAnsi="宋体" w:eastAsia="宋体" w:cs="宋体"/>
                <w:sz w:val="22"/>
                <w:szCs w:val="22"/>
              </w:rPr>
              <w:br w:type="textWrapping"/>
            </w:r>
            <w:r>
              <w:rPr>
                <w:rFonts w:hint="eastAsia" w:ascii="宋体" w:hAnsi="宋体" w:eastAsia="宋体" w:cs="宋体"/>
                <w:sz w:val="22"/>
                <w:szCs w:val="22"/>
              </w:rPr>
              <w:t>③项目立项是否与部门职责范围相符，属于部门履职所需；</w:t>
            </w:r>
            <w:r>
              <w:rPr>
                <w:rFonts w:hint="eastAsia" w:ascii="宋体" w:hAnsi="宋体" w:eastAsia="宋体" w:cs="宋体"/>
                <w:sz w:val="22"/>
                <w:szCs w:val="22"/>
              </w:rPr>
              <w:br w:type="textWrapping"/>
            </w:r>
            <w:r>
              <w:rPr>
                <w:rFonts w:hint="eastAsia" w:ascii="宋体" w:hAnsi="宋体" w:eastAsia="宋体" w:cs="宋体"/>
                <w:sz w:val="22"/>
                <w:szCs w:val="22"/>
              </w:rPr>
              <w:t>④项目是否属于公共财政支持范围，是否符合中央、地方事权支出责任划分原则；</w:t>
            </w:r>
            <w:r>
              <w:rPr>
                <w:rFonts w:hint="eastAsia" w:ascii="宋体" w:hAnsi="宋体" w:eastAsia="宋体" w:cs="宋体"/>
                <w:sz w:val="22"/>
                <w:szCs w:val="22"/>
              </w:rPr>
              <w:br w:type="textWrapping"/>
            </w:r>
            <w:r>
              <w:rPr>
                <w:rFonts w:hint="eastAsia" w:ascii="宋体" w:hAnsi="宋体" w:eastAsia="宋体" w:cs="宋体"/>
                <w:sz w:val="22"/>
                <w:szCs w:val="22"/>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00"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立项程序</w:t>
            </w:r>
          </w:p>
          <w:p>
            <w:pPr>
              <w:spacing w:line="240" w:lineRule="auto"/>
              <w:rPr>
                <w:rFonts w:hint="eastAsia" w:ascii="宋体" w:hAnsi="宋体" w:eastAsia="宋体" w:cs="宋体"/>
                <w:sz w:val="22"/>
                <w:szCs w:val="22"/>
              </w:rPr>
            </w:pPr>
            <w:r>
              <w:rPr>
                <w:rFonts w:hint="eastAsia" w:ascii="宋体" w:hAnsi="宋体" w:eastAsia="宋体" w:cs="宋体"/>
                <w:sz w:val="22"/>
                <w:szCs w:val="22"/>
              </w:rPr>
              <w:t>规范性</w:t>
            </w:r>
          </w:p>
        </w:tc>
        <w:tc>
          <w:tcPr>
            <w:tcW w:w="3654"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项目申请、设立过程是否符合相关要求，用以反映和考核项目立项的规范情况。</w:t>
            </w:r>
          </w:p>
        </w:tc>
        <w:tc>
          <w:tcPr>
            <w:tcW w:w="7696"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评价要点:</w:t>
            </w:r>
            <w:r>
              <w:rPr>
                <w:rFonts w:hint="eastAsia" w:ascii="宋体" w:hAnsi="宋体" w:eastAsia="宋体" w:cs="宋体"/>
                <w:sz w:val="22"/>
                <w:szCs w:val="22"/>
              </w:rPr>
              <w:br w:type="textWrapping"/>
            </w:r>
            <w:r>
              <w:rPr>
                <w:rFonts w:hint="eastAsia" w:ascii="宋体" w:hAnsi="宋体" w:eastAsia="宋体" w:cs="宋体"/>
                <w:sz w:val="22"/>
                <w:szCs w:val="22"/>
              </w:rPr>
              <w:t>①项目是否按照规定的程序申请设立；</w:t>
            </w:r>
            <w:r>
              <w:rPr>
                <w:rFonts w:hint="eastAsia" w:ascii="宋体" w:hAnsi="宋体" w:eastAsia="宋体" w:cs="宋体"/>
                <w:sz w:val="22"/>
                <w:szCs w:val="22"/>
              </w:rPr>
              <w:br w:type="textWrapping"/>
            </w:r>
            <w:r>
              <w:rPr>
                <w:rFonts w:hint="eastAsia" w:ascii="宋体" w:hAnsi="宋体" w:eastAsia="宋体" w:cs="宋体"/>
                <w:sz w:val="22"/>
                <w:szCs w:val="22"/>
              </w:rPr>
              <w:t>②审批文件、材料是否符合相关要求；</w:t>
            </w:r>
            <w:r>
              <w:rPr>
                <w:rFonts w:hint="eastAsia" w:ascii="宋体" w:hAnsi="宋体" w:eastAsia="宋体" w:cs="宋体"/>
                <w:sz w:val="22"/>
                <w:szCs w:val="22"/>
              </w:rPr>
              <w:br w:type="textWrapping"/>
            </w:r>
            <w:r>
              <w:rPr>
                <w:rFonts w:hint="eastAsia" w:ascii="宋体" w:hAnsi="宋体" w:eastAsia="宋体" w:cs="宋体"/>
                <w:sz w:val="22"/>
                <w:szCs w:val="22"/>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绩效目标</w:t>
            </w: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绩效目标</w:t>
            </w:r>
          </w:p>
          <w:p>
            <w:pPr>
              <w:spacing w:line="240" w:lineRule="auto"/>
              <w:rPr>
                <w:rFonts w:hint="eastAsia" w:ascii="宋体" w:hAnsi="宋体" w:eastAsia="宋体" w:cs="宋体"/>
                <w:sz w:val="22"/>
                <w:szCs w:val="22"/>
              </w:rPr>
            </w:pPr>
            <w:r>
              <w:rPr>
                <w:rFonts w:hint="eastAsia" w:ascii="宋体" w:hAnsi="宋体" w:eastAsia="宋体" w:cs="宋体"/>
                <w:sz w:val="22"/>
                <w:szCs w:val="22"/>
              </w:rPr>
              <w:t>合理性</w:t>
            </w:r>
          </w:p>
        </w:tc>
        <w:tc>
          <w:tcPr>
            <w:tcW w:w="3654"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项目所设定的绩效目标是否依据充分，是否符合客观实际，用以反映和考核项目绩效目标与项目实施的相符情况。</w:t>
            </w:r>
          </w:p>
        </w:tc>
        <w:tc>
          <w:tcPr>
            <w:tcW w:w="7696"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评价要点:</w:t>
            </w:r>
            <w:r>
              <w:rPr>
                <w:rFonts w:hint="eastAsia" w:ascii="宋体" w:hAnsi="宋体" w:eastAsia="宋体" w:cs="宋体"/>
                <w:sz w:val="22"/>
                <w:szCs w:val="22"/>
              </w:rPr>
              <w:br w:type="textWrapping"/>
            </w:r>
            <w:r>
              <w:rPr>
                <w:rFonts w:hint="eastAsia" w:ascii="宋体" w:hAnsi="宋体" w:eastAsia="宋体" w:cs="宋体"/>
                <w:sz w:val="22"/>
                <w:szCs w:val="22"/>
              </w:rPr>
              <w:t>（如未设定预算绩效目标，也可考核其他工作任务目标）</w:t>
            </w:r>
            <w:r>
              <w:rPr>
                <w:rFonts w:hint="eastAsia" w:ascii="宋体" w:hAnsi="宋体" w:eastAsia="宋体" w:cs="宋体"/>
                <w:sz w:val="22"/>
                <w:szCs w:val="22"/>
              </w:rPr>
              <w:br w:type="textWrapping"/>
            </w:r>
            <w:r>
              <w:rPr>
                <w:rFonts w:hint="eastAsia" w:ascii="宋体" w:hAnsi="宋体" w:eastAsia="宋体" w:cs="宋体"/>
                <w:sz w:val="22"/>
                <w:szCs w:val="22"/>
              </w:rPr>
              <w:t>①项目是否有绩效目标；</w:t>
            </w:r>
            <w:r>
              <w:rPr>
                <w:rFonts w:hint="eastAsia" w:ascii="宋体" w:hAnsi="宋体" w:eastAsia="宋体" w:cs="宋体"/>
                <w:sz w:val="22"/>
                <w:szCs w:val="22"/>
              </w:rPr>
              <w:br w:type="textWrapping"/>
            </w:r>
            <w:r>
              <w:rPr>
                <w:rFonts w:hint="eastAsia" w:ascii="宋体" w:hAnsi="宋体" w:eastAsia="宋体" w:cs="宋体"/>
                <w:sz w:val="22"/>
                <w:szCs w:val="22"/>
              </w:rPr>
              <w:t>②项目绩效目标与实际工作内容是否具有相关性；</w:t>
            </w:r>
            <w:r>
              <w:rPr>
                <w:rFonts w:hint="eastAsia" w:ascii="宋体" w:hAnsi="宋体" w:eastAsia="宋体" w:cs="宋体"/>
                <w:sz w:val="22"/>
                <w:szCs w:val="22"/>
              </w:rPr>
              <w:br w:type="textWrapping"/>
            </w:r>
            <w:r>
              <w:rPr>
                <w:rFonts w:hint="eastAsia" w:ascii="宋体" w:hAnsi="宋体" w:eastAsia="宋体" w:cs="宋体"/>
                <w:sz w:val="22"/>
                <w:szCs w:val="22"/>
              </w:rPr>
              <w:t>③项目预期产出效益和效果是否符合正常的业绩水平；</w:t>
            </w:r>
          </w:p>
          <w:p>
            <w:pPr>
              <w:spacing w:line="240" w:lineRule="auto"/>
              <w:rPr>
                <w:rFonts w:hint="eastAsia" w:ascii="宋体" w:hAnsi="宋体" w:eastAsia="宋体" w:cs="宋体"/>
                <w:sz w:val="22"/>
                <w:szCs w:val="22"/>
              </w:rPr>
            </w:pPr>
            <w:r>
              <w:rPr>
                <w:rFonts w:hint="eastAsia" w:ascii="宋体" w:hAnsi="宋体" w:eastAsia="宋体" w:cs="宋体"/>
                <w:sz w:val="22"/>
                <w:szCs w:val="22"/>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1" w:hRule="atLeast"/>
          <w:jc w:val="center"/>
        </w:trPr>
        <w:tc>
          <w:tcPr>
            <w:tcW w:w="1355"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决策</w:t>
            </w:r>
          </w:p>
        </w:tc>
        <w:tc>
          <w:tcPr>
            <w:tcW w:w="1512"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绩效目标</w:t>
            </w: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绩效指标</w:t>
            </w:r>
          </w:p>
          <w:p>
            <w:pPr>
              <w:spacing w:line="240" w:lineRule="auto"/>
              <w:rPr>
                <w:rFonts w:hint="eastAsia" w:ascii="宋体" w:hAnsi="宋体" w:eastAsia="宋体" w:cs="宋体"/>
                <w:sz w:val="22"/>
                <w:szCs w:val="22"/>
              </w:rPr>
            </w:pPr>
            <w:r>
              <w:rPr>
                <w:rFonts w:hint="eastAsia" w:ascii="宋体" w:hAnsi="宋体" w:eastAsia="宋体" w:cs="宋体"/>
                <w:sz w:val="22"/>
                <w:szCs w:val="22"/>
              </w:rPr>
              <w:t>明确性</w:t>
            </w:r>
          </w:p>
        </w:tc>
        <w:tc>
          <w:tcPr>
            <w:tcW w:w="3654"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依据绩效目标设定的绩效指标是否清晰、细化、可衡量等，用以反映和考核项目绩效目标的明细化情况。</w:t>
            </w:r>
          </w:p>
        </w:tc>
        <w:tc>
          <w:tcPr>
            <w:tcW w:w="7696"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评价要点:</w:t>
            </w:r>
            <w:r>
              <w:rPr>
                <w:rFonts w:hint="eastAsia" w:ascii="宋体" w:hAnsi="宋体" w:eastAsia="宋体" w:cs="宋体"/>
                <w:sz w:val="22"/>
                <w:szCs w:val="22"/>
              </w:rPr>
              <w:br w:type="textWrapping"/>
            </w:r>
            <w:r>
              <w:rPr>
                <w:rFonts w:hint="eastAsia" w:ascii="宋体" w:hAnsi="宋体" w:eastAsia="宋体" w:cs="宋体"/>
                <w:sz w:val="22"/>
                <w:szCs w:val="22"/>
              </w:rPr>
              <w:t>①是否将项目绩效目标细化分解为具体的绩效指标；</w:t>
            </w:r>
            <w:r>
              <w:rPr>
                <w:rFonts w:hint="eastAsia" w:ascii="宋体" w:hAnsi="宋体" w:eastAsia="宋体" w:cs="宋体"/>
                <w:sz w:val="22"/>
                <w:szCs w:val="22"/>
              </w:rPr>
              <w:br w:type="textWrapping"/>
            </w:r>
            <w:r>
              <w:rPr>
                <w:rFonts w:hint="eastAsia" w:ascii="宋体" w:hAnsi="宋体" w:eastAsia="宋体" w:cs="宋体"/>
                <w:sz w:val="22"/>
                <w:szCs w:val="22"/>
              </w:rPr>
              <w:t>②是否通过清晰、可衡量的指标值予以体现；</w:t>
            </w:r>
            <w:r>
              <w:rPr>
                <w:rFonts w:hint="eastAsia" w:ascii="宋体" w:hAnsi="宋体" w:eastAsia="宋体" w:cs="宋体"/>
                <w:sz w:val="22"/>
                <w:szCs w:val="22"/>
              </w:rPr>
              <w:br w:type="textWrapping"/>
            </w:r>
            <w:r>
              <w:rPr>
                <w:rFonts w:hint="eastAsia" w:ascii="宋体" w:hAnsi="宋体" w:eastAsia="宋体" w:cs="宋体"/>
                <w:sz w:val="22"/>
                <w:szCs w:val="22"/>
              </w:rPr>
              <w:t>③是否与项目目标任务数或计划数相对应。</w:t>
            </w:r>
            <w:r>
              <w:rPr>
                <w:rFonts w:hint="eastAsia" w:ascii="宋体" w:hAnsi="宋体" w:eastAsia="宋体" w:cs="宋体"/>
                <w:sz w:val="22"/>
                <w:szCs w:val="22"/>
              </w:rPr>
              <w:br w:type="textWrapping"/>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5"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资金投入</w:t>
            </w: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预算编制</w:t>
            </w:r>
          </w:p>
          <w:p>
            <w:pPr>
              <w:spacing w:line="240" w:lineRule="auto"/>
              <w:rPr>
                <w:rFonts w:hint="eastAsia" w:ascii="宋体" w:hAnsi="宋体" w:eastAsia="宋体" w:cs="宋体"/>
                <w:sz w:val="22"/>
                <w:szCs w:val="22"/>
              </w:rPr>
            </w:pPr>
            <w:r>
              <w:rPr>
                <w:rFonts w:hint="eastAsia" w:ascii="宋体" w:hAnsi="宋体" w:eastAsia="宋体" w:cs="宋体"/>
                <w:sz w:val="22"/>
                <w:szCs w:val="22"/>
              </w:rPr>
              <w:t>科学性</w:t>
            </w:r>
          </w:p>
        </w:tc>
        <w:tc>
          <w:tcPr>
            <w:tcW w:w="3654"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项目预算编制是否经过科学论证、有明确标准，资金额度与年度目标是否相适应，用以反映和考核项目预算编制的科学性、合理性情况。</w:t>
            </w:r>
          </w:p>
        </w:tc>
        <w:tc>
          <w:tcPr>
            <w:tcW w:w="7696"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评价要点:</w:t>
            </w:r>
            <w:r>
              <w:rPr>
                <w:rFonts w:hint="eastAsia" w:ascii="宋体" w:hAnsi="宋体" w:eastAsia="宋体" w:cs="宋体"/>
                <w:sz w:val="22"/>
                <w:szCs w:val="22"/>
              </w:rPr>
              <w:br w:type="textWrapping"/>
            </w:r>
            <w:r>
              <w:rPr>
                <w:rFonts w:hint="eastAsia" w:ascii="宋体" w:hAnsi="宋体" w:eastAsia="宋体" w:cs="宋体"/>
                <w:sz w:val="22"/>
                <w:szCs w:val="22"/>
              </w:rPr>
              <w:t>①预算编制是否经过科学论证；</w:t>
            </w:r>
            <w:r>
              <w:rPr>
                <w:rFonts w:hint="eastAsia" w:ascii="宋体" w:hAnsi="宋体" w:eastAsia="宋体" w:cs="宋体"/>
                <w:sz w:val="22"/>
                <w:szCs w:val="22"/>
              </w:rPr>
              <w:br w:type="textWrapping"/>
            </w:r>
            <w:r>
              <w:rPr>
                <w:rFonts w:hint="eastAsia" w:ascii="宋体" w:hAnsi="宋体" w:eastAsia="宋体" w:cs="宋体"/>
                <w:sz w:val="22"/>
                <w:szCs w:val="22"/>
              </w:rPr>
              <w:t>②预算内容与项目内容是否匹配；</w:t>
            </w:r>
            <w:r>
              <w:rPr>
                <w:rFonts w:hint="eastAsia" w:ascii="宋体" w:hAnsi="宋体" w:eastAsia="宋体" w:cs="宋体"/>
                <w:sz w:val="22"/>
                <w:szCs w:val="22"/>
              </w:rPr>
              <w:br w:type="textWrapping"/>
            </w:r>
            <w:r>
              <w:rPr>
                <w:rFonts w:hint="eastAsia" w:ascii="宋体" w:hAnsi="宋体" w:eastAsia="宋体" w:cs="宋体"/>
                <w:sz w:val="22"/>
                <w:szCs w:val="22"/>
              </w:rPr>
              <w:t>③预算额度测算依据是否充分，是否按照标准编制；</w:t>
            </w:r>
            <w:r>
              <w:rPr>
                <w:rFonts w:hint="eastAsia" w:ascii="宋体" w:hAnsi="宋体" w:eastAsia="宋体" w:cs="宋体"/>
                <w:sz w:val="22"/>
                <w:szCs w:val="22"/>
              </w:rPr>
              <w:br w:type="textWrapping"/>
            </w:r>
            <w:r>
              <w:rPr>
                <w:rFonts w:hint="eastAsia" w:ascii="宋体" w:hAnsi="宋体" w:eastAsia="宋体" w:cs="宋体"/>
                <w:sz w:val="22"/>
                <w:szCs w:val="22"/>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36"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rPr>
                <w:rFonts w:hint="eastAsia" w:ascii="宋体" w:hAnsi="宋体" w:eastAsia="宋体" w:cs="宋体"/>
                <w:sz w:val="22"/>
                <w:szCs w:val="22"/>
              </w:rPr>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资金分配</w:t>
            </w:r>
          </w:p>
          <w:p>
            <w:pPr>
              <w:spacing w:line="240" w:lineRule="auto"/>
              <w:rPr>
                <w:rFonts w:hint="eastAsia" w:ascii="宋体" w:hAnsi="宋体" w:eastAsia="宋体" w:cs="宋体"/>
                <w:sz w:val="22"/>
                <w:szCs w:val="22"/>
              </w:rPr>
            </w:pPr>
            <w:r>
              <w:rPr>
                <w:rFonts w:hint="eastAsia" w:ascii="宋体" w:hAnsi="宋体" w:eastAsia="宋体" w:cs="宋体"/>
                <w:sz w:val="22"/>
                <w:szCs w:val="22"/>
              </w:rPr>
              <w:t>合理性</w:t>
            </w:r>
          </w:p>
        </w:tc>
        <w:tc>
          <w:tcPr>
            <w:tcW w:w="3654"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项目预算资金分配是否有测算依据，与补助单位或地方实际是否相适应，用以反映和考核项目预算资金分配的科学性、合理性情况。</w:t>
            </w:r>
          </w:p>
        </w:tc>
        <w:tc>
          <w:tcPr>
            <w:tcW w:w="7696"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评价要点:</w:t>
            </w:r>
            <w:r>
              <w:rPr>
                <w:rFonts w:hint="eastAsia" w:ascii="宋体" w:hAnsi="宋体" w:eastAsia="宋体" w:cs="宋体"/>
                <w:sz w:val="22"/>
                <w:szCs w:val="22"/>
              </w:rPr>
              <w:br w:type="textWrapping"/>
            </w:r>
            <w:r>
              <w:rPr>
                <w:rFonts w:hint="eastAsia" w:ascii="宋体" w:hAnsi="宋体" w:eastAsia="宋体" w:cs="宋体"/>
                <w:sz w:val="22"/>
                <w:szCs w:val="22"/>
              </w:rPr>
              <w:t>①预算资金分配依据是否充分；</w:t>
            </w:r>
            <w:r>
              <w:rPr>
                <w:rFonts w:hint="eastAsia" w:ascii="宋体" w:hAnsi="宋体" w:eastAsia="宋体" w:cs="宋体"/>
                <w:sz w:val="22"/>
                <w:szCs w:val="22"/>
              </w:rPr>
              <w:br w:type="textWrapping"/>
            </w:r>
            <w:r>
              <w:rPr>
                <w:rFonts w:hint="eastAsia" w:ascii="宋体" w:hAnsi="宋体" w:eastAsia="宋体" w:cs="宋体"/>
                <w:sz w:val="22"/>
                <w:szCs w:val="22"/>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4" w:hRule="atLeast"/>
          <w:jc w:val="center"/>
        </w:trPr>
        <w:tc>
          <w:tcPr>
            <w:tcW w:w="1355"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过程</w:t>
            </w:r>
          </w:p>
        </w:tc>
        <w:tc>
          <w:tcPr>
            <w:tcW w:w="1512"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资金管理</w:t>
            </w: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资金到位率</w:t>
            </w:r>
          </w:p>
        </w:tc>
        <w:tc>
          <w:tcPr>
            <w:tcW w:w="3654"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实际到位资金与预算资金的比率，用以反映和考核资金落实情况对项目实施的总体保障程度。</w:t>
            </w:r>
          </w:p>
        </w:tc>
        <w:tc>
          <w:tcPr>
            <w:tcW w:w="7696"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资金到位率=（实际到位资金/预算资金）×100%。</w:t>
            </w:r>
          </w:p>
          <w:p>
            <w:pPr>
              <w:spacing w:line="240" w:lineRule="auto"/>
              <w:rPr>
                <w:rFonts w:hint="eastAsia" w:ascii="宋体" w:hAnsi="宋体" w:eastAsia="宋体" w:cs="宋体"/>
                <w:sz w:val="22"/>
                <w:szCs w:val="22"/>
              </w:rPr>
            </w:pPr>
            <w:r>
              <w:rPr>
                <w:rFonts w:hint="eastAsia" w:ascii="宋体" w:hAnsi="宋体" w:eastAsia="宋体" w:cs="宋体"/>
                <w:sz w:val="22"/>
                <w:szCs w:val="22"/>
              </w:rPr>
              <w:t>实际到位资金:一定时期（本年度或项目期）内落实到具体项目的资金。</w:t>
            </w:r>
          </w:p>
          <w:p>
            <w:pPr>
              <w:spacing w:line="240" w:lineRule="auto"/>
              <w:rPr>
                <w:rFonts w:hint="eastAsia" w:ascii="宋体" w:hAnsi="宋体" w:eastAsia="宋体" w:cs="宋体"/>
                <w:sz w:val="22"/>
                <w:szCs w:val="22"/>
              </w:rPr>
            </w:pPr>
            <w:r>
              <w:rPr>
                <w:rFonts w:hint="eastAsia" w:ascii="宋体" w:hAnsi="宋体" w:eastAsia="宋体" w:cs="宋体"/>
                <w:sz w:val="22"/>
                <w:szCs w:val="22"/>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5" w:hRule="atLeast"/>
          <w:jc w:val="center"/>
        </w:trPr>
        <w:tc>
          <w:tcPr>
            <w:tcW w:w="1355" w:type="dxa"/>
            <w:vMerge w:val="continue"/>
            <w:tcBorders>
              <w:tl2br w:val="nil"/>
              <w:tr2bl w:val="nil"/>
            </w:tcBorders>
            <w:shd w:val="clear" w:color="auto" w:fill="FFFFFF"/>
            <w:vAlign w:val="center"/>
          </w:tcPr>
          <w:p>
            <w:pPr>
              <w:spacing w:line="240" w:lineRule="auto"/>
              <w:rPr>
                <w:rFonts w:hint="eastAsia" w:ascii="宋体" w:hAnsi="宋体" w:eastAsia="宋体" w:cs="宋体"/>
                <w:sz w:val="22"/>
                <w:szCs w:val="22"/>
              </w:rPr>
            </w:pPr>
          </w:p>
        </w:tc>
        <w:tc>
          <w:tcPr>
            <w:tcW w:w="1512" w:type="dxa"/>
            <w:vMerge w:val="continue"/>
            <w:tcBorders>
              <w:tl2br w:val="nil"/>
              <w:tr2bl w:val="nil"/>
            </w:tcBorders>
            <w:shd w:val="clear" w:color="auto" w:fill="FFFFFF"/>
            <w:vAlign w:val="center"/>
          </w:tcPr>
          <w:p>
            <w:pPr>
              <w:spacing w:line="240" w:lineRule="auto"/>
              <w:rPr>
                <w:rFonts w:hint="eastAsia" w:ascii="宋体" w:hAnsi="宋体" w:eastAsia="宋体" w:cs="宋体"/>
                <w:sz w:val="22"/>
                <w:szCs w:val="22"/>
              </w:rPr>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预算执行率</w:t>
            </w:r>
          </w:p>
        </w:tc>
        <w:tc>
          <w:tcPr>
            <w:tcW w:w="3654"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项目预算资金是否按照计划执行，用以反映或考核项目预算执行情况。</w:t>
            </w:r>
          </w:p>
        </w:tc>
        <w:tc>
          <w:tcPr>
            <w:tcW w:w="7696"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预算执行率=（实际支出资金/实际到位资金）×100%。</w:t>
            </w:r>
            <w:r>
              <w:rPr>
                <w:rFonts w:hint="eastAsia" w:ascii="宋体" w:hAnsi="宋体" w:eastAsia="宋体" w:cs="宋体"/>
                <w:sz w:val="22"/>
                <w:szCs w:val="22"/>
              </w:rPr>
              <w:br w:type="textWrapping"/>
            </w:r>
            <w:r>
              <w:rPr>
                <w:rFonts w:hint="eastAsia" w:ascii="宋体" w:hAnsi="宋体" w:eastAsia="宋体" w:cs="宋体"/>
                <w:sz w:val="22"/>
                <w:szCs w:val="22"/>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37" w:hRule="atLeast"/>
          <w:jc w:val="center"/>
        </w:trPr>
        <w:tc>
          <w:tcPr>
            <w:tcW w:w="1355"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过程</w:t>
            </w:r>
          </w:p>
        </w:tc>
        <w:tc>
          <w:tcPr>
            <w:tcW w:w="1512"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资金管理</w:t>
            </w: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资金使用</w:t>
            </w:r>
          </w:p>
          <w:p>
            <w:pPr>
              <w:spacing w:line="240" w:lineRule="auto"/>
              <w:rPr>
                <w:rFonts w:hint="eastAsia" w:ascii="宋体" w:hAnsi="宋体" w:eastAsia="宋体" w:cs="宋体"/>
                <w:sz w:val="22"/>
                <w:szCs w:val="22"/>
              </w:rPr>
            </w:pPr>
            <w:r>
              <w:rPr>
                <w:rFonts w:hint="eastAsia" w:ascii="宋体" w:hAnsi="宋体" w:eastAsia="宋体" w:cs="宋体"/>
                <w:sz w:val="22"/>
                <w:szCs w:val="22"/>
              </w:rPr>
              <w:t>合规性</w:t>
            </w:r>
          </w:p>
        </w:tc>
        <w:tc>
          <w:tcPr>
            <w:tcW w:w="3654" w:type="dxa"/>
            <w:tcBorders>
              <w:tl2br w:val="nil"/>
              <w:tr2bl w:val="nil"/>
            </w:tcBorders>
            <w:shd w:val="clear" w:color="000000" w:fill="FFFFFF"/>
            <w:vAlign w:val="center"/>
          </w:tcPr>
          <w:p>
            <w:pPr>
              <w:spacing w:line="240" w:lineRule="auto"/>
              <w:jc w:val="both"/>
              <w:rPr>
                <w:rFonts w:hint="eastAsia" w:ascii="宋体" w:hAnsi="宋体" w:eastAsia="宋体" w:cs="宋体"/>
                <w:sz w:val="22"/>
                <w:szCs w:val="22"/>
              </w:rPr>
            </w:pPr>
            <w:r>
              <w:rPr>
                <w:rFonts w:hint="eastAsia" w:ascii="宋体" w:hAnsi="宋体" w:eastAsia="宋体" w:cs="宋体"/>
                <w:sz w:val="22"/>
                <w:szCs w:val="22"/>
              </w:rPr>
              <w:t>项目资金使用是否符合相关的财务管理制度规定，用以反映和考核项目资金的规范运行情况。</w:t>
            </w:r>
          </w:p>
        </w:tc>
        <w:tc>
          <w:tcPr>
            <w:tcW w:w="7696"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评价要点:</w:t>
            </w:r>
            <w:r>
              <w:rPr>
                <w:rFonts w:hint="eastAsia" w:ascii="宋体" w:hAnsi="宋体" w:eastAsia="宋体" w:cs="宋体"/>
                <w:sz w:val="22"/>
                <w:szCs w:val="22"/>
              </w:rPr>
              <w:br w:type="textWrapping"/>
            </w:r>
            <w:r>
              <w:rPr>
                <w:rFonts w:hint="eastAsia" w:ascii="宋体" w:hAnsi="宋体" w:eastAsia="宋体" w:cs="宋体"/>
                <w:sz w:val="22"/>
                <w:szCs w:val="22"/>
              </w:rPr>
              <w:t>①是否符合国家财经法规和财务管理制度以及有关专项资金管理办法的规定；</w:t>
            </w:r>
            <w:r>
              <w:rPr>
                <w:rFonts w:hint="eastAsia" w:ascii="宋体" w:hAnsi="宋体" w:eastAsia="宋体" w:cs="宋体"/>
                <w:sz w:val="22"/>
                <w:szCs w:val="22"/>
              </w:rPr>
              <w:br w:type="textWrapping"/>
            </w:r>
            <w:r>
              <w:rPr>
                <w:rFonts w:hint="eastAsia" w:ascii="宋体" w:hAnsi="宋体" w:eastAsia="宋体" w:cs="宋体"/>
                <w:sz w:val="22"/>
                <w:szCs w:val="22"/>
              </w:rPr>
              <w:t>②资金的拨付是否有完整的审批程序和手续；</w:t>
            </w:r>
            <w:r>
              <w:rPr>
                <w:rFonts w:hint="eastAsia" w:ascii="宋体" w:hAnsi="宋体" w:eastAsia="宋体" w:cs="宋体"/>
                <w:sz w:val="22"/>
                <w:szCs w:val="22"/>
              </w:rPr>
              <w:br w:type="textWrapping"/>
            </w:r>
            <w:r>
              <w:rPr>
                <w:rFonts w:hint="eastAsia" w:ascii="宋体" w:hAnsi="宋体" w:eastAsia="宋体" w:cs="宋体"/>
                <w:sz w:val="22"/>
                <w:szCs w:val="22"/>
              </w:rPr>
              <w:t>③是否符合项目预算批复或合同规定的用途；</w:t>
            </w:r>
            <w:r>
              <w:rPr>
                <w:rFonts w:hint="eastAsia" w:ascii="宋体" w:hAnsi="宋体" w:eastAsia="宋体" w:cs="宋体"/>
                <w:sz w:val="22"/>
                <w:szCs w:val="22"/>
              </w:rPr>
              <w:br w:type="textWrapping"/>
            </w:r>
            <w:r>
              <w:rPr>
                <w:rFonts w:hint="eastAsia" w:ascii="宋体" w:hAnsi="宋体" w:eastAsia="宋体" w:cs="宋体"/>
                <w:sz w:val="22"/>
                <w:szCs w:val="22"/>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43"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组织实施</w:t>
            </w: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管理制度</w:t>
            </w:r>
          </w:p>
          <w:p>
            <w:pPr>
              <w:spacing w:line="240" w:lineRule="auto"/>
              <w:rPr>
                <w:rFonts w:hint="eastAsia" w:ascii="宋体" w:hAnsi="宋体" w:eastAsia="宋体" w:cs="宋体"/>
                <w:sz w:val="22"/>
                <w:szCs w:val="22"/>
              </w:rPr>
            </w:pPr>
            <w:r>
              <w:rPr>
                <w:rFonts w:hint="eastAsia" w:ascii="宋体" w:hAnsi="宋体" w:eastAsia="宋体" w:cs="宋体"/>
                <w:sz w:val="22"/>
                <w:szCs w:val="22"/>
              </w:rPr>
              <w:t>健全性</w:t>
            </w:r>
          </w:p>
        </w:tc>
        <w:tc>
          <w:tcPr>
            <w:tcW w:w="3654"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项目实施单位的财务和业务管理制度是否健全，用以反映和考核财务和业务管理制度对项目顺利实施的保障情况。</w:t>
            </w:r>
          </w:p>
        </w:tc>
        <w:tc>
          <w:tcPr>
            <w:tcW w:w="7696"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评价要点:</w:t>
            </w:r>
            <w:r>
              <w:rPr>
                <w:rFonts w:hint="eastAsia" w:ascii="宋体" w:hAnsi="宋体" w:eastAsia="宋体" w:cs="宋体"/>
                <w:sz w:val="22"/>
                <w:szCs w:val="22"/>
              </w:rPr>
              <w:br w:type="textWrapping"/>
            </w:r>
            <w:r>
              <w:rPr>
                <w:rFonts w:hint="eastAsia" w:ascii="宋体" w:hAnsi="宋体" w:eastAsia="宋体" w:cs="宋体"/>
                <w:sz w:val="22"/>
                <w:szCs w:val="22"/>
              </w:rPr>
              <w:t>①是否已制定或具有相应的财务和业务管理制度；</w:t>
            </w:r>
            <w:r>
              <w:rPr>
                <w:rFonts w:hint="eastAsia" w:ascii="宋体" w:hAnsi="宋体" w:eastAsia="宋体" w:cs="宋体"/>
                <w:sz w:val="22"/>
                <w:szCs w:val="22"/>
              </w:rPr>
              <w:br w:type="textWrapping"/>
            </w:r>
            <w:r>
              <w:rPr>
                <w:rFonts w:hint="eastAsia" w:ascii="宋体" w:hAnsi="宋体" w:eastAsia="宋体" w:cs="宋体"/>
                <w:sz w:val="22"/>
                <w:szCs w:val="22"/>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制度执行</w:t>
            </w:r>
          </w:p>
          <w:p>
            <w:pPr>
              <w:spacing w:line="240" w:lineRule="auto"/>
              <w:rPr>
                <w:rFonts w:hint="eastAsia" w:ascii="宋体" w:hAnsi="宋体" w:eastAsia="宋体" w:cs="宋体"/>
                <w:sz w:val="22"/>
                <w:szCs w:val="22"/>
              </w:rPr>
            </w:pPr>
            <w:r>
              <w:rPr>
                <w:rFonts w:hint="eastAsia" w:ascii="宋体" w:hAnsi="宋体" w:eastAsia="宋体" w:cs="宋体"/>
                <w:sz w:val="22"/>
                <w:szCs w:val="22"/>
              </w:rPr>
              <w:t>有效性</w:t>
            </w:r>
          </w:p>
        </w:tc>
        <w:tc>
          <w:tcPr>
            <w:tcW w:w="3654"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项目实施是否符合相关管理规定，用以反映和考核相关管理制度的有效执行情况。</w:t>
            </w:r>
          </w:p>
        </w:tc>
        <w:tc>
          <w:tcPr>
            <w:tcW w:w="7696"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评价要点:</w:t>
            </w:r>
            <w:r>
              <w:rPr>
                <w:rFonts w:hint="eastAsia" w:ascii="宋体" w:hAnsi="宋体" w:eastAsia="宋体" w:cs="宋体"/>
                <w:sz w:val="22"/>
                <w:szCs w:val="22"/>
              </w:rPr>
              <w:br w:type="textWrapping"/>
            </w:r>
            <w:r>
              <w:rPr>
                <w:rFonts w:hint="eastAsia" w:ascii="宋体" w:hAnsi="宋体" w:eastAsia="宋体" w:cs="宋体"/>
                <w:sz w:val="22"/>
                <w:szCs w:val="22"/>
              </w:rPr>
              <w:t>①是否遵守相关法律法规和相关管理规定；</w:t>
            </w:r>
            <w:r>
              <w:rPr>
                <w:rFonts w:hint="eastAsia" w:ascii="宋体" w:hAnsi="宋体" w:eastAsia="宋体" w:cs="宋体"/>
                <w:sz w:val="22"/>
                <w:szCs w:val="22"/>
              </w:rPr>
              <w:br w:type="textWrapping"/>
            </w:r>
            <w:r>
              <w:rPr>
                <w:rFonts w:hint="eastAsia" w:ascii="宋体" w:hAnsi="宋体" w:eastAsia="宋体" w:cs="宋体"/>
                <w:sz w:val="22"/>
                <w:szCs w:val="22"/>
              </w:rPr>
              <w:t>②项目调整及支出调整手续是否完备；</w:t>
            </w:r>
            <w:r>
              <w:rPr>
                <w:rFonts w:hint="eastAsia" w:ascii="宋体" w:hAnsi="宋体" w:eastAsia="宋体" w:cs="宋体"/>
                <w:sz w:val="22"/>
                <w:szCs w:val="22"/>
              </w:rPr>
              <w:br w:type="textWrapping"/>
            </w:r>
            <w:r>
              <w:rPr>
                <w:rFonts w:hint="eastAsia" w:ascii="宋体" w:hAnsi="宋体" w:eastAsia="宋体" w:cs="宋体"/>
                <w:sz w:val="22"/>
                <w:szCs w:val="22"/>
              </w:rPr>
              <w:t>③项目合同书、验收报告、技术鉴定等资料是否齐全并及时归档；</w:t>
            </w:r>
            <w:r>
              <w:rPr>
                <w:rFonts w:hint="eastAsia" w:ascii="宋体" w:hAnsi="宋体" w:eastAsia="宋体" w:cs="宋体"/>
                <w:sz w:val="22"/>
                <w:szCs w:val="22"/>
              </w:rPr>
              <w:br w:type="textWrapping"/>
            </w:r>
            <w:r>
              <w:rPr>
                <w:rFonts w:hint="eastAsia" w:ascii="宋体" w:hAnsi="宋体" w:eastAsia="宋体" w:cs="宋体"/>
                <w:sz w:val="22"/>
                <w:szCs w:val="22"/>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7" w:hRule="atLeast"/>
          <w:jc w:val="center"/>
        </w:trPr>
        <w:tc>
          <w:tcPr>
            <w:tcW w:w="1355"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产出</w:t>
            </w:r>
          </w:p>
          <w:p>
            <w:pPr>
              <w:spacing w:line="240" w:lineRule="auto"/>
              <w:rPr>
                <w:rFonts w:hint="eastAsia" w:ascii="宋体" w:hAnsi="宋体" w:eastAsia="宋体" w:cs="宋体"/>
                <w:sz w:val="22"/>
                <w:szCs w:val="22"/>
              </w:rPr>
            </w:pPr>
          </w:p>
        </w:tc>
        <w:tc>
          <w:tcPr>
            <w:tcW w:w="1512"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产出数量</w:t>
            </w:r>
          </w:p>
        </w:tc>
        <w:tc>
          <w:tcPr>
            <w:tcW w:w="2323" w:type="dxa"/>
            <w:tcBorders>
              <w:tl2br w:val="nil"/>
              <w:tr2bl w:val="nil"/>
            </w:tcBorders>
            <w:shd w:val="clear" w:color="auto" w:fill="FFFFFF"/>
          </w:tcPr>
          <w:p>
            <w:pPr>
              <w:spacing w:line="240" w:lineRule="auto"/>
              <w:rPr>
                <w:rFonts w:hint="eastAsia" w:ascii="宋体" w:hAnsi="宋体" w:eastAsia="宋体" w:cs="宋体"/>
                <w:sz w:val="22"/>
                <w:szCs w:val="22"/>
              </w:rPr>
            </w:pPr>
            <w:r>
              <w:rPr>
                <w:rFonts w:hint="eastAsia" w:ascii="宋体" w:hAnsi="宋体" w:eastAsia="宋体" w:cs="宋体"/>
                <w:sz w:val="22"/>
                <w:szCs w:val="22"/>
              </w:rPr>
              <w:t>购置教室设备种类</w:t>
            </w:r>
          </w:p>
        </w:tc>
        <w:tc>
          <w:tcPr>
            <w:tcW w:w="3654" w:type="dxa"/>
            <w:vMerge w:val="restart"/>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项目实施的实际产出数与计划产出数的比率，用以反映和考核项目产出数量目标的实现程度。</w:t>
            </w:r>
          </w:p>
        </w:tc>
        <w:tc>
          <w:tcPr>
            <w:tcW w:w="7696" w:type="dxa"/>
            <w:vMerge w:val="restart"/>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实际完成率=（实际产出数/计划产出数）×100%。</w:t>
            </w:r>
            <w:r>
              <w:rPr>
                <w:rFonts w:hint="eastAsia" w:ascii="宋体" w:hAnsi="宋体" w:eastAsia="宋体" w:cs="宋体"/>
                <w:sz w:val="22"/>
                <w:szCs w:val="22"/>
              </w:rPr>
              <w:br w:type="textWrapping"/>
            </w:r>
            <w:r>
              <w:rPr>
                <w:rFonts w:hint="eastAsia" w:ascii="宋体" w:hAnsi="宋体" w:eastAsia="宋体" w:cs="宋体"/>
                <w:sz w:val="22"/>
                <w:szCs w:val="22"/>
              </w:rPr>
              <w:t>实际产出数:一定时期（本年度或项目期）内项目实际产出的产品或提供的服务数量。</w:t>
            </w:r>
            <w:r>
              <w:rPr>
                <w:rFonts w:hint="eastAsia" w:ascii="宋体" w:hAnsi="宋体" w:eastAsia="宋体" w:cs="宋体"/>
                <w:sz w:val="22"/>
                <w:szCs w:val="22"/>
              </w:rPr>
              <w:br w:type="textWrapping"/>
            </w:r>
            <w:r>
              <w:rPr>
                <w:rFonts w:hint="eastAsia" w:ascii="宋体" w:hAnsi="宋体" w:eastAsia="宋体" w:cs="宋体"/>
                <w:sz w:val="22"/>
                <w:szCs w:val="22"/>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3"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tcPr>
          <w:p>
            <w:pPr>
              <w:spacing w:line="240" w:lineRule="auto"/>
              <w:rPr>
                <w:rFonts w:hint="eastAsia" w:ascii="宋体" w:hAnsi="宋体" w:eastAsia="宋体" w:cs="宋体"/>
                <w:sz w:val="22"/>
                <w:szCs w:val="22"/>
              </w:rPr>
            </w:pPr>
            <w:r>
              <w:rPr>
                <w:rFonts w:hint="eastAsia" w:ascii="宋体" w:hAnsi="宋体" w:eastAsia="宋体" w:cs="宋体"/>
                <w:sz w:val="22"/>
                <w:szCs w:val="22"/>
              </w:rPr>
              <w:t>购置生活设备种类</w:t>
            </w:r>
          </w:p>
        </w:tc>
        <w:tc>
          <w:tcPr>
            <w:tcW w:w="3654" w:type="dxa"/>
            <w:vMerge w:val="continue"/>
            <w:tcBorders>
              <w:tl2br w:val="nil"/>
              <w:tr2bl w:val="nil"/>
            </w:tcBorders>
            <w:shd w:val="clear" w:color="000000" w:fill="FFFFFF"/>
            <w:vAlign w:val="center"/>
          </w:tcPr>
          <w:p>
            <w:pPr>
              <w:spacing w:line="240" w:lineRule="auto"/>
              <w:rPr>
                <w:rFonts w:hint="eastAsia" w:ascii="宋体" w:hAnsi="宋体" w:eastAsia="宋体" w:cs="宋体"/>
                <w:sz w:val="22"/>
                <w:szCs w:val="22"/>
              </w:rPr>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tcPr>
          <w:p>
            <w:pPr>
              <w:spacing w:line="240" w:lineRule="auto"/>
              <w:rPr>
                <w:rFonts w:hint="eastAsia" w:ascii="宋体" w:hAnsi="宋体" w:eastAsia="宋体" w:cs="宋体"/>
                <w:sz w:val="22"/>
                <w:szCs w:val="22"/>
              </w:rPr>
            </w:pPr>
            <w:r>
              <w:rPr>
                <w:rFonts w:hint="eastAsia" w:ascii="宋体" w:hAnsi="宋体" w:eastAsia="宋体" w:cs="宋体"/>
                <w:sz w:val="22"/>
                <w:szCs w:val="22"/>
              </w:rPr>
              <w:t>受益人数</w:t>
            </w:r>
          </w:p>
        </w:tc>
        <w:tc>
          <w:tcPr>
            <w:tcW w:w="3654" w:type="dxa"/>
            <w:vMerge w:val="continue"/>
            <w:tcBorders>
              <w:tl2br w:val="nil"/>
              <w:tr2bl w:val="nil"/>
            </w:tcBorders>
            <w:shd w:val="clear" w:color="000000" w:fill="FFFFFF"/>
            <w:vAlign w:val="center"/>
          </w:tcPr>
          <w:p>
            <w:pPr>
              <w:spacing w:line="240" w:lineRule="auto"/>
              <w:rPr>
                <w:rFonts w:hint="eastAsia" w:ascii="宋体" w:hAnsi="宋体" w:eastAsia="宋体" w:cs="宋体"/>
                <w:sz w:val="22"/>
                <w:szCs w:val="22"/>
              </w:rPr>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46"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产出质量</w:t>
            </w: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设备、设施验收合格率</w:t>
            </w:r>
          </w:p>
        </w:tc>
        <w:tc>
          <w:tcPr>
            <w:tcW w:w="3654"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项目完成的质量达标产出数与实际产出数的比率，用以反映和考核项目产出质量目标的实现程度。</w:t>
            </w:r>
          </w:p>
        </w:tc>
        <w:tc>
          <w:tcPr>
            <w:tcW w:w="7696"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质量达标率=（质量达标产出数/实际产出数）×100%。</w:t>
            </w:r>
          </w:p>
          <w:p>
            <w:pPr>
              <w:spacing w:line="240" w:lineRule="auto"/>
              <w:rPr>
                <w:rFonts w:hint="eastAsia" w:ascii="宋体" w:hAnsi="宋体" w:eastAsia="宋体" w:cs="宋体"/>
                <w:sz w:val="22"/>
                <w:szCs w:val="22"/>
              </w:rPr>
            </w:pPr>
            <w:r>
              <w:rPr>
                <w:rFonts w:hint="eastAsia" w:ascii="宋体" w:hAnsi="宋体" w:eastAsia="宋体" w:cs="宋体"/>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2"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产出时效</w:t>
            </w:r>
          </w:p>
        </w:tc>
        <w:tc>
          <w:tcPr>
            <w:tcW w:w="2323" w:type="dxa"/>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设备验收使用及时率</w:t>
            </w:r>
          </w:p>
        </w:tc>
        <w:tc>
          <w:tcPr>
            <w:tcW w:w="3654"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项目实际完成时间与计划完成时间的比较，用以反映和考核项目产出时效目标的实现程度。</w:t>
            </w:r>
          </w:p>
        </w:tc>
        <w:tc>
          <w:tcPr>
            <w:tcW w:w="7696"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实际完成时间:项目实施单位完成该项目实际所耗用的时间。</w:t>
            </w:r>
            <w:r>
              <w:rPr>
                <w:rFonts w:hint="eastAsia" w:ascii="宋体" w:hAnsi="宋体" w:eastAsia="宋体" w:cs="宋体"/>
                <w:sz w:val="22"/>
                <w:szCs w:val="22"/>
              </w:rPr>
              <w:br w:type="textWrapping"/>
            </w:r>
            <w:r>
              <w:rPr>
                <w:rFonts w:hint="eastAsia" w:ascii="宋体" w:hAnsi="宋体" w:eastAsia="宋体" w:cs="宋体"/>
                <w:sz w:val="22"/>
                <w:szCs w:val="22"/>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jc w:val="center"/>
        </w:trPr>
        <w:tc>
          <w:tcPr>
            <w:tcW w:w="1355"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成本</w:t>
            </w:r>
          </w:p>
        </w:tc>
        <w:tc>
          <w:tcPr>
            <w:tcW w:w="1512"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经济成本</w:t>
            </w: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购置教室设备成本</w:t>
            </w:r>
          </w:p>
        </w:tc>
        <w:tc>
          <w:tcPr>
            <w:tcW w:w="3654" w:type="dxa"/>
            <w:vMerge w:val="restart"/>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完成项目计划工作目标的实际节约成本与计划成本的比率，用以反映和考核项目的成本节约程度。</w:t>
            </w:r>
          </w:p>
        </w:tc>
        <w:tc>
          <w:tcPr>
            <w:tcW w:w="7696" w:type="dxa"/>
            <w:vMerge w:val="restart"/>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成本节约率=[（计划成本-实际成本）/计划成本]×100%。</w:t>
            </w:r>
            <w:r>
              <w:rPr>
                <w:rFonts w:hint="eastAsia" w:ascii="宋体" w:hAnsi="宋体" w:eastAsia="宋体" w:cs="宋体"/>
                <w:sz w:val="22"/>
                <w:szCs w:val="22"/>
              </w:rPr>
              <w:br w:type="textWrapping"/>
            </w:r>
            <w:r>
              <w:rPr>
                <w:rFonts w:hint="eastAsia" w:ascii="宋体" w:hAnsi="宋体" w:eastAsia="宋体" w:cs="宋体"/>
                <w:sz w:val="22"/>
                <w:szCs w:val="22"/>
              </w:rPr>
              <w:t>实际成本:项目实施单位如期、保质、保量完成既定工作目标实际所耗费的支出。</w:t>
            </w:r>
            <w:r>
              <w:rPr>
                <w:rFonts w:hint="eastAsia" w:ascii="宋体" w:hAnsi="宋体" w:eastAsia="宋体" w:cs="宋体"/>
                <w:sz w:val="22"/>
                <w:szCs w:val="22"/>
              </w:rPr>
              <w:br w:type="textWrapping"/>
            </w:r>
            <w:r>
              <w:rPr>
                <w:rFonts w:hint="eastAsia" w:ascii="宋体" w:hAnsi="宋体" w:eastAsia="宋体" w:cs="宋体"/>
                <w:sz w:val="22"/>
                <w:szCs w:val="22"/>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7"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购买餐厅设备成本</w:t>
            </w:r>
          </w:p>
        </w:tc>
        <w:tc>
          <w:tcPr>
            <w:tcW w:w="3654" w:type="dxa"/>
            <w:vMerge w:val="continue"/>
            <w:tcBorders>
              <w:tl2br w:val="nil"/>
              <w:tr2bl w:val="nil"/>
            </w:tcBorders>
            <w:shd w:val="clear" w:color="000000" w:fill="FFFFFF"/>
            <w:vAlign w:val="center"/>
          </w:tcPr>
          <w:p>
            <w:pPr>
              <w:spacing w:line="240" w:lineRule="auto"/>
              <w:rPr>
                <w:rFonts w:hint="eastAsia" w:ascii="宋体" w:hAnsi="宋体" w:eastAsia="宋体" w:cs="宋体"/>
                <w:sz w:val="22"/>
                <w:szCs w:val="22"/>
              </w:rPr>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6"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购买洗衣房设备成本</w:t>
            </w:r>
          </w:p>
        </w:tc>
        <w:tc>
          <w:tcPr>
            <w:tcW w:w="3654" w:type="dxa"/>
            <w:vMerge w:val="continue"/>
            <w:tcBorders>
              <w:tl2br w:val="nil"/>
              <w:tr2bl w:val="nil"/>
            </w:tcBorders>
            <w:shd w:val="clear" w:color="000000" w:fill="FFFFFF"/>
            <w:vAlign w:val="center"/>
          </w:tcPr>
          <w:p>
            <w:pPr>
              <w:spacing w:line="240" w:lineRule="auto"/>
              <w:rPr>
                <w:rFonts w:hint="eastAsia" w:ascii="宋体" w:hAnsi="宋体" w:eastAsia="宋体" w:cs="宋体"/>
                <w:sz w:val="22"/>
                <w:szCs w:val="22"/>
              </w:rPr>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5"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购买实验室设备成本</w:t>
            </w:r>
          </w:p>
        </w:tc>
        <w:tc>
          <w:tcPr>
            <w:tcW w:w="3654" w:type="dxa"/>
            <w:vMerge w:val="continue"/>
            <w:tcBorders>
              <w:tl2br w:val="nil"/>
              <w:tr2bl w:val="nil"/>
            </w:tcBorders>
            <w:shd w:val="clear" w:color="000000" w:fill="FFFFFF"/>
            <w:vAlign w:val="center"/>
          </w:tcPr>
          <w:p>
            <w:pPr>
              <w:spacing w:line="240" w:lineRule="auto"/>
              <w:rPr>
                <w:rFonts w:hint="eastAsia" w:ascii="宋体" w:hAnsi="宋体" w:eastAsia="宋体" w:cs="宋体"/>
                <w:sz w:val="22"/>
                <w:szCs w:val="22"/>
              </w:rPr>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80"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购买LED设备成本</w:t>
            </w:r>
          </w:p>
        </w:tc>
        <w:tc>
          <w:tcPr>
            <w:tcW w:w="3654" w:type="dxa"/>
            <w:vMerge w:val="continue"/>
            <w:tcBorders>
              <w:tl2br w:val="nil"/>
              <w:tr2bl w:val="nil"/>
            </w:tcBorders>
            <w:shd w:val="clear" w:color="000000" w:fill="FFFFFF"/>
            <w:vAlign w:val="center"/>
          </w:tcPr>
          <w:p>
            <w:pPr>
              <w:spacing w:line="240" w:lineRule="auto"/>
              <w:rPr>
                <w:rFonts w:hint="eastAsia" w:ascii="宋体" w:hAnsi="宋体" w:eastAsia="宋体" w:cs="宋体"/>
                <w:sz w:val="22"/>
                <w:szCs w:val="22"/>
              </w:rPr>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7"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购置家具成本</w:t>
            </w:r>
          </w:p>
        </w:tc>
        <w:tc>
          <w:tcPr>
            <w:tcW w:w="3654" w:type="dxa"/>
            <w:vMerge w:val="continue"/>
            <w:tcBorders>
              <w:tl2br w:val="nil"/>
              <w:tr2bl w:val="nil"/>
            </w:tcBorders>
            <w:shd w:val="clear" w:color="000000" w:fill="FFFFFF"/>
            <w:vAlign w:val="center"/>
          </w:tcPr>
          <w:p>
            <w:pPr>
              <w:spacing w:line="240" w:lineRule="auto"/>
              <w:rPr>
                <w:rFonts w:hint="eastAsia" w:ascii="宋体" w:hAnsi="宋体" w:eastAsia="宋体" w:cs="宋体"/>
                <w:sz w:val="22"/>
                <w:szCs w:val="22"/>
              </w:rPr>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8"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校园文化建设成本</w:t>
            </w:r>
          </w:p>
        </w:tc>
        <w:tc>
          <w:tcPr>
            <w:tcW w:w="3654" w:type="dxa"/>
            <w:vMerge w:val="continue"/>
            <w:tcBorders>
              <w:tl2br w:val="nil"/>
              <w:tr2bl w:val="nil"/>
            </w:tcBorders>
            <w:shd w:val="clear" w:color="000000" w:fill="FFFFFF"/>
            <w:vAlign w:val="center"/>
          </w:tcPr>
          <w:p>
            <w:pPr>
              <w:spacing w:line="240" w:lineRule="auto"/>
              <w:rPr>
                <w:rFonts w:hint="eastAsia" w:ascii="宋体" w:hAnsi="宋体" w:eastAsia="宋体" w:cs="宋体"/>
                <w:sz w:val="22"/>
                <w:szCs w:val="22"/>
              </w:rPr>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4"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直播教室成本</w:t>
            </w:r>
          </w:p>
        </w:tc>
        <w:tc>
          <w:tcPr>
            <w:tcW w:w="3654" w:type="dxa"/>
            <w:vMerge w:val="continue"/>
            <w:tcBorders>
              <w:tl2br w:val="nil"/>
              <w:tr2bl w:val="nil"/>
            </w:tcBorders>
            <w:shd w:val="clear" w:color="000000" w:fill="FFFFFF"/>
            <w:vAlign w:val="center"/>
          </w:tcPr>
          <w:p>
            <w:pPr>
              <w:spacing w:line="240" w:lineRule="auto"/>
              <w:rPr>
                <w:rFonts w:hint="eastAsia" w:ascii="宋体" w:hAnsi="宋体" w:eastAsia="宋体" w:cs="宋体"/>
                <w:sz w:val="22"/>
                <w:szCs w:val="22"/>
              </w:rPr>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金属看台成本</w:t>
            </w:r>
          </w:p>
        </w:tc>
        <w:tc>
          <w:tcPr>
            <w:tcW w:w="3654" w:type="dxa"/>
            <w:vMerge w:val="continue"/>
            <w:tcBorders>
              <w:tl2br w:val="nil"/>
              <w:tr2bl w:val="nil"/>
            </w:tcBorders>
            <w:shd w:val="clear" w:color="000000" w:fill="FFFFFF"/>
            <w:vAlign w:val="center"/>
          </w:tcPr>
          <w:p>
            <w:pPr>
              <w:spacing w:line="240" w:lineRule="auto"/>
              <w:rPr>
                <w:rFonts w:hint="eastAsia" w:ascii="宋体" w:hAnsi="宋体" w:eastAsia="宋体" w:cs="宋体"/>
                <w:sz w:val="22"/>
                <w:szCs w:val="22"/>
              </w:rPr>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36"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智慧校园建设成本</w:t>
            </w:r>
          </w:p>
        </w:tc>
        <w:tc>
          <w:tcPr>
            <w:tcW w:w="3654" w:type="dxa"/>
            <w:vMerge w:val="continue"/>
            <w:tcBorders>
              <w:tl2br w:val="nil"/>
              <w:tr2bl w:val="nil"/>
            </w:tcBorders>
            <w:shd w:val="clear" w:color="000000" w:fill="FFFFFF"/>
            <w:vAlign w:val="center"/>
          </w:tcPr>
          <w:p>
            <w:pPr>
              <w:spacing w:line="240" w:lineRule="auto"/>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搬家服务成本</w:t>
            </w:r>
          </w:p>
        </w:tc>
        <w:tc>
          <w:tcPr>
            <w:tcW w:w="3654" w:type="dxa"/>
            <w:vMerge w:val="continue"/>
            <w:tcBorders>
              <w:tl2br w:val="nil"/>
              <w:tr2bl w:val="nil"/>
            </w:tcBorders>
            <w:shd w:val="clear" w:color="000000" w:fill="FFFFFF"/>
            <w:vAlign w:val="center"/>
          </w:tcPr>
          <w:p>
            <w:pPr>
              <w:spacing w:line="240" w:lineRule="auto"/>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6" w:hRule="atLeast"/>
          <w:jc w:val="center"/>
        </w:trPr>
        <w:tc>
          <w:tcPr>
            <w:tcW w:w="1355"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效益</w:t>
            </w:r>
          </w:p>
        </w:tc>
        <w:tc>
          <w:tcPr>
            <w:tcW w:w="1512"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社会效益指标</w:t>
            </w:r>
          </w:p>
          <w:p>
            <w:pPr>
              <w:spacing w:line="240" w:lineRule="auto"/>
              <w:rPr>
                <w:rFonts w:hint="eastAsia" w:ascii="宋体" w:hAnsi="宋体" w:eastAsia="宋体" w:cs="宋体"/>
                <w:sz w:val="22"/>
                <w:szCs w:val="22"/>
              </w:rPr>
            </w:pPr>
          </w:p>
        </w:tc>
        <w:tc>
          <w:tcPr>
            <w:tcW w:w="2323"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增强学校硬件设备，提升教育教学能力</w:t>
            </w:r>
          </w:p>
        </w:tc>
        <w:tc>
          <w:tcPr>
            <w:tcW w:w="3654"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项目实施所产生的效益。</w:t>
            </w:r>
          </w:p>
        </w:tc>
        <w:tc>
          <w:tcPr>
            <w:tcW w:w="7696"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2" w:hRule="atLeast"/>
          <w:jc w:val="center"/>
        </w:trPr>
        <w:tc>
          <w:tcPr>
            <w:tcW w:w="1355" w:type="dxa"/>
            <w:vMerge w:val="continue"/>
            <w:tcBorders>
              <w:tl2br w:val="nil"/>
              <w:tr2bl w:val="nil"/>
            </w:tcBorders>
            <w:shd w:val="clear" w:color="auto" w:fill="FFFFFF"/>
            <w:vAlign w:val="center"/>
          </w:tcPr>
          <w:p>
            <w:pPr>
              <w:spacing w:line="240" w:lineRule="auto"/>
              <w:rPr>
                <w:rFonts w:hint="eastAsia" w:ascii="宋体" w:hAnsi="宋体" w:eastAsia="宋体" w:cs="宋体"/>
                <w:sz w:val="22"/>
                <w:szCs w:val="22"/>
              </w:rPr>
            </w:pPr>
          </w:p>
        </w:tc>
        <w:tc>
          <w:tcPr>
            <w:tcW w:w="1512" w:type="dxa"/>
            <w:vMerge w:val="continue"/>
            <w:tcBorders>
              <w:tl2br w:val="nil"/>
              <w:tr2bl w:val="nil"/>
            </w:tcBorders>
            <w:shd w:val="clear" w:color="auto" w:fill="FFFFFF"/>
            <w:vAlign w:val="center"/>
          </w:tcPr>
          <w:p>
            <w:pPr>
              <w:spacing w:line="240" w:lineRule="auto"/>
              <w:rPr>
                <w:rFonts w:hint="eastAsia" w:ascii="宋体" w:hAnsi="宋体" w:eastAsia="宋体" w:cs="宋体"/>
                <w:sz w:val="22"/>
                <w:szCs w:val="22"/>
              </w:rPr>
            </w:pPr>
          </w:p>
        </w:tc>
        <w:tc>
          <w:tcPr>
            <w:tcW w:w="2323" w:type="dxa"/>
            <w:vMerge w:val="continue"/>
            <w:tcBorders>
              <w:tl2br w:val="nil"/>
              <w:tr2bl w:val="nil"/>
            </w:tcBorders>
            <w:shd w:val="clear" w:color="auto" w:fill="FFFFFF"/>
            <w:vAlign w:val="center"/>
          </w:tcPr>
          <w:p>
            <w:pPr>
              <w:spacing w:line="240" w:lineRule="auto"/>
              <w:rPr>
                <w:rFonts w:hint="eastAsia" w:ascii="宋体" w:hAnsi="宋体" w:eastAsia="宋体" w:cs="宋体"/>
                <w:sz w:val="22"/>
                <w:szCs w:val="22"/>
              </w:rPr>
            </w:pPr>
          </w:p>
        </w:tc>
        <w:tc>
          <w:tcPr>
            <w:tcW w:w="3654" w:type="dxa"/>
            <w:vMerge w:val="continue"/>
            <w:tcBorders>
              <w:tl2br w:val="nil"/>
              <w:tr2bl w:val="nil"/>
            </w:tcBorders>
            <w:shd w:val="clear" w:color="000000" w:fill="FFFFFF"/>
            <w:vAlign w:val="center"/>
          </w:tcPr>
          <w:p>
            <w:pPr>
              <w:spacing w:line="240" w:lineRule="auto"/>
              <w:rPr>
                <w:rFonts w:hint="eastAsia" w:ascii="宋体" w:hAnsi="宋体" w:eastAsia="宋体" w:cs="宋体"/>
                <w:sz w:val="22"/>
                <w:szCs w:val="22"/>
              </w:rPr>
            </w:pPr>
          </w:p>
        </w:tc>
        <w:tc>
          <w:tcPr>
            <w:tcW w:w="7696"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社会公众或服务对象是指因该项目实施而受到影响的部门（单位）、群体或个人。一般采取社会调查的方式。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7" w:hRule="atLeast"/>
          <w:jc w:val="center"/>
        </w:trPr>
        <w:tc>
          <w:tcPr>
            <w:tcW w:w="1355"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满意度指标完成情况分析</w:t>
            </w:r>
          </w:p>
        </w:tc>
        <w:tc>
          <w:tcPr>
            <w:tcW w:w="1512"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满意度指标</w:t>
            </w: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学生满意度</w:t>
            </w:r>
          </w:p>
        </w:tc>
        <w:tc>
          <w:tcPr>
            <w:tcW w:w="3654"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社会公众或服务对象对项目实施效果的满意程度。</w:t>
            </w:r>
          </w:p>
        </w:tc>
        <w:tc>
          <w:tcPr>
            <w:tcW w:w="7696"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社会公众或服务对象是指因该项目实施而受到影响的部门（单位）、群体或个人。一般采取社会调查的方式。</w:t>
            </w:r>
          </w:p>
        </w:tc>
      </w:tr>
    </w:tbl>
    <w:p>
      <w:pPr>
        <w:sectPr>
          <w:footnotePr>
            <w:numFmt w:val="decimalEnclosedCircleChinese"/>
          </w:footnotePr>
          <w:pgSz w:w="16838" w:h="11906" w:orient="landscape"/>
          <w:pgMar w:top="1800" w:right="1440" w:bottom="1800" w:left="1440" w:header="1276" w:footer="992" w:gutter="0"/>
          <w:cols w:space="425" w:num="1"/>
          <w:docGrid w:type="lines" w:linePitch="381" w:charSpace="0"/>
        </w:sectPr>
      </w:pPr>
    </w:p>
    <w:p>
      <w:pPr>
        <w:pStyle w:val="4"/>
      </w:pPr>
      <w:bookmarkStart w:id="22" w:name="_Toc23745"/>
      <w:bookmarkStart w:id="23" w:name="_Hlk67586038"/>
      <w:r>
        <w:t>3.</w:t>
      </w:r>
      <w:r>
        <w:rPr>
          <w:rFonts w:hint="eastAsia"/>
        </w:rPr>
        <w:t>评价方法</w:t>
      </w:r>
      <w:bookmarkEnd w:id="22"/>
    </w:p>
    <w:bookmarkEnd w:id="23"/>
    <w:p>
      <w:pPr>
        <w:ind w:firstLine="840" w:firstLineChars="300"/>
      </w:pPr>
      <w:r>
        <w:rPr>
          <w:rFonts w:hint="eastAsia"/>
        </w:rPr>
        <w:t>《关于印发&lt;项目支出绩效评价管理办法&gt;的通知》（财预〔2020〕10号）文件指出部门评价的方法主要包括成本效益分析法、比较法、因素分析法、最低成本法、公众评判法、标杆管理法等。</w:t>
      </w:r>
    </w:p>
    <w:p>
      <w:pPr>
        <w:ind w:firstLine="560" w:firstLineChars="200"/>
      </w:pPr>
      <w:r>
        <w:rPr>
          <w:rFonts w:hint="eastAsia"/>
        </w:rPr>
        <w:t>（1）成本效益分析法。是指将投入与产出、效益进行关联性分析的方法。</w:t>
      </w:r>
    </w:p>
    <w:p>
      <w:pPr>
        <w:ind w:firstLine="560" w:firstLineChars="200"/>
      </w:pPr>
      <w:r>
        <w:rPr>
          <w:rFonts w:hint="eastAsia"/>
        </w:rPr>
        <w:t>（2）比较法。是指将实施情况与绩效目标、历史情况、不同部门和地区同类支出情况进行比较的方法。</w:t>
      </w:r>
    </w:p>
    <w:p>
      <w:pPr>
        <w:ind w:firstLine="560" w:firstLineChars="200"/>
      </w:pPr>
      <w:r>
        <w:rPr>
          <w:rFonts w:hint="eastAsia"/>
        </w:rPr>
        <w:t>（3）因素分析法。是指综合分析影响绩效目标实现、实施效果的内外部因素的方法。</w:t>
      </w:r>
    </w:p>
    <w:p>
      <w:pPr>
        <w:ind w:firstLine="560" w:firstLineChars="200"/>
      </w:pPr>
      <w:r>
        <w:rPr>
          <w:rFonts w:hint="eastAsia"/>
        </w:rPr>
        <w:t>（4）最低成本法。是指在绩效目标确定的前提下，成本最小者为优的方法。</w:t>
      </w:r>
    </w:p>
    <w:p>
      <w:pPr>
        <w:ind w:firstLine="560" w:firstLineChars="200"/>
      </w:pPr>
      <w:r>
        <w:rPr>
          <w:rFonts w:hint="eastAsia"/>
        </w:rPr>
        <w:t>（5）公众评判法。是指通过专家评估、公众问卷及抽样调查等方式进行评判的方法。</w:t>
      </w:r>
    </w:p>
    <w:p>
      <w:pPr>
        <w:ind w:firstLine="560" w:firstLineChars="200"/>
      </w:pPr>
      <w:r>
        <w:rPr>
          <w:rFonts w:hint="eastAsia"/>
        </w:rPr>
        <w:t>（6）标杆管理法。是指以国内外同行业中较高的绩效水平为标杆进行评判的方法。</w:t>
      </w:r>
    </w:p>
    <w:p>
      <w:pPr>
        <w:ind w:firstLine="560" w:firstLineChars="200"/>
      </w:pPr>
      <w:r>
        <w:rPr>
          <w:rFonts w:hint="eastAsia"/>
        </w:rPr>
        <w:t>（7）其他评价方法。</w:t>
      </w:r>
    </w:p>
    <w:p>
      <w:pPr>
        <w:ind w:firstLine="560" w:firstLineChars="200"/>
      </w:pPr>
      <w:r>
        <w:t>根据本项目（市教育局及局属部分学校资金-中小学规划布局项目)的特点，本次评价主要采用公众评判法和比较法，对项目总预算和明细预算的内容、标准、计划是否经济合理进行深入分析，以考察实际产出和效益是否达到预期。</w:t>
      </w:r>
    </w:p>
    <w:p>
      <w:pPr>
        <w:pStyle w:val="4"/>
      </w:pPr>
      <w:bookmarkStart w:id="24" w:name="_Toc18771"/>
      <w:r>
        <w:t>4.</w:t>
      </w:r>
      <w:r>
        <w:rPr>
          <w:rFonts w:hint="eastAsia"/>
        </w:rPr>
        <w:t>评价标准</w:t>
      </w:r>
      <w:bookmarkEnd w:id="24"/>
    </w:p>
    <w:p>
      <w:pPr>
        <w:ind w:firstLine="560" w:firstLineChars="200"/>
      </w:pPr>
      <w:r>
        <w:rPr>
          <w:rFonts w:hint="eastAsia"/>
        </w:rPr>
        <w:t>绩效评价标准主要包括计划标准、行业标准、历史标准等，用于对绩效指标完成情况进行比较。</w:t>
      </w:r>
    </w:p>
    <w:p>
      <w:r>
        <w:rPr>
          <w:rFonts w:hint="eastAsia"/>
        </w:rPr>
        <w:t>（1）计划标准。指以预先制定的目标、计划、预算、定额等作为评价标准。</w:t>
      </w:r>
    </w:p>
    <w:p>
      <w:r>
        <w:rPr>
          <w:rFonts w:hint="eastAsia"/>
        </w:rPr>
        <w:t>（2）行业标准。指参照国家公布的行业指标数据制定的评价标准。</w:t>
      </w:r>
    </w:p>
    <w:p>
      <w:r>
        <w:rPr>
          <w:rFonts w:hint="eastAsia"/>
        </w:rPr>
        <w:t>（3）历史标准。指参照历史数据制定的评价标准，为体现绩效改进的原则，在可实现的条件下应当确定相对较高的评价标准。</w:t>
      </w:r>
    </w:p>
    <w:p>
      <w:r>
        <w:rPr>
          <w:rFonts w:hint="eastAsia"/>
        </w:rPr>
        <w:t>在上述评价标准的基础上，本次评价依据以下文件为重要指导和准绳:</w:t>
      </w:r>
    </w:p>
    <w:p>
      <w:r>
        <w:rPr>
          <w:rFonts w:hint="eastAsia" w:ascii="黑体" w:hAnsi="黑体" w:eastAsia="黑体" w:cs="Times New Roman"/>
        </w:rPr>
        <w:t>·</w:t>
      </w:r>
      <w:r>
        <w:rPr>
          <w:rFonts w:hint="eastAsia"/>
        </w:rPr>
        <w:t>《中共中央国务院关于全面实施预算绩效管理的意见》（中发〔2018〕34号）</w:t>
      </w:r>
    </w:p>
    <w:p>
      <w:r>
        <w:rPr>
          <w:rFonts w:hint="eastAsia" w:ascii="黑体" w:hAnsi="黑体" w:eastAsia="黑体" w:cs="Times New Roman"/>
        </w:rPr>
        <w:t>·</w:t>
      </w:r>
      <w:r>
        <w:rPr>
          <w:rFonts w:hint="eastAsia"/>
        </w:rPr>
        <w:t>《关于印发&lt;乌鲁木齐市本级部门预算绩效目标管理暂行办法&gt;的通知》（乌财预〔2018〕56号）</w:t>
      </w:r>
    </w:p>
    <w:p>
      <w:r>
        <w:rPr>
          <w:rFonts w:hint="eastAsia" w:ascii="黑体" w:hAnsi="黑体" w:eastAsia="黑体" w:cs="Times New Roman"/>
        </w:rPr>
        <w:t>·</w:t>
      </w:r>
      <w:r>
        <w:rPr>
          <w:rFonts w:hint="eastAsia"/>
        </w:rPr>
        <w:t>《关于做好2019年部门预算项目支出绩效目标管理有关事宜的通知》（乌财预〔2018〕76号）</w:t>
      </w:r>
    </w:p>
    <w:p>
      <w:r>
        <w:rPr>
          <w:rFonts w:hint="eastAsia" w:ascii="黑体" w:hAnsi="黑体" w:eastAsia="黑体" w:cs="Times New Roman"/>
        </w:rPr>
        <w:t>·</w:t>
      </w:r>
      <w:r>
        <w:rPr>
          <w:rFonts w:hint="eastAsia"/>
        </w:rPr>
        <w:t>《项目支出绩效评价管理办法》（财预〔2020〕10号）</w:t>
      </w:r>
    </w:p>
    <w:p>
      <w:r>
        <w:rPr>
          <w:rFonts w:hint="eastAsia"/>
        </w:rPr>
        <w:t>·《关于下达市教育局及局属部分学校资金的通知》（财科教[2023]44号）</w:t>
      </w:r>
    </w:p>
    <w:p>
      <w:r>
        <w:rPr>
          <w:rFonts w:hint="eastAsia"/>
        </w:rPr>
        <w:t>·《乌市中小学规划布局调整第一批》（乌财科教[2021]12号）</w:t>
      </w:r>
    </w:p>
    <w:p>
      <w:r>
        <w:rPr>
          <w:rFonts w:hint="eastAsia"/>
        </w:rPr>
        <w:t>·《关于拨付乌鲁木齐市中小学规划布局调整第三批项目资金的通知》（乌财科教[2021]70号）</w:t>
      </w:r>
    </w:p>
    <w:p>
      <w:pPr>
        <w:pStyle w:val="3"/>
        <w:rPr>
          <w:lang w:bidi="en-US"/>
        </w:rPr>
      </w:pPr>
      <w:bookmarkStart w:id="25" w:name="_Toc67911607"/>
      <w:bookmarkStart w:id="26" w:name="_Toc4286"/>
      <w:r>
        <w:rPr>
          <w:rFonts w:hint="eastAsia"/>
          <w:lang w:bidi="en-US"/>
        </w:rPr>
        <w:t>（三）绩效评价工作过程</w:t>
      </w:r>
      <w:bookmarkEnd w:id="25"/>
      <w:bookmarkEnd w:id="26"/>
    </w:p>
    <w:p>
      <w:pPr>
        <w:ind w:firstLine="560" w:firstLineChars="200"/>
      </w:pPr>
      <w:r>
        <w:rPr>
          <w:rFonts w:hint="eastAsia"/>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pStyle w:val="2"/>
        <w:rPr>
          <w:lang w:bidi="en-US"/>
        </w:rPr>
      </w:pPr>
      <w:bookmarkStart w:id="27" w:name="_Toc67911608"/>
      <w:bookmarkStart w:id="28" w:name="_Toc2948"/>
      <w:r>
        <w:rPr>
          <w:rFonts w:hint="eastAsia"/>
          <w:lang w:bidi="en-US"/>
        </w:rPr>
        <w:t>三、综合评价情况及评价结论</w:t>
      </w:r>
      <w:bookmarkEnd w:id="27"/>
      <w:bookmarkEnd w:id="28"/>
    </w:p>
    <w:p>
      <w:pPr>
        <w:pStyle w:val="3"/>
        <w:rPr>
          <w:lang w:bidi="en-US"/>
        </w:rPr>
      </w:pPr>
      <w:bookmarkStart w:id="29" w:name="_Toc67911609"/>
      <w:bookmarkStart w:id="30" w:name="_Toc32465"/>
      <w:r>
        <w:rPr>
          <w:rFonts w:hint="eastAsia"/>
          <w:lang w:bidi="en-US"/>
        </w:rPr>
        <w:t>（一）评价结论</w:t>
      </w:r>
      <w:bookmarkEnd w:id="29"/>
      <w:bookmarkEnd w:id="30"/>
    </w:p>
    <w:p>
      <w:pPr>
        <w:ind w:firstLine="560" w:firstLineChars="200"/>
      </w:pPr>
      <w:r>
        <w:t>结合项目特点，制定符合项目实际的绩效评价指标体系及评分标准，通过数据采集、问卷调查及访谈等形式，对2023年市教育局及局属部分学校资金-中小学规划布局项目进行客观评价，最终评分结果为:总分为97.3分，绩效评级为“优”。</w:t>
      </w:r>
    </w:p>
    <w:p>
      <w:r>
        <w:rPr>
          <w:rFonts w:hint="eastAsia"/>
        </w:rPr>
        <w:t>项目各部分权重和绩效分值如附表所示:</w:t>
      </w:r>
    </w:p>
    <w:p>
      <w:r>
        <w:t xml:space="preserve">  </w:t>
      </w:r>
    </w:p>
    <w:p/>
    <w:p/>
    <w:p/>
    <w:p>
      <w:r>
        <w:rPr>
          <w:rFonts w:hint="eastAsia"/>
        </w:rPr>
        <w:t>项目各部分权重和绩效分值</w:t>
      </w:r>
    </w:p>
    <w:tbl>
      <w:tblPr>
        <w:tblStyle w:val="16"/>
        <w:tblW w:w="916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410"/>
        <w:gridCol w:w="1500"/>
        <w:gridCol w:w="3392"/>
        <w:gridCol w:w="823"/>
        <w:gridCol w:w="898"/>
        <w:gridCol w:w="11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tblHeader/>
          <w:jc w:val="center"/>
        </w:trPr>
        <w:tc>
          <w:tcPr>
            <w:tcW w:w="1410" w:type="dxa"/>
            <w:tcBorders>
              <w:tl2br w:val="nil"/>
              <w:tr2bl w:val="nil"/>
            </w:tcBorders>
            <w:shd w:val="clear" w:color="auto" w:fill="D0CECE" w:themeFill="background2" w:themeFillShade="E6"/>
            <w:vAlign w:val="center"/>
          </w:tcPr>
          <w:p>
            <w:pPr>
              <w:spacing w:line="240" w:lineRule="auto"/>
            </w:pPr>
            <w:r>
              <w:rPr>
                <w:rFonts w:hint="eastAsia"/>
              </w:rPr>
              <w:t>一级指标</w:t>
            </w:r>
          </w:p>
        </w:tc>
        <w:tc>
          <w:tcPr>
            <w:tcW w:w="1500" w:type="dxa"/>
            <w:tcBorders>
              <w:tl2br w:val="nil"/>
              <w:tr2bl w:val="nil"/>
            </w:tcBorders>
            <w:shd w:val="clear" w:color="auto" w:fill="D0CECE" w:themeFill="background2" w:themeFillShade="E6"/>
            <w:vAlign w:val="center"/>
          </w:tcPr>
          <w:p>
            <w:pPr>
              <w:spacing w:line="240" w:lineRule="auto"/>
            </w:pPr>
            <w:r>
              <w:rPr>
                <w:rFonts w:hint="eastAsia"/>
              </w:rPr>
              <w:t>二级指标</w:t>
            </w:r>
          </w:p>
        </w:tc>
        <w:tc>
          <w:tcPr>
            <w:tcW w:w="3392" w:type="dxa"/>
            <w:tcBorders>
              <w:tl2br w:val="nil"/>
              <w:tr2bl w:val="nil"/>
            </w:tcBorders>
            <w:shd w:val="clear" w:color="auto" w:fill="D0CECE" w:themeFill="background2" w:themeFillShade="E6"/>
            <w:vAlign w:val="center"/>
          </w:tcPr>
          <w:p>
            <w:pPr>
              <w:spacing w:line="240" w:lineRule="auto"/>
            </w:pPr>
            <w:r>
              <w:rPr>
                <w:rFonts w:hint="eastAsia"/>
              </w:rPr>
              <w:t>三级指标</w:t>
            </w:r>
          </w:p>
        </w:tc>
        <w:tc>
          <w:tcPr>
            <w:tcW w:w="823" w:type="dxa"/>
            <w:tcBorders>
              <w:tl2br w:val="nil"/>
              <w:tr2bl w:val="nil"/>
            </w:tcBorders>
            <w:shd w:val="clear" w:color="auto" w:fill="D0CECE" w:themeFill="background2" w:themeFillShade="E6"/>
            <w:vAlign w:val="center"/>
          </w:tcPr>
          <w:p>
            <w:pPr>
              <w:spacing w:line="240" w:lineRule="auto"/>
            </w:pPr>
            <w:r>
              <w:rPr>
                <w:rFonts w:hint="eastAsia"/>
              </w:rPr>
              <w:t>分值</w:t>
            </w:r>
          </w:p>
        </w:tc>
        <w:tc>
          <w:tcPr>
            <w:tcW w:w="898" w:type="dxa"/>
            <w:tcBorders>
              <w:tl2br w:val="nil"/>
              <w:tr2bl w:val="nil"/>
            </w:tcBorders>
            <w:shd w:val="clear" w:color="auto" w:fill="D0CECE" w:themeFill="background2" w:themeFillShade="E6"/>
            <w:vAlign w:val="center"/>
          </w:tcPr>
          <w:p>
            <w:pPr>
              <w:spacing w:line="240" w:lineRule="auto"/>
            </w:pPr>
            <w:r>
              <w:rPr>
                <w:rFonts w:hint="eastAsia"/>
              </w:rPr>
              <w:t>得分</w:t>
            </w:r>
          </w:p>
        </w:tc>
        <w:tc>
          <w:tcPr>
            <w:tcW w:w="1141" w:type="dxa"/>
            <w:tcBorders>
              <w:tl2br w:val="nil"/>
              <w:tr2bl w:val="nil"/>
            </w:tcBorders>
            <w:shd w:val="clear" w:color="auto" w:fill="D0CECE" w:themeFill="background2" w:themeFillShade="E6"/>
            <w:vAlign w:val="center"/>
          </w:tcPr>
          <w:p>
            <w:pPr>
              <w:spacing w:line="240" w:lineRule="auto"/>
            </w:pPr>
            <w:r>
              <w:rPr>
                <w:rFonts w:hint="eastAsia"/>
              </w:rPr>
              <w:t>得分率</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410" w:type="dxa"/>
            <w:vMerge w:val="restart"/>
            <w:tcBorders>
              <w:tl2br w:val="nil"/>
              <w:tr2bl w:val="nil"/>
            </w:tcBorders>
            <w:shd w:val="clear" w:color="auto" w:fill="FFFFFF"/>
            <w:vAlign w:val="center"/>
          </w:tcPr>
          <w:p>
            <w:pPr>
              <w:spacing w:line="240" w:lineRule="auto"/>
            </w:pPr>
            <w:r>
              <w:rPr>
                <w:rFonts w:hint="eastAsia"/>
              </w:rPr>
              <w:t>决策</w:t>
            </w:r>
          </w:p>
        </w:tc>
        <w:tc>
          <w:tcPr>
            <w:tcW w:w="1500" w:type="dxa"/>
            <w:vMerge w:val="restart"/>
            <w:tcBorders>
              <w:tl2br w:val="nil"/>
              <w:tr2bl w:val="nil"/>
            </w:tcBorders>
            <w:shd w:val="clear" w:color="auto" w:fill="FFFFFF"/>
            <w:vAlign w:val="center"/>
          </w:tcPr>
          <w:p>
            <w:pPr>
              <w:spacing w:line="240" w:lineRule="auto"/>
            </w:pPr>
            <w:r>
              <w:rPr>
                <w:rFonts w:hint="eastAsia"/>
              </w:rPr>
              <w:t>项目立项</w:t>
            </w:r>
          </w:p>
        </w:tc>
        <w:tc>
          <w:tcPr>
            <w:tcW w:w="3392" w:type="dxa"/>
            <w:tcBorders>
              <w:tl2br w:val="nil"/>
              <w:tr2bl w:val="nil"/>
            </w:tcBorders>
            <w:shd w:val="clear" w:color="auto" w:fill="FFFFFF"/>
            <w:vAlign w:val="center"/>
          </w:tcPr>
          <w:p>
            <w:pPr>
              <w:spacing w:line="240" w:lineRule="auto"/>
            </w:pPr>
            <w:r>
              <w:rPr>
                <w:rFonts w:hint="eastAsia"/>
              </w:rPr>
              <w:t>立项依据充分性</w:t>
            </w:r>
          </w:p>
        </w:tc>
        <w:tc>
          <w:tcPr>
            <w:tcW w:w="823" w:type="dxa"/>
            <w:tcBorders>
              <w:tl2br w:val="nil"/>
              <w:tr2bl w:val="nil"/>
            </w:tcBorders>
            <w:shd w:val="clear" w:color="auto" w:fill="FFFFFF"/>
            <w:vAlign w:val="center"/>
          </w:tcPr>
          <w:p>
            <w:pPr>
              <w:spacing w:line="240" w:lineRule="auto"/>
            </w:pPr>
            <w:r>
              <w:rPr>
                <w:rFonts w:hint="eastAsia"/>
              </w:rPr>
              <w:t>4</w:t>
            </w:r>
          </w:p>
        </w:tc>
        <w:tc>
          <w:tcPr>
            <w:tcW w:w="898" w:type="dxa"/>
            <w:tcBorders>
              <w:tl2br w:val="nil"/>
              <w:tr2bl w:val="nil"/>
            </w:tcBorders>
            <w:shd w:val="clear" w:color="auto" w:fill="FFFFFF"/>
            <w:vAlign w:val="center"/>
          </w:tcPr>
          <w:p>
            <w:pPr>
              <w:spacing w:line="240" w:lineRule="auto"/>
            </w:pPr>
            <w:r>
              <w:rPr>
                <w:rFonts w:hint="eastAsia"/>
              </w:rPr>
              <w:t>4</w:t>
            </w:r>
          </w:p>
        </w:tc>
        <w:tc>
          <w:tcPr>
            <w:tcW w:w="1141" w:type="dxa"/>
            <w:tcBorders>
              <w:tl2br w:val="nil"/>
              <w:tr2bl w:val="nil"/>
            </w:tcBorders>
            <w:shd w:val="clear" w:color="auto"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立项程序规范性</w:t>
            </w:r>
          </w:p>
        </w:tc>
        <w:tc>
          <w:tcPr>
            <w:tcW w:w="823" w:type="dxa"/>
            <w:tcBorders>
              <w:tl2br w:val="nil"/>
              <w:tr2bl w:val="nil"/>
            </w:tcBorders>
            <w:shd w:val="clear" w:color="auto" w:fill="FFFFFF"/>
            <w:vAlign w:val="center"/>
          </w:tcPr>
          <w:p>
            <w:pPr>
              <w:spacing w:line="240" w:lineRule="auto"/>
            </w:pPr>
            <w:r>
              <w:rPr>
                <w:rFonts w:hint="eastAsia"/>
              </w:rPr>
              <w:t>4</w:t>
            </w:r>
          </w:p>
        </w:tc>
        <w:tc>
          <w:tcPr>
            <w:tcW w:w="898" w:type="dxa"/>
            <w:tcBorders>
              <w:tl2br w:val="nil"/>
              <w:tr2bl w:val="nil"/>
            </w:tcBorders>
            <w:shd w:val="clear" w:color="auto" w:fill="FFFFFF"/>
            <w:vAlign w:val="center"/>
          </w:tcPr>
          <w:p>
            <w:pPr>
              <w:spacing w:line="240" w:lineRule="auto"/>
            </w:pPr>
            <w:r>
              <w:rPr>
                <w:rFonts w:hint="eastAsia"/>
              </w:rPr>
              <w:t>4</w:t>
            </w:r>
          </w:p>
        </w:tc>
        <w:tc>
          <w:tcPr>
            <w:tcW w:w="1141" w:type="dxa"/>
            <w:tcBorders>
              <w:tl2br w:val="nil"/>
              <w:tr2bl w:val="nil"/>
            </w:tcBorders>
            <w:shd w:val="clear" w:color="auto"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restart"/>
            <w:tcBorders>
              <w:tl2br w:val="nil"/>
              <w:tr2bl w:val="nil"/>
            </w:tcBorders>
            <w:shd w:val="clear" w:color="auto" w:fill="FFFFFF"/>
            <w:vAlign w:val="center"/>
          </w:tcPr>
          <w:p>
            <w:pPr>
              <w:spacing w:line="240" w:lineRule="auto"/>
            </w:pPr>
            <w:r>
              <w:rPr>
                <w:rFonts w:hint="eastAsia"/>
              </w:rPr>
              <w:t>绩效目标</w:t>
            </w:r>
          </w:p>
        </w:tc>
        <w:tc>
          <w:tcPr>
            <w:tcW w:w="3392" w:type="dxa"/>
            <w:tcBorders>
              <w:tl2br w:val="nil"/>
              <w:tr2bl w:val="nil"/>
            </w:tcBorders>
            <w:shd w:val="clear" w:color="auto" w:fill="FFFFFF"/>
            <w:vAlign w:val="center"/>
          </w:tcPr>
          <w:p>
            <w:pPr>
              <w:spacing w:line="240" w:lineRule="auto"/>
            </w:pPr>
            <w:r>
              <w:rPr>
                <w:rFonts w:hint="eastAsia"/>
              </w:rPr>
              <w:t>绩效目标合理性</w:t>
            </w:r>
          </w:p>
        </w:tc>
        <w:tc>
          <w:tcPr>
            <w:tcW w:w="823" w:type="dxa"/>
            <w:tcBorders>
              <w:tl2br w:val="nil"/>
              <w:tr2bl w:val="nil"/>
            </w:tcBorders>
            <w:shd w:val="clear" w:color="000000" w:fill="FFFFFF"/>
            <w:vAlign w:val="center"/>
          </w:tcPr>
          <w:p>
            <w:pPr>
              <w:spacing w:line="240" w:lineRule="auto"/>
            </w:pPr>
            <w:r>
              <w:rPr>
                <w:rFonts w:hint="eastAsia"/>
              </w:rPr>
              <w:t>3</w:t>
            </w:r>
          </w:p>
        </w:tc>
        <w:tc>
          <w:tcPr>
            <w:tcW w:w="898" w:type="dxa"/>
            <w:tcBorders>
              <w:tl2br w:val="nil"/>
              <w:tr2bl w:val="nil"/>
            </w:tcBorders>
            <w:shd w:val="clear" w:color="000000" w:fill="FFFFFF"/>
            <w:vAlign w:val="center"/>
          </w:tcPr>
          <w:p>
            <w:pPr>
              <w:spacing w:line="240" w:lineRule="auto"/>
            </w:pPr>
            <w:r>
              <w:rPr>
                <w:rFonts w:hint="eastAsia"/>
              </w:rPr>
              <w:t>3</w:t>
            </w:r>
          </w:p>
        </w:tc>
        <w:tc>
          <w:tcPr>
            <w:tcW w:w="1141" w:type="dxa"/>
            <w:tcBorders>
              <w:tl2br w:val="nil"/>
              <w:tr2bl w:val="nil"/>
            </w:tcBorders>
            <w:shd w:val="clear" w:color="000000"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绩效指标明确性</w:t>
            </w:r>
          </w:p>
        </w:tc>
        <w:tc>
          <w:tcPr>
            <w:tcW w:w="823" w:type="dxa"/>
            <w:tcBorders>
              <w:tl2br w:val="nil"/>
              <w:tr2bl w:val="nil"/>
            </w:tcBorders>
            <w:shd w:val="clear" w:color="000000" w:fill="FFFFFF"/>
            <w:vAlign w:val="center"/>
          </w:tcPr>
          <w:p>
            <w:pPr>
              <w:spacing w:line="240" w:lineRule="auto"/>
            </w:pPr>
            <w:r>
              <w:rPr>
                <w:rFonts w:hint="eastAsia"/>
              </w:rPr>
              <w:t>3</w:t>
            </w:r>
          </w:p>
        </w:tc>
        <w:tc>
          <w:tcPr>
            <w:tcW w:w="898" w:type="dxa"/>
            <w:tcBorders>
              <w:tl2br w:val="nil"/>
              <w:tr2bl w:val="nil"/>
            </w:tcBorders>
            <w:shd w:val="clear" w:color="000000" w:fill="FFFFFF"/>
            <w:vAlign w:val="center"/>
          </w:tcPr>
          <w:p>
            <w:pPr>
              <w:spacing w:line="240" w:lineRule="auto"/>
            </w:pPr>
            <w:r>
              <w:rPr>
                <w:rFonts w:hint="eastAsia"/>
              </w:rPr>
              <w:t>3</w:t>
            </w:r>
          </w:p>
        </w:tc>
        <w:tc>
          <w:tcPr>
            <w:tcW w:w="1141" w:type="dxa"/>
            <w:tcBorders>
              <w:tl2br w:val="nil"/>
              <w:tr2bl w:val="nil"/>
            </w:tcBorders>
            <w:shd w:val="clear" w:color="000000"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restart"/>
            <w:tcBorders>
              <w:tl2br w:val="nil"/>
              <w:tr2bl w:val="nil"/>
            </w:tcBorders>
            <w:shd w:val="clear" w:color="auto" w:fill="FFFFFF"/>
            <w:vAlign w:val="center"/>
          </w:tcPr>
          <w:p>
            <w:pPr>
              <w:spacing w:line="240" w:lineRule="auto"/>
            </w:pPr>
            <w:r>
              <w:rPr>
                <w:rFonts w:hint="eastAsia"/>
              </w:rPr>
              <w:t>资金投入</w:t>
            </w:r>
          </w:p>
        </w:tc>
        <w:tc>
          <w:tcPr>
            <w:tcW w:w="3392" w:type="dxa"/>
            <w:tcBorders>
              <w:tl2br w:val="nil"/>
              <w:tr2bl w:val="nil"/>
            </w:tcBorders>
            <w:shd w:val="clear" w:color="auto" w:fill="FFFFFF"/>
            <w:vAlign w:val="center"/>
          </w:tcPr>
          <w:p>
            <w:pPr>
              <w:spacing w:line="240" w:lineRule="auto"/>
            </w:pPr>
            <w:r>
              <w:rPr>
                <w:rFonts w:hint="eastAsia"/>
              </w:rPr>
              <w:t>预算编制科学性</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rPr>
                <w:rFonts w:hint="eastAsia"/>
              </w:rPr>
              <w:t>3</w:t>
            </w:r>
          </w:p>
        </w:tc>
        <w:tc>
          <w:tcPr>
            <w:tcW w:w="1141" w:type="dxa"/>
            <w:tcBorders>
              <w:tl2br w:val="nil"/>
              <w:tr2bl w:val="nil"/>
            </w:tcBorders>
            <w:shd w:val="clear" w:color="auto"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资金分配合理性</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rPr>
                <w:rFonts w:hint="eastAsia"/>
              </w:rPr>
              <w:t>3</w:t>
            </w:r>
          </w:p>
        </w:tc>
        <w:tc>
          <w:tcPr>
            <w:tcW w:w="1141" w:type="dxa"/>
            <w:tcBorders>
              <w:tl2br w:val="nil"/>
              <w:tr2bl w:val="nil"/>
            </w:tcBorders>
            <w:shd w:val="clear" w:color="auto"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410" w:type="dxa"/>
            <w:vMerge w:val="restart"/>
            <w:tcBorders>
              <w:tl2br w:val="nil"/>
              <w:tr2bl w:val="nil"/>
            </w:tcBorders>
            <w:shd w:val="clear" w:color="auto" w:fill="FFFFFF"/>
            <w:vAlign w:val="center"/>
          </w:tcPr>
          <w:p>
            <w:pPr>
              <w:spacing w:line="240" w:lineRule="auto"/>
            </w:pPr>
            <w:r>
              <w:rPr>
                <w:rFonts w:hint="eastAsia"/>
              </w:rPr>
              <w:t>过程</w:t>
            </w:r>
          </w:p>
        </w:tc>
        <w:tc>
          <w:tcPr>
            <w:tcW w:w="1500" w:type="dxa"/>
            <w:vMerge w:val="restart"/>
            <w:tcBorders>
              <w:tl2br w:val="nil"/>
              <w:tr2bl w:val="nil"/>
            </w:tcBorders>
            <w:shd w:val="clear" w:color="auto" w:fill="FFFFFF"/>
            <w:vAlign w:val="center"/>
          </w:tcPr>
          <w:p>
            <w:pPr>
              <w:spacing w:line="240" w:lineRule="auto"/>
            </w:pPr>
            <w:r>
              <w:rPr>
                <w:rFonts w:hint="eastAsia"/>
              </w:rPr>
              <w:t>资金管理</w:t>
            </w:r>
          </w:p>
        </w:tc>
        <w:tc>
          <w:tcPr>
            <w:tcW w:w="3392" w:type="dxa"/>
            <w:tcBorders>
              <w:tl2br w:val="nil"/>
              <w:tr2bl w:val="nil"/>
            </w:tcBorders>
            <w:shd w:val="clear" w:color="auto" w:fill="FFFFFF"/>
            <w:vAlign w:val="center"/>
          </w:tcPr>
          <w:p>
            <w:pPr>
              <w:spacing w:line="240" w:lineRule="auto"/>
            </w:pPr>
            <w:r>
              <w:rPr>
                <w:rFonts w:hint="eastAsia"/>
              </w:rPr>
              <w:t>资金到位率</w:t>
            </w:r>
          </w:p>
        </w:tc>
        <w:tc>
          <w:tcPr>
            <w:tcW w:w="823" w:type="dxa"/>
            <w:tcBorders>
              <w:tl2br w:val="nil"/>
              <w:tr2bl w:val="nil"/>
            </w:tcBorders>
            <w:shd w:val="clear" w:color="000000" w:fill="FFFFFF"/>
            <w:vAlign w:val="center"/>
          </w:tcPr>
          <w:p>
            <w:pPr>
              <w:spacing w:line="240" w:lineRule="auto"/>
            </w:pPr>
            <w:r>
              <w:rPr>
                <w:rFonts w:hint="eastAsia"/>
              </w:rPr>
              <w:t>5</w:t>
            </w:r>
          </w:p>
        </w:tc>
        <w:tc>
          <w:tcPr>
            <w:tcW w:w="898" w:type="dxa"/>
            <w:tcBorders>
              <w:tl2br w:val="nil"/>
              <w:tr2bl w:val="nil"/>
            </w:tcBorders>
            <w:shd w:val="clear" w:color="000000" w:fill="FFFFFF"/>
            <w:vAlign w:val="center"/>
          </w:tcPr>
          <w:p>
            <w:pPr>
              <w:spacing w:line="240" w:lineRule="auto"/>
            </w:pPr>
            <w:r>
              <w:rPr>
                <w:rFonts w:hint="eastAsia"/>
              </w:rPr>
              <w:t>5</w:t>
            </w:r>
          </w:p>
        </w:tc>
        <w:tc>
          <w:tcPr>
            <w:tcW w:w="1141" w:type="dxa"/>
            <w:tcBorders>
              <w:tl2br w:val="nil"/>
              <w:tr2bl w:val="nil"/>
            </w:tcBorders>
            <w:shd w:val="clear" w:color="000000"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预算执行率</w:t>
            </w:r>
          </w:p>
        </w:tc>
        <w:tc>
          <w:tcPr>
            <w:tcW w:w="823" w:type="dxa"/>
            <w:tcBorders>
              <w:tl2br w:val="nil"/>
              <w:tr2bl w:val="nil"/>
            </w:tcBorders>
            <w:shd w:val="clear" w:color="auto" w:fill="FFFFFF"/>
            <w:vAlign w:val="center"/>
          </w:tcPr>
          <w:p>
            <w:pPr>
              <w:spacing w:line="240" w:lineRule="auto"/>
            </w:pPr>
            <w:r>
              <w:rPr>
                <w:rFonts w:hint="eastAsia"/>
              </w:rPr>
              <w:t>5</w:t>
            </w:r>
          </w:p>
        </w:tc>
        <w:tc>
          <w:tcPr>
            <w:tcW w:w="898" w:type="dxa"/>
            <w:tcBorders>
              <w:tl2br w:val="nil"/>
              <w:tr2bl w:val="nil"/>
            </w:tcBorders>
            <w:shd w:val="clear" w:color="auto" w:fill="FFFFFF"/>
            <w:vAlign w:val="center"/>
          </w:tcPr>
          <w:p>
            <w:pPr>
              <w:spacing w:line="240" w:lineRule="auto"/>
            </w:pPr>
            <w:r>
              <w:t>2.7</w:t>
            </w:r>
          </w:p>
        </w:tc>
        <w:tc>
          <w:tcPr>
            <w:tcW w:w="1141" w:type="dxa"/>
            <w:tcBorders>
              <w:tl2br w:val="nil"/>
              <w:tr2bl w:val="nil"/>
            </w:tcBorders>
            <w:shd w:val="clear" w:color="auto" w:fill="FFFFFF"/>
            <w:vAlign w:val="center"/>
          </w:tcPr>
          <w:p>
            <w:pPr>
              <w:spacing w:line="240" w:lineRule="auto"/>
            </w:pPr>
            <w:r>
              <w:t>54</w:t>
            </w:r>
            <w:r>
              <w:rPr>
                <w:rFonts w:hint="eastAsia"/>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资金使用合规性</w:t>
            </w:r>
          </w:p>
        </w:tc>
        <w:tc>
          <w:tcPr>
            <w:tcW w:w="823" w:type="dxa"/>
            <w:tcBorders>
              <w:tl2br w:val="nil"/>
              <w:tr2bl w:val="nil"/>
            </w:tcBorders>
            <w:shd w:val="clear" w:color="000000" w:fill="FFFFFF"/>
            <w:vAlign w:val="center"/>
          </w:tcPr>
          <w:p>
            <w:pPr>
              <w:spacing w:line="240" w:lineRule="auto"/>
            </w:pPr>
            <w:r>
              <w:rPr>
                <w:rFonts w:hint="eastAsia"/>
              </w:rPr>
              <w:t>3</w:t>
            </w:r>
          </w:p>
        </w:tc>
        <w:tc>
          <w:tcPr>
            <w:tcW w:w="898" w:type="dxa"/>
            <w:tcBorders>
              <w:tl2br w:val="nil"/>
              <w:tr2bl w:val="nil"/>
            </w:tcBorders>
            <w:shd w:val="clear" w:color="000000" w:fill="FFFFFF"/>
            <w:vAlign w:val="center"/>
          </w:tcPr>
          <w:p>
            <w:pPr>
              <w:spacing w:line="240" w:lineRule="auto"/>
            </w:pPr>
            <w:r>
              <w:rPr>
                <w:rFonts w:hint="eastAsia"/>
              </w:rPr>
              <w:t>3</w:t>
            </w:r>
          </w:p>
        </w:tc>
        <w:tc>
          <w:tcPr>
            <w:tcW w:w="1141" w:type="dxa"/>
            <w:tcBorders>
              <w:tl2br w:val="nil"/>
              <w:tr2bl w:val="nil"/>
            </w:tcBorders>
            <w:shd w:val="clear" w:color="000000"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restart"/>
            <w:tcBorders>
              <w:tl2br w:val="nil"/>
              <w:tr2bl w:val="nil"/>
            </w:tcBorders>
            <w:shd w:val="clear" w:color="auto" w:fill="FFFFFF"/>
            <w:vAlign w:val="center"/>
          </w:tcPr>
          <w:p>
            <w:pPr>
              <w:spacing w:line="240" w:lineRule="auto"/>
            </w:pPr>
            <w:r>
              <w:rPr>
                <w:rFonts w:hint="eastAsia"/>
              </w:rPr>
              <w:t>组织实施</w:t>
            </w:r>
          </w:p>
        </w:tc>
        <w:tc>
          <w:tcPr>
            <w:tcW w:w="3392" w:type="dxa"/>
            <w:tcBorders>
              <w:tl2br w:val="nil"/>
              <w:tr2bl w:val="nil"/>
            </w:tcBorders>
            <w:shd w:val="clear" w:color="auto" w:fill="FFFFFF"/>
            <w:vAlign w:val="center"/>
          </w:tcPr>
          <w:p>
            <w:pPr>
              <w:spacing w:line="240" w:lineRule="auto"/>
            </w:pPr>
            <w:r>
              <w:rPr>
                <w:rFonts w:hint="eastAsia"/>
              </w:rPr>
              <w:t>管理制度健全性</w:t>
            </w:r>
          </w:p>
        </w:tc>
        <w:tc>
          <w:tcPr>
            <w:tcW w:w="823" w:type="dxa"/>
            <w:tcBorders>
              <w:tl2br w:val="nil"/>
              <w:tr2bl w:val="nil"/>
            </w:tcBorders>
            <w:shd w:val="clear" w:color="000000" w:fill="FFFFFF"/>
            <w:vAlign w:val="center"/>
          </w:tcPr>
          <w:p>
            <w:pPr>
              <w:spacing w:line="240" w:lineRule="auto"/>
            </w:pPr>
            <w:r>
              <w:rPr>
                <w:rFonts w:hint="eastAsia"/>
              </w:rPr>
              <w:t>3</w:t>
            </w:r>
          </w:p>
        </w:tc>
        <w:tc>
          <w:tcPr>
            <w:tcW w:w="898" w:type="dxa"/>
            <w:tcBorders>
              <w:tl2br w:val="nil"/>
              <w:tr2bl w:val="nil"/>
            </w:tcBorders>
            <w:shd w:val="clear" w:color="000000" w:fill="FFFFFF"/>
            <w:vAlign w:val="center"/>
          </w:tcPr>
          <w:p>
            <w:pPr>
              <w:spacing w:line="240" w:lineRule="auto"/>
            </w:pPr>
            <w:r>
              <w:rPr>
                <w:rFonts w:hint="eastAsia"/>
              </w:rPr>
              <w:t>3</w:t>
            </w:r>
          </w:p>
        </w:tc>
        <w:tc>
          <w:tcPr>
            <w:tcW w:w="1141" w:type="dxa"/>
            <w:tcBorders>
              <w:tl2br w:val="nil"/>
              <w:tr2bl w:val="nil"/>
            </w:tcBorders>
            <w:shd w:val="clear" w:color="000000"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制度执行有效性</w:t>
            </w:r>
          </w:p>
        </w:tc>
        <w:tc>
          <w:tcPr>
            <w:tcW w:w="823" w:type="dxa"/>
            <w:tcBorders>
              <w:tl2br w:val="nil"/>
              <w:tr2bl w:val="nil"/>
            </w:tcBorders>
            <w:shd w:val="clear" w:color="000000" w:fill="FFFFFF"/>
            <w:vAlign w:val="center"/>
          </w:tcPr>
          <w:p>
            <w:pPr>
              <w:spacing w:line="240" w:lineRule="auto"/>
            </w:pPr>
            <w:r>
              <w:rPr>
                <w:rFonts w:hint="eastAsia"/>
              </w:rPr>
              <w:t>4</w:t>
            </w:r>
          </w:p>
        </w:tc>
        <w:tc>
          <w:tcPr>
            <w:tcW w:w="898" w:type="dxa"/>
            <w:tcBorders>
              <w:tl2br w:val="nil"/>
              <w:tr2bl w:val="nil"/>
            </w:tcBorders>
            <w:shd w:val="clear" w:color="000000" w:fill="FFFFFF"/>
            <w:vAlign w:val="center"/>
          </w:tcPr>
          <w:p>
            <w:pPr>
              <w:spacing w:line="240" w:lineRule="auto"/>
            </w:pPr>
            <w:r>
              <w:rPr>
                <w:rFonts w:hint="eastAsia"/>
              </w:rPr>
              <w:t>4</w:t>
            </w:r>
          </w:p>
        </w:tc>
        <w:tc>
          <w:tcPr>
            <w:tcW w:w="1141" w:type="dxa"/>
            <w:tcBorders>
              <w:tl2br w:val="nil"/>
              <w:tr2bl w:val="nil"/>
            </w:tcBorders>
            <w:shd w:val="clear" w:color="000000"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 w:hRule="atLeast"/>
          <w:jc w:val="center"/>
        </w:trPr>
        <w:tc>
          <w:tcPr>
            <w:tcW w:w="1410" w:type="dxa"/>
            <w:vMerge w:val="restart"/>
            <w:tcBorders>
              <w:tl2br w:val="nil"/>
              <w:tr2bl w:val="nil"/>
            </w:tcBorders>
            <w:shd w:val="clear" w:color="auto" w:fill="FFFFFF"/>
            <w:vAlign w:val="center"/>
          </w:tcPr>
          <w:p>
            <w:pPr>
              <w:spacing w:line="240" w:lineRule="auto"/>
            </w:pPr>
            <w:r>
              <w:rPr>
                <w:rFonts w:hint="eastAsia"/>
              </w:rPr>
              <w:t>产出</w:t>
            </w:r>
          </w:p>
        </w:tc>
        <w:tc>
          <w:tcPr>
            <w:tcW w:w="1500" w:type="dxa"/>
            <w:vMerge w:val="restart"/>
            <w:tcBorders>
              <w:tl2br w:val="nil"/>
              <w:tr2bl w:val="nil"/>
            </w:tcBorders>
            <w:shd w:val="clear" w:color="auto" w:fill="FFFFFF"/>
            <w:vAlign w:val="center"/>
          </w:tcPr>
          <w:p>
            <w:pPr>
              <w:spacing w:line="240" w:lineRule="auto"/>
            </w:pPr>
            <w:r>
              <w:rPr>
                <w:rFonts w:hint="eastAsia"/>
              </w:rPr>
              <w:t>产出数量</w:t>
            </w:r>
          </w:p>
        </w:tc>
        <w:tc>
          <w:tcPr>
            <w:tcW w:w="3392" w:type="dxa"/>
            <w:tcBorders>
              <w:tl2br w:val="nil"/>
              <w:tr2bl w:val="nil"/>
            </w:tcBorders>
            <w:shd w:val="clear" w:color="auto" w:fill="FFFFFF"/>
          </w:tcPr>
          <w:p>
            <w:pPr>
              <w:spacing w:line="240" w:lineRule="auto"/>
            </w:pPr>
            <w:r>
              <w:rPr>
                <w:rFonts w:hint="eastAsia"/>
              </w:rPr>
              <w:t>购置教室设备种类</w:t>
            </w:r>
          </w:p>
        </w:tc>
        <w:tc>
          <w:tcPr>
            <w:tcW w:w="823" w:type="dxa"/>
            <w:tcBorders>
              <w:tl2br w:val="nil"/>
              <w:tr2bl w:val="nil"/>
            </w:tcBorders>
            <w:shd w:val="clear" w:color="000000" w:fill="FFFFFF"/>
            <w:vAlign w:val="center"/>
          </w:tcPr>
          <w:p>
            <w:pPr>
              <w:spacing w:line="240" w:lineRule="auto"/>
            </w:pPr>
            <w:r>
              <w:rPr>
                <w:rFonts w:hint="eastAsia"/>
              </w:rPr>
              <w:t>4</w:t>
            </w:r>
          </w:p>
        </w:tc>
        <w:tc>
          <w:tcPr>
            <w:tcW w:w="898" w:type="dxa"/>
            <w:tcBorders>
              <w:tl2br w:val="nil"/>
              <w:tr2bl w:val="nil"/>
            </w:tcBorders>
            <w:shd w:val="clear" w:color="000000" w:fill="FFFFFF"/>
            <w:vAlign w:val="center"/>
          </w:tcPr>
          <w:p>
            <w:pPr>
              <w:spacing w:line="240" w:lineRule="auto"/>
            </w:pPr>
            <w:r>
              <w:rPr>
                <w:rFonts w:hint="eastAsia"/>
              </w:rPr>
              <w:t>4</w:t>
            </w:r>
          </w:p>
        </w:tc>
        <w:tc>
          <w:tcPr>
            <w:tcW w:w="1141" w:type="dxa"/>
            <w:tcBorders>
              <w:tl2br w:val="nil"/>
              <w:tr2bl w:val="nil"/>
            </w:tcBorders>
            <w:shd w:val="clear" w:color="000000"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tcPr>
          <w:p>
            <w:pPr>
              <w:spacing w:line="240" w:lineRule="auto"/>
            </w:pPr>
            <w:r>
              <w:rPr>
                <w:rFonts w:hint="eastAsia"/>
              </w:rPr>
              <w:t>购置生活设备种类</w:t>
            </w:r>
          </w:p>
        </w:tc>
        <w:tc>
          <w:tcPr>
            <w:tcW w:w="823" w:type="dxa"/>
            <w:tcBorders>
              <w:tl2br w:val="nil"/>
              <w:tr2bl w:val="nil"/>
            </w:tcBorders>
            <w:shd w:val="clear" w:color="000000" w:fill="FFFFFF"/>
            <w:vAlign w:val="center"/>
          </w:tcPr>
          <w:p>
            <w:pPr>
              <w:spacing w:line="240" w:lineRule="auto"/>
            </w:pPr>
            <w:r>
              <w:rPr>
                <w:rFonts w:hint="eastAsia"/>
              </w:rPr>
              <w:t>4</w:t>
            </w:r>
          </w:p>
        </w:tc>
        <w:tc>
          <w:tcPr>
            <w:tcW w:w="898" w:type="dxa"/>
            <w:tcBorders>
              <w:tl2br w:val="nil"/>
              <w:tr2bl w:val="nil"/>
            </w:tcBorders>
            <w:shd w:val="clear" w:color="000000" w:fill="FFFFFF"/>
            <w:vAlign w:val="center"/>
          </w:tcPr>
          <w:p>
            <w:pPr>
              <w:spacing w:line="240" w:lineRule="auto"/>
            </w:pPr>
            <w:r>
              <w:rPr>
                <w:rFonts w:hint="eastAsia"/>
              </w:rPr>
              <w:t>4</w:t>
            </w:r>
          </w:p>
        </w:tc>
        <w:tc>
          <w:tcPr>
            <w:tcW w:w="1141" w:type="dxa"/>
            <w:tcBorders>
              <w:tl2br w:val="nil"/>
              <w:tr2bl w:val="nil"/>
            </w:tcBorders>
            <w:shd w:val="clear" w:color="000000"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3"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tcPr>
          <w:p>
            <w:pPr>
              <w:spacing w:line="240" w:lineRule="auto"/>
            </w:pPr>
            <w:r>
              <w:rPr>
                <w:rFonts w:hint="eastAsia"/>
              </w:rPr>
              <w:t>受益人数</w:t>
            </w:r>
          </w:p>
        </w:tc>
        <w:tc>
          <w:tcPr>
            <w:tcW w:w="823" w:type="dxa"/>
            <w:tcBorders>
              <w:tl2br w:val="nil"/>
              <w:tr2bl w:val="nil"/>
            </w:tcBorders>
            <w:shd w:val="clear" w:color="000000" w:fill="FFFFFF"/>
            <w:vAlign w:val="center"/>
          </w:tcPr>
          <w:p>
            <w:pPr>
              <w:spacing w:line="240" w:lineRule="auto"/>
            </w:pPr>
            <w:r>
              <w:rPr>
                <w:rFonts w:hint="eastAsia"/>
              </w:rPr>
              <w:t>3</w:t>
            </w:r>
          </w:p>
        </w:tc>
        <w:tc>
          <w:tcPr>
            <w:tcW w:w="898" w:type="dxa"/>
            <w:tcBorders>
              <w:tl2br w:val="nil"/>
              <w:tr2bl w:val="nil"/>
            </w:tcBorders>
            <w:shd w:val="clear" w:color="000000" w:fill="FFFFFF"/>
            <w:vAlign w:val="center"/>
          </w:tcPr>
          <w:p>
            <w:pPr>
              <w:spacing w:line="240" w:lineRule="auto"/>
            </w:pPr>
            <w:r>
              <w:rPr>
                <w:rFonts w:hint="eastAsia"/>
              </w:rPr>
              <w:t>3</w:t>
            </w:r>
          </w:p>
        </w:tc>
        <w:tc>
          <w:tcPr>
            <w:tcW w:w="1141" w:type="dxa"/>
            <w:tcBorders>
              <w:tl2br w:val="nil"/>
              <w:tr2bl w:val="nil"/>
            </w:tcBorders>
            <w:shd w:val="clear" w:color="000000"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15"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tcBorders>
              <w:tl2br w:val="nil"/>
              <w:tr2bl w:val="nil"/>
            </w:tcBorders>
            <w:shd w:val="clear" w:color="auto" w:fill="FFFFFF"/>
            <w:vAlign w:val="center"/>
          </w:tcPr>
          <w:p>
            <w:pPr>
              <w:spacing w:line="240" w:lineRule="auto"/>
            </w:pPr>
            <w:r>
              <w:rPr>
                <w:rFonts w:hint="eastAsia"/>
              </w:rPr>
              <w:t>产出质量</w:t>
            </w:r>
          </w:p>
        </w:tc>
        <w:tc>
          <w:tcPr>
            <w:tcW w:w="3392" w:type="dxa"/>
            <w:tcBorders>
              <w:tl2br w:val="nil"/>
              <w:tr2bl w:val="nil"/>
            </w:tcBorders>
            <w:shd w:val="clear" w:color="auto" w:fill="FFFFFF"/>
            <w:vAlign w:val="center"/>
          </w:tcPr>
          <w:p>
            <w:pPr>
              <w:spacing w:line="240" w:lineRule="auto"/>
            </w:pPr>
            <w:r>
              <w:rPr>
                <w:rFonts w:hint="eastAsia"/>
              </w:rPr>
              <w:t>设备、设施验收合格率</w:t>
            </w:r>
          </w:p>
        </w:tc>
        <w:tc>
          <w:tcPr>
            <w:tcW w:w="823" w:type="dxa"/>
            <w:tcBorders>
              <w:tl2br w:val="nil"/>
              <w:tr2bl w:val="nil"/>
            </w:tcBorders>
            <w:shd w:val="clear" w:color="000000" w:fill="FFFFFF"/>
            <w:vAlign w:val="center"/>
          </w:tcPr>
          <w:p>
            <w:pPr>
              <w:spacing w:line="240" w:lineRule="auto"/>
            </w:pPr>
          </w:p>
          <w:p>
            <w:pPr>
              <w:spacing w:line="240" w:lineRule="auto"/>
            </w:pPr>
            <w:r>
              <w:rPr>
                <w:rFonts w:hint="eastAsia"/>
              </w:rPr>
              <w:t>3</w:t>
            </w:r>
          </w:p>
          <w:p>
            <w:pPr>
              <w:spacing w:line="240" w:lineRule="auto"/>
            </w:pPr>
          </w:p>
        </w:tc>
        <w:tc>
          <w:tcPr>
            <w:tcW w:w="898" w:type="dxa"/>
            <w:tcBorders>
              <w:tl2br w:val="nil"/>
              <w:tr2bl w:val="nil"/>
            </w:tcBorders>
            <w:shd w:val="clear" w:color="000000" w:fill="FFFFFF"/>
            <w:vAlign w:val="center"/>
          </w:tcPr>
          <w:p>
            <w:pPr>
              <w:spacing w:line="240" w:lineRule="auto"/>
            </w:pPr>
            <w:r>
              <w:rPr>
                <w:rFonts w:hint="eastAsia"/>
              </w:rPr>
              <w:t>3</w:t>
            </w:r>
          </w:p>
        </w:tc>
        <w:tc>
          <w:tcPr>
            <w:tcW w:w="1141" w:type="dxa"/>
            <w:tcBorders>
              <w:tl2br w:val="nil"/>
              <w:tr2bl w:val="nil"/>
            </w:tcBorders>
            <w:shd w:val="clear" w:color="000000"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84"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tcBorders>
              <w:tl2br w:val="nil"/>
              <w:tr2bl w:val="nil"/>
            </w:tcBorders>
            <w:shd w:val="clear" w:color="auto" w:fill="FFFFFF"/>
            <w:vAlign w:val="center"/>
          </w:tcPr>
          <w:p>
            <w:pPr>
              <w:spacing w:line="240" w:lineRule="auto"/>
            </w:pPr>
            <w:r>
              <w:rPr>
                <w:rFonts w:hint="eastAsia"/>
              </w:rPr>
              <w:t>产出时效</w:t>
            </w:r>
          </w:p>
        </w:tc>
        <w:tc>
          <w:tcPr>
            <w:tcW w:w="3392" w:type="dxa"/>
            <w:tcBorders>
              <w:tl2br w:val="nil"/>
              <w:tr2bl w:val="nil"/>
            </w:tcBorders>
            <w:shd w:val="clear" w:color="auto" w:fill="FFFFFF"/>
            <w:vAlign w:val="center"/>
          </w:tcPr>
          <w:p>
            <w:pPr>
              <w:spacing w:line="240" w:lineRule="auto"/>
            </w:pPr>
            <w:r>
              <w:rPr>
                <w:rFonts w:hint="eastAsia"/>
              </w:rPr>
              <w:t>设备验收使用及时率</w:t>
            </w:r>
          </w:p>
        </w:tc>
        <w:tc>
          <w:tcPr>
            <w:tcW w:w="823" w:type="dxa"/>
            <w:tcBorders>
              <w:tl2br w:val="nil"/>
              <w:tr2bl w:val="nil"/>
            </w:tcBorders>
            <w:shd w:val="clear" w:color="000000" w:fill="FFFFFF"/>
            <w:vAlign w:val="center"/>
          </w:tcPr>
          <w:p>
            <w:pPr>
              <w:spacing w:line="240" w:lineRule="auto"/>
            </w:pPr>
            <w:r>
              <w:rPr>
                <w:rFonts w:hint="eastAsia"/>
              </w:rPr>
              <w:t>4</w:t>
            </w:r>
          </w:p>
        </w:tc>
        <w:tc>
          <w:tcPr>
            <w:tcW w:w="898" w:type="dxa"/>
            <w:tcBorders>
              <w:tl2br w:val="nil"/>
              <w:tr2bl w:val="nil"/>
            </w:tcBorders>
            <w:shd w:val="clear" w:color="000000" w:fill="FFFFFF"/>
            <w:vAlign w:val="center"/>
          </w:tcPr>
          <w:p>
            <w:pPr>
              <w:spacing w:line="240" w:lineRule="auto"/>
            </w:pPr>
            <w:r>
              <w:rPr>
                <w:rFonts w:hint="eastAsia"/>
              </w:rPr>
              <w:t>4</w:t>
            </w:r>
          </w:p>
        </w:tc>
        <w:tc>
          <w:tcPr>
            <w:tcW w:w="1141" w:type="dxa"/>
            <w:tcBorders>
              <w:tl2br w:val="nil"/>
              <w:tr2bl w:val="nil"/>
            </w:tcBorders>
            <w:shd w:val="clear" w:color="000000"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2" w:hRule="atLeast"/>
          <w:jc w:val="center"/>
        </w:trPr>
        <w:tc>
          <w:tcPr>
            <w:tcW w:w="1410" w:type="dxa"/>
            <w:vMerge w:val="restart"/>
            <w:tcBorders>
              <w:tl2br w:val="nil"/>
              <w:tr2bl w:val="nil"/>
            </w:tcBorders>
            <w:shd w:val="clear" w:color="auto" w:fill="FFFFFF"/>
            <w:vAlign w:val="center"/>
          </w:tcPr>
          <w:p>
            <w:pPr>
              <w:spacing w:line="240" w:lineRule="auto"/>
            </w:pPr>
            <w:r>
              <w:rPr>
                <w:rFonts w:hint="eastAsia"/>
              </w:rPr>
              <w:tab/>
            </w:r>
            <w:r>
              <w:rPr>
                <w:rFonts w:hint="eastAsia"/>
              </w:rPr>
              <w:t>成本</w:t>
            </w:r>
          </w:p>
        </w:tc>
        <w:tc>
          <w:tcPr>
            <w:tcW w:w="1500" w:type="dxa"/>
            <w:vMerge w:val="restart"/>
            <w:tcBorders>
              <w:tl2br w:val="nil"/>
              <w:tr2bl w:val="nil"/>
            </w:tcBorders>
            <w:shd w:val="clear" w:color="auto" w:fill="FFFFFF"/>
            <w:vAlign w:val="center"/>
          </w:tcPr>
          <w:p>
            <w:pPr>
              <w:spacing w:line="240" w:lineRule="auto"/>
            </w:pPr>
            <w:r>
              <w:rPr>
                <w:rFonts w:hint="eastAsia"/>
              </w:rPr>
              <w:t>经济成本</w:t>
            </w:r>
          </w:p>
        </w:tc>
        <w:tc>
          <w:tcPr>
            <w:tcW w:w="3392" w:type="dxa"/>
            <w:tcBorders>
              <w:tl2br w:val="nil"/>
              <w:tr2bl w:val="nil"/>
            </w:tcBorders>
            <w:shd w:val="clear" w:color="auto" w:fill="FFFFFF"/>
            <w:vAlign w:val="center"/>
          </w:tcPr>
          <w:p>
            <w:pPr>
              <w:spacing w:line="240" w:lineRule="auto"/>
            </w:pPr>
            <w:r>
              <w:rPr>
                <w:rFonts w:hint="eastAsia"/>
              </w:rPr>
              <w:t>购置教室设备成本</w:t>
            </w:r>
          </w:p>
        </w:tc>
        <w:tc>
          <w:tcPr>
            <w:tcW w:w="823" w:type="dxa"/>
            <w:tcBorders>
              <w:tl2br w:val="nil"/>
              <w:tr2bl w:val="nil"/>
            </w:tcBorders>
            <w:shd w:val="clear" w:color="auto" w:fill="FFFFFF"/>
            <w:vAlign w:val="center"/>
          </w:tcPr>
          <w:p>
            <w:pPr>
              <w:spacing w:line="240" w:lineRule="auto"/>
            </w:pPr>
            <w:r>
              <w:rPr>
                <w:rFonts w:hint="eastAsia"/>
              </w:rPr>
              <w:t>4</w:t>
            </w:r>
          </w:p>
        </w:tc>
        <w:tc>
          <w:tcPr>
            <w:tcW w:w="898" w:type="dxa"/>
            <w:tcBorders>
              <w:tl2br w:val="nil"/>
              <w:tr2bl w:val="nil"/>
            </w:tcBorders>
            <w:shd w:val="clear" w:color="auto" w:fill="FFFFFF"/>
            <w:vAlign w:val="center"/>
          </w:tcPr>
          <w:p>
            <w:pPr>
              <w:spacing w:line="240" w:lineRule="auto"/>
            </w:pPr>
            <w:r>
              <w:rPr>
                <w:rFonts w:hint="eastAsia"/>
              </w:rPr>
              <w:t>4</w:t>
            </w:r>
          </w:p>
        </w:tc>
        <w:tc>
          <w:tcPr>
            <w:tcW w:w="1141" w:type="dxa"/>
            <w:tcBorders>
              <w:tl2br w:val="nil"/>
              <w:tr2bl w:val="nil"/>
            </w:tcBorders>
            <w:shd w:val="clear" w:color="auto"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购买餐厅设备成本</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rPr>
                <w:rFonts w:hint="eastAsia"/>
              </w:rPr>
              <w:t>3</w:t>
            </w:r>
          </w:p>
        </w:tc>
        <w:tc>
          <w:tcPr>
            <w:tcW w:w="1141" w:type="dxa"/>
            <w:tcBorders>
              <w:tl2br w:val="nil"/>
              <w:tr2bl w:val="nil"/>
            </w:tcBorders>
            <w:shd w:val="clear" w:color="auto" w:fill="FFFFFF"/>
            <w:vAlign w:val="center"/>
          </w:tcPr>
          <w:p>
            <w:pPr>
              <w:spacing w:line="240" w:lineRule="auto"/>
              <w:rPr>
                <w:rFonts w:ascii="宋体" w:eastAsia="宋体"/>
                <w:color w:val="000000"/>
                <w:sz w:val="22"/>
              </w:rPr>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直播教室成本</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rPr>
                <w:rFonts w:hint="eastAsia"/>
              </w:rPr>
              <w:t>3</w:t>
            </w:r>
          </w:p>
        </w:tc>
        <w:tc>
          <w:tcPr>
            <w:tcW w:w="1141" w:type="dxa"/>
            <w:tcBorders>
              <w:tl2br w:val="nil"/>
              <w:tr2bl w:val="nil"/>
            </w:tcBorders>
            <w:shd w:val="clear" w:color="auto" w:fill="FFFFFF"/>
            <w:vAlign w:val="center"/>
          </w:tcPr>
          <w:p>
            <w:pPr>
              <w:spacing w:line="240" w:lineRule="auto"/>
              <w:rPr>
                <w:rFonts w:ascii="宋体" w:eastAsia="宋体"/>
                <w:color w:val="000000"/>
                <w:sz w:val="22"/>
              </w:rPr>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购买实验室设备成本</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rPr>
                <w:rFonts w:hint="eastAsia"/>
              </w:rPr>
              <w:t>3</w:t>
            </w:r>
          </w:p>
        </w:tc>
        <w:tc>
          <w:tcPr>
            <w:tcW w:w="1141" w:type="dxa"/>
            <w:tcBorders>
              <w:tl2br w:val="nil"/>
              <w:tr2bl w:val="nil"/>
            </w:tcBorders>
            <w:shd w:val="clear" w:color="auto" w:fill="FFFFFF"/>
            <w:vAlign w:val="center"/>
          </w:tcPr>
          <w:p>
            <w:pPr>
              <w:spacing w:line="240" w:lineRule="auto"/>
              <w:rPr>
                <w:rFonts w:ascii="宋体" w:eastAsia="宋体"/>
                <w:color w:val="000000"/>
                <w:sz w:val="22"/>
              </w:rPr>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购买LED设备成本</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t>3</w:t>
            </w:r>
          </w:p>
        </w:tc>
        <w:tc>
          <w:tcPr>
            <w:tcW w:w="1141" w:type="dxa"/>
            <w:tcBorders>
              <w:tl2br w:val="nil"/>
              <w:tr2bl w:val="nil"/>
            </w:tcBorders>
            <w:shd w:val="clear" w:color="auto" w:fill="FFFFFF"/>
            <w:vAlign w:val="center"/>
          </w:tcPr>
          <w:p>
            <w:pPr>
              <w:spacing w:line="240" w:lineRule="auto"/>
            </w:pPr>
            <w: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购置家具成本</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t>3</w:t>
            </w:r>
          </w:p>
        </w:tc>
        <w:tc>
          <w:tcPr>
            <w:tcW w:w="1141" w:type="dxa"/>
            <w:tcBorders>
              <w:tl2br w:val="nil"/>
              <w:tr2bl w:val="nil"/>
            </w:tcBorders>
            <w:shd w:val="clear" w:color="auto" w:fill="FFFFFF"/>
            <w:vAlign w:val="center"/>
          </w:tcPr>
          <w:p>
            <w:pPr>
              <w:spacing w:line="240" w:lineRule="auto"/>
              <w:rPr>
                <w:sz w:val="24"/>
                <w:szCs w:val="24"/>
              </w:rPr>
            </w:pPr>
            <w: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校园文化建设成本</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rPr>
                <w:rFonts w:hint="eastAsia"/>
              </w:rPr>
              <w:t>3</w:t>
            </w:r>
          </w:p>
        </w:tc>
        <w:tc>
          <w:tcPr>
            <w:tcW w:w="1141" w:type="dxa"/>
            <w:tcBorders>
              <w:tl2br w:val="nil"/>
              <w:tr2bl w:val="nil"/>
            </w:tcBorders>
            <w:shd w:val="clear" w:color="auto" w:fill="FFFFFF"/>
            <w:vAlign w:val="center"/>
          </w:tcPr>
          <w:p>
            <w:pPr>
              <w:spacing w:line="240" w:lineRule="auto"/>
              <w:rPr>
                <w:rFonts w:ascii="宋体" w:eastAsia="宋体"/>
                <w:color w:val="000000"/>
                <w:sz w:val="22"/>
              </w:rPr>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购买洗衣房设备成本</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t>3</w:t>
            </w:r>
          </w:p>
        </w:tc>
        <w:tc>
          <w:tcPr>
            <w:tcW w:w="1141" w:type="dxa"/>
            <w:tcBorders>
              <w:tl2br w:val="nil"/>
              <w:tr2bl w:val="nil"/>
            </w:tcBorders>
            <w:shd w:val="clear" w:color="auto" w:fill="FFFFFF"/>
            <w:vAlign w:val="center"/>
          </w:tcPr>
          <w:p>
            <w:pPr>
              <w:spacing w:line="240" w:lineRule="auto"/>
            </w:pPr>
            <w: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金属看台成本</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t>3</w:t>
            </w:r>
          </w:p>
        </w:tc>
        <w:tc>
          <w:tcPr>
            <w:tcW w:w="1141" w:type="dxa"/>
            <w:tcBorders>
              <w:tl2br w:val="nil"/>
              <w:tr2bl w:val="nil"/>
            </w:tcBorders>
            <w:shd w:val="clear" w:color="auto" w:fill="FFFFFF"/>
            <w:vAlign w:val="center"/>
          </w:tcPr>
          <w:p>
            <w:pPr>
              <w:spacing w:line="240" w:lineRule="auto"/>
            </w:pPr>
            <w: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智慧校园建设成本</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t>3</w:t>
            </w:r>
          </w:p>
        </w:tc>
        <w:tc>
          <w:tcPr>
            <w:tcW w:w="1141" w:type="dxa"/>
            <w:tcBorders>
              <w:tl2br w:val="nil"/>
              <w:tr2bl w:val="nil"/>
            </w:tcBorders>
            <w:shd w:val="clear" w:color="auto" w:fill="FFFFFF"/>
            <w:vAlign w:val="center"/>
          </w:tcPr>
          <w:p>
            <w:pPr>
              <w:spacing w:line="240" w:lineRule="auto"/>
            </w:pPr>
            <w: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搬家服务成本</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t>3</w:t>
            </w:r>
          </w:p>
        </w:tc>
        <w:tc>
          <w:tcPr>
            <w:tcW w:w="1141" w:type="dxa"/>
            <w:tcBorders>
              <w:tl2br w:val="nil"/>
              <w:tr2bl w:val="nil"/>
            </w:tcBorders>
            <w:shd w:val="clear" w:color="auto" w:fill="FFFFFF"/>
            <w:vAlign w:val="center"/>
          </w:tcPr>
          <w:p>
            <w:pPr>
              <w:spacing w:line="240" w:lineRule="auto"/>
            </w:pPr>
            <w: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19" w:hRule="atLeast"/>
          <w:jc w:val="center"/>
        </w:trPr>
        <w:tc>
          <w:tcPr>
            <w:tcW w:w="1410" w:type="dxa"/>
            <w:tcBorders>
              <w:tl2br w:val="nil"/>
              <w:tr2bl w:val="nil"/>
            </w:tcBorders>
            <w:shd w:val="clear" w:color="auto" w:fill="FFFFFF"/>
            <w:vAlign w:val="center"/>
          </w:tcPr>
          <w:p>
            <w:pPr>
              <w:spacing w:line="240" w:lineRule="auto"/>
            </w:pPr>
            <w:r>
              <w:rPr>
                <w:rFonts w:hint="eastAsia"/>
              </w:rPr>
              <w:t>效益</w:t>
            </w:r>
          </w:p>
        </w:tc>
        <w:tc>
          <w:tcPr>
            <w:tcW w:w="1500" w:type="dxa"/>
            <w:tcBorders>
              <w:tl2br w:val="nil"/>
              <w:tr2bl w:val="nil"/>
            </w:tcBorders>
            <w:shd w:val="clear" w:color="auto" w:fill="FFFFFF"/>
            <w:vAlign w:val="center"/>
          </w:tcPr>
          <w:p>
            <w:pPr>
              <w:spacing w:line="240" w:lineRule="auto"/>
            </w:pPr>
            <w:r>
              <w:rPr>
                <w:rFonts w:hint="eastAsia"/>
              </w:rPr>
              <w:t>社会效益</w:t>
            </w:r>
          </w:p>
        </w:tc>
        <w:tc>
          <w:tcPr>
            <w:tcW w:w="3392" w:type="dxa"/>
            <w:tcBorders>
              <w:tl2br w:val="nil"/>
              <w:tr2bl w:val="nil"/>
            </w:tcBorders>
            <w:shd w:val="clear" w:color="auto" w:fill="FFFFFF"/>
            <w:vAlign w:val="center"/>
          </w:tcPr>
          <w:p>
            <w:pPr>
              <w:spacing w:line="240" w:lineRule="auto"/>
            </w:pPr>
            <w:r>
              <w:rPr>
                <w:rFonts w:hint="eastAsia"/>
              </w:rPr>
              <w:t>增强学校硬件设备，提升教育教学能力</w:t>
            </w:r>
          </w:p>
        </w:tc>
        <w:tc>
          <w:tcPr>
            <w:tcW w:w="823" w:type="dxa"/>
            <w:tcBorders>
              <w:tl2br w:val="nil"/>
              <w:tr2bl w:val="nil"/>
            </w:tcBorders>
            <w:shd w:val="clear" w:color="auto" w:fill="FFFFFF"/>
            <w:vAlign w:val="center"/>
          </w:tcPr>
          <w:p>
            <w:pPr>
              <w:spacing w:line="240" w:lineRule="auto"/>
            </w:pPr>
          </w:p>
          <w:p>
            <w:pPr>
              <w:spacing w:line="240" w:lineRule="auto"/>
            </w:pPr>
            <w:r>
              <w:rPr>
                <w:rFonts w:hint="eastAsia"/>
              </w:rPr>
              <w:t>4</w:t>
            </w:r>
          </w:p>
          <w:p>
            <w:pPr>
              <w:spacing w:line="240" w:lineRule="auto"/>
            </w:pPr>
          </w:p>
        </w:tc>
        <w:tc>
          <w:tcPr>
            <w:tcW w:w="898" w:type="dxa"/>
            <w:tcBorders>
              <w:tl2br w:val="nil"/>
              <w:tr2bl w:val="nil"/>
            </w:tcBorders>
            <w:shd w:val="clear" w:color="auto" w:fill="FFFFFF"/>
            <w:vAlign w:val="center"/>
          </w:tcPr>
          <w:p>
            <w:pPr>
              <w:spacing w:line="240" w:lineRule="auto"/>
            </w:pPr>
            <w:r>
              <w:rPr>
                <w:rFonts w:hint="eastAsia"/>
              </w:rPr>
              <w:t>4</w:t>
            </w:r>
          </w:p>
        </w:tc>
        <w:tc>
          <w:tcPr>
            <w:tcW w:w="1141" w:type="dxa"/>
            <w:tcBorders>
              <w:tl2br w:val="nil"/>
              <w:tr2bl w:val="nil"/>
            </w:tcBorders>
            <w:shd w:val="clear" w:color="auto"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28" w:hRule="atLeast"/>
          <w:jc w:val="center"/>
        </w:trPr>
        <w:tc>
          <w:tcPr>
            <w:tcW w:w="1410" w:type="dxa"/>
            <w:tcBorders>
              <w:tl2br w:val="nil"/>
              <w:tr2bl w:val="nil"/>
            </w:tcBorders>
            <w:shd w:val="clear" w:color="auto" w:fill="FFFFFF"/>
            <w:vAlign w:val="center"/>
          </w:tcPr>
          <w:p>
            <w:pPr>
              <w:spacing w:line="240" w:lineRule="auto"/>
              <w:rPr>
                <w:sz w:val="24"/>
                <w:szCs w:val="24"/>
              </w:rPr>
            </w:pPr>
            <w:r>
              <w:t>满意度指标完成情况分析</w:t>
            </w:r>
          </w:p>
        </w:tc>
        <w:tc>
          <w:tcPr>
            <w:tcW w:w="1500" w:type="dxa"/>
            <w:tcBorders>
              <w:tl2br w:val="nil"/>
              <w:tr2bl w:val="nil"/>
            </w:tcBorders>
            <w:shd w:val="clear" w:color="auto" w:fill="FFFFFF"/>
            <w:vAlign w:val="center"/>
          </w:tcPr>
          <w:p>
            <w:pPr>
              <w:spacing w:line="240" w:lineRule="auto"/>
              <w:rPr>
                <w:sz w:val="24"/>
                <w:szCs w:val="24"/>
              </w:rPr>
            </w:pPr>
            <w:r>
              <w:rPr>
                <w:rFonts w:hint="eastAsia"/>
              </w:rPr>
              <w:t>满意度指标</w:t>
            </w:r>
          </w:p>
        </w:tc>
        <w:tc>
          <w:tcPr>
            <w:tcW w:w="3392" w:type="dxa"/>
            <w:tcBorders>
              <w:tl2br w:val="nil"/>
              <w:tr2bl w:val="nil"/>
            </w:tcBorders>
            <w:shd w:val="clear" w:color="auto" w:fill="FFFFFF"/>
            <w:vAlign w:val="center"/>
          </w:tcPr>
          <w:p>
            <w:pPr>
              <w:spacing w:line="240" w:lineRule="auto"/>
              <w:rPr>
                <w:rFonts w:ascii="宋体" w:eastAsia="宋体"/>
                <w:color w:val="000000"/>
                <w:sz w:val="22"/>
              </w:rPr>
            </w:pPr>
            <w:r>
              <w:rPr>
                <w:rFonts w:hint="eastAsia"/>
              </w:rPr>
              <w:t>学生满意度</w:t>
            </w:r>
          </w:p>
        </w:tc>
        <w:tc>
          <w:tcPr>
            <w:tcW w:w="823" w:type="dxa"/>
            <w:tcBorders>
              <w:tl2br w:val="nil"/>
              <w:tr2bl w:val="nil"/>
            </w:tcBorders>
            <w:shd w:val="clear" w:color="000000" w:fill="FFFFFF"/>
            <w:vAlign w:val="center"/>
          </w:tcPr>
          <w:p>
            <w:pPr>
              <w:spacing w:line="240" w:lineRule="auto"/>
            </w:pPr>
            <w:r>
              <w:rPr>
                <w:rFonts w:hint="eastAsia"/>
              </w:rPr>
              <w:t>4</w:t>
            </w:r>
          </w:p>
        </w:tc>
        <w:tc>
          <w:tcPr>
            <w:tcW w:w="898" w:type="dxa"/>
            <w:tcBorders>
              <w:tl2br w:val="nil"/>
              <w:tr2bl w:val="nil"/>
            </w:tcBorders>
            <w:shd w:val="clear" w:color="000000" w:fill="FFFFFF"/>
            <w:vAlign w:val="center"/>
          </w:tcPr>
          <w:p>
            <w:pPr>
              <w:spacing w:line="240" w:lineRule="auto"/>
            </w:pPr>
            <w:r>
              <w:rPr>
                <w:rFonts w:hint="eastAsia"/>
              </w:rPr>
              <w:t>4</w:t>
            </w:r>
          </w:p>
        </w:tc>
        <w:tc>
          <w:tcPr>
            <w:tcW w:w="1141" w:type="dxa"/>
            <w:tcBorders>
              <w:tl2br w:val="nil"/>
              <w:tr2bl w:val="nil"/>
            </w:tcBorders>
            <w:shd w:val="clear" w:color="000000" w:fill="FFFFFF"/>
            <w:vAlign w:val="center"/>
          </w:tcPr>
          <w:p>
            <w:pPr>
              <w:spacing w:line="240" w:lineRule="auto"/>
            </w:pPr>
            <w:r>
              <w:rPr>
                <w:rFonts w:hint="eastAsia"/>
              </w:rPr>
              <w:t>100%</w:t>
            </w:r>
          </w:p>
        </w:tc>
      </w:tr>
    </w:tbl>
    <w:p>
      <w:pPr>
        <w:pStyle w:val="3"/>
        <w:rPr>
          <w:lang w:bidi="en-US"/>
        </w:rPr>
      </w:pPr>
      <w:bookmarkStart w:id="31" w:name="_Toc67911610"/>
      <w:bookmarkStart w:id="32" w:name="_Toc13821"/>
      <w:r>
        <w:rPr>
          <w:rFonts w:hint="eastAsia"/>
          <w:lang w:bidi="en-US"/>
        </w:rPr>
        <w:t>（二）主要绩效</w:t>
      </w:r>
      <w:bookmarkEnd w:id="31"/>
      <w:bookmarkEnd w:id="32"/>
    </w:p>
    <w:p>
      <w:r>
        <w:rPr>
          <w:rFonts w:hint="eastAsia"/>
        </w:rPr>
        <w:t xml:space="preserve"> </w:t>
      </w:r>
      <w:r>
        <w:t xml:space="preserve">   </w:t>
      </w:r>
      <w:r>
        <w:rPr>
          <w:rFonts w:hint="eastAsia"/>
        </w:rPr>
        <w:t>该项目资金区财政及时拨付，单位在此次评价期间内，有序完成设定目标的部分工作任务:①购置音乐教室设备种类10类②购置餐厅设备若干、洗衣房设备包括全自动洗脱机3台、全自动烘干机1台③金属看台、智慧校园建设完成④校园文化建设完成⑤建成一间直播教室⑥设备设施验收合格率等于100%⑦有效增强学校硬件设备，提升教育教学能力⑧学生满意度此目标等于100%。</w:t>
      </w:r>
    </w:p>
    <w:p>
      <w:pPr>
        <w:pStyle w:val="2"/>
        <w:rPr>
          <w:lang w:bidi="en-US"/>
        </w:rPr>
      </w:pPr>
      <w:bookmarkStart w:id="33" w:name="_Toc67911611"/>
      <w:bookmarkStart w:id="34" w:name="_Toc26986"/>
      <w:r>
        <w:rPr>
          <w:rFonts w:hint="eastAsia"/>
          <w:lang w:bidi="en-US"/>
        </w:rPr>
        <w:t>四、绩效评价指标分析</w:t>
      </w:r>
      <w:bookmarkEnd w:id="33"/>
      <w:bookmarkEnd w:id="34"/>
    </w:p>
    <w:p>
      <w:pPr>
        <w:pStyle w:val="3"/>
        <w:rPr>
          <w:lang w:bidi="en-US"/>
        </w:rPr>
      </w:pPr>
      <w:bookmarkStart w:id="35" w:name="_Toc67911612"/>
      <w:bookmarkStart w:id="36" w:name="_Toc24516"/>
      <w:r>
        <w:rPr>
          <w:rFonts w:hint="eastAsia"/>
          <w:lang w:bidi="en-US"/>
        </w:rPr>
        <w:t>（一）项目决策情况</w:t>
      </w:r>
      <w:bookmarkEnd w:id="35"/>
      <w:bookmarkEnd w:id="36"/>
    </w:p>
    <w:p>
      <w:pPr>
        <w:ind w:firstLine="560" w:firstLineChars="200"/>
      </w:pPr>
      <w:r>
        <w:rPr>
          <w:rFonts w:hint="eastAsia"/>
        </w:rPr>
        <w:t>项目决策指标由3个二级指标和6个三级指标构成，权重为20分，实际得分20分。</w:t>
      </w:r>
    </w:p>
    <w:p>
      <w:pPr>
        <w:pStyle w:val="4"/>
      </w:pPr>
      <w:bookmarkStart w:id="37" w:name="_Toc14470"/>
      <w:r>
        <w:t>1.</w:t>
      </w:r>
      <w:r>
        <w:rPr>
          <w:rFonts w:hint="eastAsia"/>
        </w:rPr>
        <w:t>项目立项</w:t>
      </w:r>
      <w:bookmarkEnd w:id="37"/>
    </w:p>
    <w:p>
      <w:pPr>
        <w:ind w:firstLine="562" w:firstLineChars="200"/>
      </w:pPr>
      <w:r>
        <w:rPr>
          <w:rFonts w:hint="eastAsia"/>
          <w:b/>
        </w:rPr>
        <w:t>立项依据充分性:</w:t>
      </w:r>
      <w:r>
        <w:rPr>
          <w:rFonts w:hint="eastAsia"/>
        </w:rPr>
        <w:t>项目立项依据《乌市中小学规划布局调整第一批》（乌财科教[2021]12号）、《关于拨付乌鲁木齐市中小学规划布局调整第三批项目资金的通知》（乌财科教[2021]70号）文件，为保证正常教育教学的需要，进一步增强学校的基础设施，学校设置此项目。拨款依据《关于下达市教育局及局属部分学校资金的通知》（财科教[2023]44号）文件采购相关设备，项目符合国家法律法规、教育行业发展规划、政策要求。同时，项目与部门职责范围相符，属于部门履职所需。此外，本项目属于公共财政支持范围，符合中央、地方事权支出责任划分原则。项目不与相关部门同类项目或部门内部相关项目重复。因此，立项依据充分，得4分。</w:t>
      </w:r>
    </w:p>
    <w:p>
      <w:pPr>
        <w:ind w:firstLine="562" w:firstLineChars="200"/>
      </w:pPr>
      <w:r>
        <w:rPr>
          <w:rFonts w:hint="eastAsia"/>
          <w:b/>
        </w:rPr>
        <w:t>立项程序规范性</w:t>
      </w:r>
      <w:r>
        <w:rPr>
          <w:b/>
        </w:rPr>
        <w:t>:</w:t>
      </w:r>
      <w:r>
        <w:rPr>
          <w:rFonts w:hint="eastAsia"/>
        </w:rPr>
        <w:t xml:space="preserve"> 项目依据文件要求，按照规定的程序申请设立，且审批文件、材料符合相关要求，有关支出严格按照文件要求，在此基础上已经过必要的可行性研究、绩效评估、集体决策。故立项程序规范，得4分。</w:t>
      </w:r>
    </w:p>
    <w:p>
      <w:r>
        <w:rPr>
          <w:rFonts w:hint="eastAsia"/>
        </w:rPr>
        <w:t>综上，该指标满分</w:t>
      </w:r>
      <w:r>
        <w:t>8</w:t>
      </w:r>
      <w:r>
        <w:rPr>
          <w:rFonts w:hint="eastAsia"/>
        </w:rPr>
        <w:t>分，得分8分。</w:t>
      </w:r>
    </w:p>
    <w:p>
      <w:pPr>
        <w:pStyle w:val="4"/>
      </w:pPr>
      <w:bookmarkStart w:id="38" w:name="_Toc29118"/>
      <w:r>
        <w:rPr>
          <w:rFonts w:hint="eastAsia"/>
        </w:rPr>
        <w:t>2</w:t>
      </w:r>
      <w:r>
        <w:t>.</w:t>
      </w:r>
      <w:r>
        <w:rPr>
          <w:rFonts w:hint="eastAsia"/>
        </w:rPr>
        <w:t>绩效目标</w:t>
      </w:r>
      <w:bookmarkEnd w:id="38"/>
    </w:p>
    <w:p>
      <w:pPr>
        <w:ind w:firstLine="562" w:firstLineChars="200"/>
      </w:pPr>
      <w:r>
        <w:rPr>
          <w:rFonts w:hint="eastAsia"/>
          <w:b/>
        </w:rPr>
        <w:t>绩效目标合理性:</w:t>
      </w:r>
      <w:r>
        <w:rPr>
          <w:rFonts w:hint="eastAsia"/>
        </w:rPr>
        <w:t>本项目有明确的绩效目标，绩效目标按照产出、成本、效益和满意度构建绩效评价指标，绩效目标与实际工作内容具有相关性，能较为全面地反映本项目的产出和效益，符合正常的业绩水平，且每个项目有确定的项目投入额相匹配。故绩效目标合理性指标得分</w:t>
      </w:r>
      <w:r>
        <w:t>3</w:t>
      </w:r>
      <w:r>
        <w:rPr>
          <w:rFonts w:hint="eastAsia"/>
        </w:rPr>
        <w:t>分。</w:t>
      </w:r>
    </w:p>
    <w:p>
      <w:pPr>
        <w:ind w:firstLine="562" w:firstLineChars="200"/>
        <w:rPr>
          <w:rFonts w:hAnsi="仿宋" w:cs="宋体"/>
          <w:kern w:val="0"/>
        </w:rPr>
      </w:pPr>
      <w:r>
        <w:rPr>
          <w:rFonts w:hint="eastAsia" w:hAnsi="仿宋" w:cs="宋体"/>
          <w:b/>
          <w:kern w:val="0"/>
        </w:rPr>
        <w:t>绩效目标明确性:</w:t>
      </w:r>
      <w:r>
        <w:rPr>
          <w:rFonts w:hint="eastAsia"/>
        </w:rPr>
        <w:t>其中，目标已细化为具体的绩效指标:具体有购置教室设备种类、购置生活设备种类、受益人数、设备设施验收合格率、设备验收使用及时率、购置教室设备成本、购买餐厅设备成本、购买洗衣房设备成本、购买实验室设备成本、购买LED设备成本、购置家具成本、校园文化建设成本、直播教室成本、金属看台成本、智慧校园建设成本、搬家服务成本、增强学校硬件设备，提升教育教学能力、学生满意度共计6个二级指标18个三级指标，并具有确切的评价标准，且指标设定均与目标相关。各</w:t>
      </w:r>
      <w:r>
        <w:rPr>
          <w:rFonts w:hint="eastAsia" w:hAnsi="仿宋" w:cs="宋体"/>
          <w:kern w:val="0"/>
        </w:rPr>
        <w:t>项指标均能在现实条件下收集到相关数据进行佐证（1.产出指标:通过合同与验货单等查看设备种类及数量、设备验收是否合格;通过与相关部门对接得出受益学生人数2.成本指标:通过采购发票与支付凭证、报告单数据查看设备成本3.满意度调查:通过问卷形式，收集学生对该项目的满意度评价4.社会效益指标:根据校园布局规划建设进度及学生满意度评价，评价社会效益指标，提供说明。），并与当年项目年度计划相对应，故绩效目标明确性指标得分</w:t>
      </w:r>
      <w:r>
        <w:rPr>
          <w:rFonts w:hAnsi="仿宋" w:cs="宋体"/>
          <w:kern w:val="0"/>
        </w:rPr>
        <w:t>3</w:t>
      </w:r>
      <w:r>
        <w:rPr>
          <w:rFonts w:hint="eastAsia" w:hAnsi="仿宋" w:cs="宋体"/>
          <w:kern w:val="0"/>
        </w:rPr>
        <w:t>分。</w:t>
      </w:r>
    </w:p>
    <w:p>
      <w:r>
        <w:rPr>
          <w:rFonts w:hint="eastAsia"/>
        </w:rPr>
        <w:t>综上，该指标满分</w:t>
      </w:r>
      <w:r>
        <w:t>6</w:t>
      </w:r>
      <w:r>
        <w:rPr>
          <w:rFonts w:hint="eastAsia"/>
        </w:rPr>
        <w:t>分，得分6分。</w:t>
      </w:r>
    </w:p>
    <w:p>
      <w:pPr>
        <w:pStyle w:val="4"/>
      </w:pPr>
      <w:bookmarkStart w:id="39" w:name="_Toc22223"/>
      <w:r>
        <w:rPr>
          <w:rFonts w:hint="eastAsia"/>
        </w:rPr>
        <w:t>3.资金投入</w:t>
      </w:r>
      <w:bookmarkEnd w:id="39"/>
    </w:p>
    <w:p>
      <w:pPr>
        <w:ind w:firstLine="562" w:firstLineChars="200"/>
      </w:pPr>
      <w:r>
        <w:rPr>
          <w:rFonts w:hint="eastAsia"/>
          <w:b/>
        </w:rPr>
        <w:t>预算编制科学性:</w:t>
      </w:r>
      <w:r>
        <w:rPr>
          <w:rFonts w:hint="eastAsia"/>
        </w:rPr>
        <w:t>此项目预算编制通过学校市场调查初步确定采购预算，再经过教育装备协会审核上报市财政，经过科学论证且预算内容与项目内容匹配，2023年资金总预算为1249.87万元，包括:①2022年中小学布局规划-新校区设备采购项目结转至2023年市教育局及局属部分学校资金-中小学规划布局项目资金1000万元②2023年市教育局及局属部分学校资金-中小学规划布局项目预算资金249.87万元。各项目投资额按照标准编制，故预算编制科学性指标得分</w:t>
      </w:r>
      <w:r>
        <w:t>3</w:t>
      </w:r>
      <w:r>
        <w:rPr>
          <w:rFonts w:hint="eastAsia"/>
        </w:rPr>
        <w:t>分。</w:t>
      </w:r>
    </w:p>
    <w:p>
      <w:pPr>
        <w:ind w:firstLine="562" w:firstLineChars="200"/>
      </w:pPr>
      <w:r>
        <w:rPr>
          <w:rFonts w:hint="eastAsia"/>
          <w:b/>
        </w:rPr>
        <w:t>资金分配合理性</w:t>
      </w:r>
      <w:r>
        <w:rPr>
          <w:rFonts w:hint="eastAsia"/>
        </w:rPr>
        <w:t>:根据《关于下达市教育局及局属部分学校资金的通知》（财科教[2023]44号）、《乌市中小学规划布局调整第一批》（乌财科教[2021]12号）文件精神，该部分资金主要用于购置校园文化、教学、餐厅等基础设施，资金分配首先基于学校实际需求，考虑教学活动、学生发展等多方面因素，在确保学校基本需求基础上，根据学校规模、学生结构等因素，合理调整资金分配比例。①教室设备投入231万元②餐厅设备投入82万元③实验室设备投入20万元④LED屏设备投入172万元⑤家具设备投入134万元⑥校园文化建设投入114万元⑦直播教室投入42.5万元⑧洗衣房设备投入24.6万元⑨金属看台投入246万元⑩智慧校园建设投入155.8万元搬家服务投入27.77万元。对于教学设备，旨在优化教学方法，资金分配有所提高;对于基建项目，旨在提高学校的基础设施能力，资金分配有所提高。</w:t>
      </w:r>
      <w:r>
        <w:rPr>
          <w:rFonts w:hint="eastAsia" w:hAnsi="仿宋" w:cs="宋体"/>
          <w:kern w:val="0"/>
        </w:rPr>
        <w:t>故资金分配合理性指标得分</w:t>
      </w:r>
      <w:r>
        <w:rPr>
          <w:rFonts w:hAnsi="仿宋" w:cs="宋体"/>
          <w:kern w:val="0"/>
        </w:rPr>
        <w:t>3</w:t>
      </w:r>
      <w:r>
        <w:rPr>
          <w:rFonts w:hint="eastAsia" w:hAnsi="仿宋" w:cs="宋体"/>
          <w:kern w:val="0"/>
        </w:rPr>
        <w:t>分。</w:t>
      </w:r>
    </w:p>
    <w:p>
      <w:pPr>
        <w:ind w:firstLine="562" w:firstLineChars="200"/>
        <w:rPr>
          <w:b/>
          <w:bCs w:val="0"/>
        </w:rPr>
      </w:pPr>
      <w:r>
        <w:rPr>
          <w:rFonts w:hint="eastAsia"/>
          <w:b/>
          <w:bCs w:val="0"/>
        </w:rPr>
        <w:t>综上，该指标满分</w:t>
      </w:r>
      <w:r>
        <w:rPr>
          <w:b/>
          <w:bCs w:val="0"/>
        </w:rPr>
        <w:t>6</w:t>
      </w:r>
      <w:r>
        <w:rPr>
          <w:rFonts w:hint="eastAsia"/>
          <w:b/>
          <w:bCs w:val="0"/>
        </w:rPr>
        <w:t>分，得分6分。</w:t>
      </w:r>
    </w:p>
    <w:p>
      <w:pPr>
        <w:pStyle w:val="3"/>
        <w:rPr>
          <w:lang w:bidi="en-US"/>
        </w:rPr>
      </w:pPr>
      <w:bookmarkStart w:id="40" w:name="_Toc67911613"/>
      <w:bookmarkStart w:id="41" w:name="_Toc9184"/>
      <w:r>
        <w:rPr>
          <w:rFonts w:hint="eastAsia"/>
          <w:lang w:bidi="en-US"/>
        </w:rPr>
        <w:t>（二）项目过程情况</w:t>
      </w:r>
      <w:bookmarkEnd w:id="40"/>
      <w:bookmarkEnd w:id="41"/>
    </w:p>
    <w:p>
      <w:pPr>
        <w:ind w:firstLine="560" w:firstLineChars="200"/>
      </w:pPr>
      <w:r>
        <w:rPr>
          <w:rFonts w:hint="eastAsia"/>
        </w:rPr>
        <w:t>项目过程指标由2个二级指标和5个三级指标构成，权重为20分，实际得分1</w:t>
      </w:r>
      <w:r>
        <w:t>7.7</w:t>
      </w:r>
      <w:r>
        <w:rPr>
          <w:rFonts w:hint="eastAsia"/>
        </w:rPr>
        <w:t>分。</w:t>
      </w:r>
    </w:p>
    <w:p>
      <w:pPr>
        <w:pStyle w:val="4"/>
      </w:pPr>
      <w:bookmarkStart w:id="42" w:name="_Toc31886"/>
      <w:r>
        <w:t>1.</w:t>
      </w:r>
      <w:r>
        <w:rPr>
          <w:rFonts w:hint="eastAsia"/>
        </w:rPr>
        <w:t>资金管理</w:t>
      </w:r>
      <w:bookmarkEnd w:id="42"/>
    </w:p>
    <w:p>
      <w:pPr>
        <w:ind w:firstLine="562" w:firstLineChars="200"/>
      </w:pPr>
      <w:r>
        <w:rPr>
          <w:rFonts w:hint="eastAsia"/>
          <w:b/>
        </w:rPr>
        <w:t>资金到位率:</w:t>
      </w:r>
      <w:r>
        <w:rPr>
          <w:rFonts w:hint="eastAsia"/>
        </w:rPr>
        <w:t>该项目资金由财政拨付，2023年预算资金为1249.87万元，包括（①2022年中小学布局规划-新校区设备采购项目结转至2023年市教育局及局属部分学校资金-中小学规划布局项目资金1000万元，在2023年1月到位，并按照支付合同金额，资金直接支付到各供应商。2023年度支出461.05万元②2023年市教育局及局属部分学校资金-中小学规划布局项目预算资金249.87万元在2023年5月22日到位，并按照支付合同金额，资金直接支付到各供应商。2023年度支出214.84万元）。2023年度实际安排资金1249.87万元。</w:t>
      </w:r>
      <w:r>
        <w:rPr>
          <w:rFonts w:hint="eastAsia" w:hAnsi="仿宋" w:cs="宋体"/>
          <w:kern w:val="0"/>
        </w:rPr>
        <w:t>资金到位率为100%。因此，指标得分5分。</w:t>
      </w:r>
    </w:p>
    <w:p/>
    <w:p>
      <w:pPr>
        <w:ind w:firstLine="562" w:firstLineChars="200"/>
        <w:rPr>
          <w:rFonts w:hint="eastAsia"/>
          <w:b/>
        </w:rPr>
      </w:pPr>
      <w:r>
        <w:rPr>
          <w:rFonts w:hint="eastAsia"/>
          <w:b/>
        </w:rPr>
        <w:t>预算执行率:</w:t>
      </w:r>
    </w:p>
    <w:p>
      <w:r>
        <w:rPr>
          <w:rFonts w:hint="eastAsia"/>
        </w:rPr>
        <w:t>1.2023年1月28日、7月24日向北京华胜天成科技股份有限公司分别支付教室设备款1172300元、1131700元;</w:t>
      </w:r>
    </w:p>
    <w:p>
      <w:r>
        <w:rPr>
          <w:rFonts w:hint="eastAsia"/>
        </w:rPr>
        <w:t>2.2023年4月3日、7月24日向新疆金瑞鹏厨房设备有限公司分别支付餐厅设备款485922元、330078元;</w:t>
      </w:r>
    </w:p>
    <w:p>
      <w:r>
        <w:rPr>
          <w:rFonts w:hint="eastAsia"/>
        </w:rPr>
        <w:t>3.2023年7月21日向新疆远华如意商贸有限公司支付实验室设备款195000元、LED屏设备款225000元;</w:t>
      </w:r>
    </w:p>
    <w:p>
      <w:r>
        <w:rPr>
          <w:rFonts w:hint="eastAsia"/>
        </w:rPr>
        <w:t>4.2023年7月24日向新疆天地铨电子科技有限公司支付LED屏设备款569406.25元;</w:t>
      </w:r>
    </w:p>
    <w:p>
      <w:r>
        <w:rPr>
          <w:rFonts w:hint="eastAsia"/>
        </w:rPr>
        <w:t>5.2023年9月22日向新疆鹏森科技股份有限公司支付家具款1095574.5元;</w:t>
      </w:r>
    </w:p>
    <w:p>
      <w:r>
        <w:rPr>
          <w:rFonts w:hint="eastAsia"/>
        </w:rPr>
        <w:t>6.2023年7月24日向新疆金飞阳广告有限责任公司支付校园文化建设费445746.8元;</w:t>
      </w:r>
    </w:p>
    <w:p>
      <w:r>
        <w:rPr>
          <w:rFonts w:hint="eastAsia"/>
        </w:rPr>
        <w:t>7.2023年8月23日向新疆创美视觉文化传媒有限公司支付校园文化建设费686637元;</w:t>
      </w:r>
    </w:p>
    <w:p>
      <w:r>
        <w:rPr>
          <w:rFonts w:hint="eastAsia"/>
        </w:rPr>
        <w:t>8.2023年7月24日向新疆创信云通科技有限公司支付直播教室设备款421500元;</w:t>
      </w:r>
    </w:p>
    <w:p>
      <w:r>
        <w:rPr>
          <w:rFonts w:hint="eastAsia"/>
        </w:rPr>
        <w:t>2023年度预算实际执行675.89万元，预算执行率为</w:t>
      </w:r>
      <w:r>
        <w:rPr>
          <w:rFonts w:hint="eastAsia" w:hAnsi="仿宋" w:cs="宋体"/>
          <w:kern w:val="0"/>
        </w:rPr>
        <w:t>54.08</w:t>
      </w:r>
      <w:r>
        <w:rPr>
          <w:rFonts w:hint="eastAsia"/>
        </w:rPr>
        <w:t>%。</w:t>
      </w:r>
    </w:p>
    <w:p>
      <w:r>
        <w:rPr>
          <w:rFonts w:hint="eastAsia"/>
        </w:rPr>
        <w:t>故预算执行率得分为</w:t>
      </w:r>
      <w:r>
        <w:t>2.7</w:t>
      </w:r>
      <w:r>
        <w:rPr>
          <w:rFonts w:hint="eastAsia"/>
        </w:rPr>
        <w:t>分。</w:t>
      </w:r>
    </w:p>
    <w:p/>
    <w:p>
      <w:pPr>
        <w:ind w:firstLine="562" w:firstLineChars="200"/>
      </w:pPr>
      <w:r>
        <w:rPr>
          <w:rFonts w:hint="eastAsia"/>
          <w:b/>
        </w:rPr>
        <w:t>资金使用合规性:</w:t>
      </w:r>
      <w:r>
        <w:rPr>
          <w:rFonts w:hint="eastAsia"/>
        </w:rPr>
        <w:t>本项目资金的使用符合专人负责和《财务监督内部控制管理制度》以及有关项目专项资金管理办法的规定。同时，资金的拨付有文件依据等程序，需要政府采购、招标、签订合同等手续，该项目主要由总务科牵头，支出金额超过3000元需上校务会，校务会通过后，由财务室将该项资金专款专用于支付与该项目有关的支出。符合项目预算批复或合同规定的用途，不存在截留、挤占、挪用、虚列支出等情况。故资金使用合规性得分为3分。</w:t>
      </w:r>
    </w:p>
    <w:p>
      <w:pPr>
        <w:rPr>
          <w:b/>
          <w:bCs w:val="0"/>
        </w:rPr>
      </w:pPr>
      <w:r>
        <w:rPr>
          <w:rFonts w:hint="eastAsia"/>
          <w:b/>
          <w:bCs w:val="0"/>
        </w:rPr>
        <w:t>综上，该指标满分</w:t>
      </w:r>
      <w:r>
        <w:rPr>
          <w:b/>
          <w:bCs w:val="0"/>
        </w:rPr>
        <w:t>13</w:t>
      </w:r>
      <w:r>
        <w:rPr>
          <w:rFonts w:hint="eastAsia"/>
          <w:b/>
          <w:bCs w:val="0"/>
        </w:rPr>
        <w:t>分，得分11分。</w:t>
      </w:r>
    </w:p>
    <w:p>
      <w:pPr>
        <w:pStyle w:val="4"/>
      </w:pPr>
      <w:bookmarkStart w:id="43" w:name="_Toc21717"/>
      <w:r>
        <w:t>2.</w:t>
      </w:r>
      <w:r>
        <w:rPr>
          <w:rFonts w:hint="eastAsia"/>
        </w:rPr>
        <w:t>组织实施</w:t>
      </w:r>
      <w:bookmarkEnd w:id="43"/>
    </w:p>
    <w:p>
      <w:pPr>
        <w:ind w:firstLine="562" w:firstLineChars="200"/>
      </w:pPr>
      <w:r>
        <w:rPr>
          <w:rFonts w:hint="eastAsia"/>
          <w:b/>
        </w:rPr>
        <w:t>管理制度健全性</w:t>
      </w:r>
      <w:r>
        <w:rPr>
          <w:rFonts w:hint="eastAsia"/>
        </w:rPr>
        <w:t>:学校已制定相应的专人负责和财务监督内部控制管理制度，且制度合法、合规、完整，为项目顺利实施提供重要保障。故管理制度健全性得分为3分。</w:t>
      </w:r>
    </w:p>
    <w:p>
      <w:pPr>
        <w:ind w:firstLine="562" w:firstLineChars="200"/>
      </w:pPr>
      <w:r>
        <w:rPr>
          <w:rFonts w:hint="eastAsia"/>
          <w:b/>
        </w:rPr>
        <w:t>制度执行有效性:</w:t>
      </w:r>
      <w:r>
        <w:rPr>
          <w:rFonts w:hint="eastAsia"/>
        </w:rPr>
        <w:t>根据评价小组核查情况，学校严格执行《关于印发乌鲁木齐市财政专项资金使用跟踪反馈管理暂行办法的通知》、《乌鲁木齐市第十五中学项目资金管理办法》，该项目支付手续完备，整体管理合理有序，项目完成后，及时将会计凭证、发票、中标通知书、合同、验收单、固定资产入库单归档，制度执行有效。项目实施的人员条件、场地设备、信息支撑等落实到位。故制度执行有效性指标得分</w:t>
      </w:r>
      <w:r>
        <w:t>4</w:t>
      </w:r>
      <w:r>
        <w:rPr>
          <w:rFonts w:hint="eastAsia"/>
        </w:rPr>
        <w:t>分。</w:t>
      </w:r>
    </w:p>
    <w:p>
      <w:pPr>
        <w:ind w:firstLine="562" w:firstLineChars="200"/>
        <w:rPr>
          <w:rFonts w:hint="eastAsia"/>
          <w:b/>
        </w:rPr>
      </w:pPr>
      <w:bookmarkStart w:id="44" w:name="_Hlk67670213"/>
      <w:r>
        <w:rPr>
          <w:rFonts w:hint="eastAsia"/>
          <w:b/>
        </w:rPr>
        <w:t>综上，该指标满分7分，得分7分。</w:t>
      </w:r>
    </w:p>
    <w:bookmarkEnd w:id="44"/>
    <w:p>
      <w:pPr>
        <w:pStyle w:val="3"/>
        <w:rPr>
          <w:lang w:bidi="en-US"/>
        </w:rPr>
      </w:pPr>
      <w:bookmarkStart w:id="45" w:name="_Toc67911614"/>
      <w:bookmarkStart w:id="46" w:name="_Toc32573"/>
      <w:r>
        <w:rPr>
          <w:rFonts w:hint="eastAsia"/>
          <w:lang w:bidi="en-US"/>
        </w:rPr>
        <w:t>（三）项目产出情况</w:t>
      </w:r>
      <w:bookmarkEnd w:id="45"/>
      <w:bookmarkEnd w:id="46"/>
    </w:p>
    <w:p>
      <w:pPr>
        <w:ind w:firstLine="560" w:firstLineChars="200"/>
      </w:pPr>
      <w:r>
        <w:rPr>
          <w:rFonts w:hint="eastAsia"/>
        </w:rPr>
        <w:t>项目产出指标由3个二级指标和5个三级指标构成，权重为18分，实际得分18分。</w:t>
      </w:r>
    </w:p>
    <w:p>
      <w:pPr>
        <w:pStyle w:val="4"/>
      </w:pPr>
      <w:bookmarkStart w:id="47" w:name="_Toc6076"/>
      <w:r>
        <w:rPr>
          <w:rFonts w:hint="eastAsia"/>
        </w:rPr>
        <w:t>1</w:t>
      </w:r>
      <w:r>
        <w:t>.</w:t>
      </w:r>
      <w:r>
        <w:rPr>
          <w:rFonts w:hint="eastAsia"/>
        </w:rPr>
        <w:t>产出数量</w:t>
      </w:r>
      <w:bookmarkEnd w:id="47"/>
    </w:p>
    <w:p>
      <w:pPr>
        <w:ind w:firstLine="560" w:firstLineChars="200"/>
      </w:pPr>
      <w:r>
        <w:rPr>
          <w:rFonts w:hint="eastAsia"/>
        </w:rPr>
        <w:t>数量指标“购置教室设备种类”的目标值是大于等于3类，2023</w:t>
      </w:r>
      <w:r>
        <w:t>年度我单位实际完成</w:t>
      </w:r>
      <w:r>
        <w:rPr>
          <w:rFonts w:hint="eastAsia"/>
        </w:rPr>
        <w:t>10类，原因是主要购置音乐教室设备，包括多媒体讲台、钢琴、谱台、六面体等。实际完成率为333%。</w:t>
      </w:r>
    </w:p>
    <w:p>
      <w:r>
        <w:rPr>
          <w:rFonts w:hint="eastAsia"/>
        </w:rPr>
        <w:t>数量指标“购置生活设备种类”的目标值是大于等于1类，</w:t>
      </w:r>
      <w:r>
        <w:t>2023年度我单位</w:t>
      </w:r>
      <w:r>
        <w:rPr>
          <w:rFonts w:hint="eastAsia"/>
        </w:rPr>
        <w:t>实际完成2类，原因是生活设备主要为餐厅、洗衣房设备，实际完成率为200%。数量指标“受益人数”的目标值是大于等于1900人，</w:t>
      </w:r>
      <w:r>
        <w:t>2023年度我单位</w:t>
      </w:r>
      <w:r>
        <w:rPr>
          <w:rFonts w:hint="eastAsia"/>
        </w:rPr>
        <w:t>实际完成2202人，原因是数据来源于2023年通过与相关部门对接得出受益学生人数，我校2023年实际在校人数，初中为1979人，高中为223人，实际完成率为115.89%。</w:t>
      </w:r>
    </w:p>
    <w:p>
      <w:pPr>
        <w:rPr>
          <w:b/>
          <w:bCs w:val="0"/>
        </w:rPr>
      </w:pPr>
      <w:r>
        <w:rPr>
          <w:rFonts w:hint="eastAsia"/>
          <w:b/>
          <w:bCs w:val="0"/>
        </w:rPr>
        <w:t>实际完成率:216.30%，故实际完成率得分为11分。</w:t>
      </w:r>
    </w:p>
    <w:p>
      <w:pPr>
        <w:pStyle w:val="4"/>
      </w:pPr>
      <w:bookmarkStart w:id="48" w:name="_Toc13003"/>
      <w:r>
        <w:rPr>
          <w:rFonts w:hint="eastAsia"/>
        </w:rPr>
        <w:t>2</w:t>
      </w:r>
      <w:r>
        <w:t>.</w:t>
      </w:r>
      <w:r>
        <w:rPr>
          <w:rFonts w:hint="eastAsia"/>
        </w:rPr>
        <w:t>产出质量</w:t>
      </w:r>
      <w:bookmarkEnd w:id="48"/>
    </w:p>
    <w:p>
      <w:pPr>
        <w:ind w:firstLine="562" w:firstLineChars="200"/>
      </w:pPr>
      <w:r>
        <w:rPr>
          <w:rFonts w:hint="eastAsia"/>
          <w:b/>
        </w:rPr>
        <w:t>设备、设施验收合格率:</w:t>
      </w:r>
      <w:r>
        <w:rPr>
          <w:rFonts w:hint="eastAsia"/>
        </w:rPr>
        <w:t>设备、设施验收合格率目标值为大于等于90%，2023年度我单位实际完成100%，实际完成率为111%,我校在项目完工后，及时验收。故得分为3分。</w:t>
      </w:r>
    </w:p>
    <w:p>
      <w:pPr>
        <w:pStyle w:val="4"/>
      </w:pPr>
      <w:bookmarkStart w:id="49" w:name="_Toc28909"/>
      <w:r>
        <w:rPr>
          <w:rFonts w:hint="eastAsia"/>
        </w:rPr>
        <w:t>3</w:t>
      </w:r>
      <w:r>
        <w:t>.</w:t>
      </w:r>
      <w:r>
        <w:rPr>
          <w:rFonts w:hint="eastAsia"/>
        </w:rPr>
        <w:t>产出时效</w:t>
      </w:r>
      <w:bookmarkEnd w:id="49"/>
    </w:p>
    <w:p>
      <w:pPr>
        <w:ind w:firstLine="562" w:firstLineChars="200"/>
      </w:pPr>
      <w:r>
        <w:rPr>
          <w:rFonts w:hint="eastAsia"/>
          <w:b/>
        </w:rPr>
        <w:t>设备验收使用及时率:</w:t>
      </w:r>
      <w:r>
        <w:rPr>
          <w:rFonts w:hint="eastAsia"/>
        </w:rPr>
        <w:t>设备验收使用及时率目标值为大于等于90%，2023年度我单位实际完成100%，实际完成率为111%,我校在项目完工后，及时验收，并投入使用。故设备验收使用及时率得分为4分。</w:t>
      </w:r>
    </w:p>
    <w:p>
      <w:pPr>
        <w:pStyle w:val="4"/>
      </w:pPr>
      <w:bookmarkStart w:id="50" w:name="_Toc4550"/>
      <w:r>
        <w:rPr>
          <w:rFonts w:hint="eastAsia"/>
        </w:rPr>
        <w:t>4</w:t>
      </w:r>
      <w:r>
        <w:t>.</w:t>
      </w:r>
      <w:r>
        <w:rPr>
          <w:rFonts w:hint="eastAsia"/>
        </w:rPr>
        <w:t>产出成本</w:t>
      </w:r>
      <w:bookmarkEnd w:id="50"/>
    </w:p>
    <w:p>
      <w:pPr>
        <w:ind w:firstLine="562" w:firstLineChars="200"/>
      </w:pPr>
      <w:r>
        <w:rPr>
          <w:rFonts w:hint="eastAsia"/>
          <w:b/>
        </w:rPr>
        <w:t>购置教室设备成本:</w:t>
      </w:r>
      <w:r>
        <w:rPr>
          <w:rFonts w:hint="eastAsia"/>
        </w:rPr>
        <w:t>本项目目标值小于等于231万元，实际支出230.4万元，无超支情况，项目资金全部完成，成本节约率为0.26%，得分为4分</w:t>
      </w:r>
      <w:r>
        <w:t>。</w:t>
      </w:r>
    </w:p>
    <w:p>
      <w:pPr>
        <w:ind w:firstLine="562" w:firstLineChars="200"/>
      </w:pPr>
      <w:r>
        <w:rPr>
          <w:rFonts w:hint="eastAsia"/>
          <w:b/>
        </w:rPr>
        <w:t>购买餐厅设备成本:</w:t>
      </w:r>
      <w:r>
        <w:rPr>
          <w:rFonts w:hint="eastAsia"/>
        </w:rPr>
        <w:t>本项目实际支出81.6万元，无超支情况，项目资金全部完成，成本节约率为0.49%，得分为3分。</w:t>
      </w:r>
    </w:p>
    <w:p>
      <w:pPr>
        <w:ind w:firstLine="562" w:firstLineChars="200"/>
      </w:pPr>
      <w:r>
        <w:rPr>
          <w:rFonts w:hint="eastAsia"/>
          <w:b/>
        </w:rPr>
        <w:t>购买实验室设备成本:</w:t>
      </w:r>
      <w:r>
        <w:rPr>
          <w:rFonts w:hint="eastAsia"/>
        </w:rPr>
        <w:t>本项目实际支出19.5万元，无超支情况，项目资金全部完成，成本节约率为2.5%，得分为3分。</w:t>
      </w:r>
    </w:p>
    <w:p>
      <w:pPr>
        <w:ind w:firstLine="562" w:firstLineChars="200"/>
      </w:pPr>
      <w:r>
        <w:rPr>
          <w:rFonts w:hint="eastAsia"/>
          <w:b/>
        </w:rPr>
        <w:t>购买LED设备成本:</w:t>
      </w:r>
      <w:r>
        <w:rPr>
          <w:rFonts w:hint="eastAsia"/>
        </w:rPr>
        <w:t>本项目实际支出79.44万元，资金未支付完毕，原因是项目资金不足，待资金拨付后，再支付。但该项目已执行，成本节约率为53.81%，得分为</w:t>
      </w:r>
      <w:r>
        <w:t>3</w:t>
      </w:r>
      <w:r>
        <w:rPr>
          <w:rFonts w:hint="eastAsia"/>
        </w:rPr>
        <w:t>分。</w:t>
      </w:r>
    </w:p>
    <w:p>
      <w:pPr>
        <w:ind w:firstLine="562" w:firstLineChars="200"/>
      </w:pPr>
      <w:r>
        <w:rPr>
          <w:rFonts w:hint="eastAsia"/>
          <w:b/>
        </w:rPr>
        <w:t>购置家具成本:</w:t>
      </w:r>
      <w:r>
        <w:rPr>
          <w:rFonts w:hint="eastAsia"/>
        </w:rPr>
        <w:t>本项目实际支出109.56万元，部分资金未支付完毕，原因是项目资金不足，待资金拨付后，再支付。但该项目已执行，并投入使用，成本节约率为18.24%，得分为</w:t>
      </w:r>
      <w:r>
        <w:t>3</w:t>
      </w:r>
      <w:r>
        <w:rPr>
          <w:rFonts w:hint="eastAsia"/>
        </w:rPr>
        <w:t>分。</w:t>
      </w:r>
    </w:p>
    <w:p>
      <w:pPr>
        <w:ind w:firstLine="562" w:firstLineChars="200"/>
      </w:pPr>
      <w:r>
        <w:rPr>
          <w:rFonts w:hint="eastAsia"/>
          <w:b/>
        </w:rPr>
        <w:t>校园文化建设成本:</w:t>
      </w:r>
      <w:r>
        <w:rPr>
          <w:rFonts w:hint="eastAsia"/>
        </w:rPr>
        <w:t>本项目实际支出113.24万元，无超支情况，项目资金全部完成，成本节约率为0.67%，得分为3分。</w:t>
      </w:r>
    </w:p>
    <w:p>
      <w:pPr>
        <w:ind w:firstLine="562" w:firstLineChars="200"/>
      </w:pPr>
      <w:r>
        <w:rPr>
          <w:rFonts w:hint="eastAsia"/>
          <w:b/>
        </w:rPr>
        <w:t>直播教室成本:</w:t>
      </w:r>
      <w:r>
        <w:rPr>
          <w:rFonts w:hint="eastAsia"/>
        </w:rPr>
        <w:t>本项目实际支出42.15万元，无超支情况，项目资金全部完成，成本节约率为0.82%，得分为3分。</w:t>
      </w:r>
    </w:p>
    <w:p>
      <w:pPr>
        <w:ind w:firstLine="562" w:firstLineChars="200"/>
      </w:pPr>
      <w:r>
        <w:rPr>
          <w:rFonts w:hint="eastAsia"/>
          <w:b/>
        </w:rPr>
        <w:t>金属看台成本:</w:t>
      </w:r>
      <w:r>
        <w:rPr>
          <w:rFonts w:hint="eastAsia"/>
        </w:rPr>
        <w:t>本项目目标值246万元，实际支出0万元，原因是项目资金不足，待资金拨付后，再支付。但该项目已执行，并投入使用，成本节约率为100%，得分为</w:t>
      </w:r>
      <w:r>
        <w:t>3</w:t>
      </w:r>
      <w:r>
        <w:rPr>
          <w:rFonts w:hint="eastAsia"/>
        </w:rPr>
        <w:t>分。</w:t>
      </w:r>
    </w:p>
    <w:p>
      <w:pPr>
        <w:ind w:firstLine="562" w:firstLineChars="200"/>
      </w:pPr>
      <w:r>
        <w:rPr>
          <w:rFonts w:hint="eastAsia"/>
          <w:b/>
        </w:rPr>
        <w:t>智慧校园建设成本:</w:t>
      </w:r>
      <w:r>
        <w:rPr>
          <w:rFonts w:hint="eastAsia"/>
        </w:rPr>
        <w:t>本项目目标值155.8万元，实际支出0万元，原因是项目资金不足，待资金拨付后，再支付。但该项目已执行，并投入使用，成本节约率为100%，得分为</w:t>
      </w:r>
      <w:r>
        <w:t>3</w:t>
      </w:r>
      <w:r>
        <w:rPr>
          <w:rFonts w:hint="eastAsia"/>
        </w:rPr>
        <w:t>分。</w:t>
      </w:r>
    </w:p>
    <w:p>
      <w:pPr>
        <w:ind w:firstLine="562" w:firstLineChars="200"/>
      </w:pPr>
      <w:r>
        <w:rPr>
          <w:rFonts w:hint="eastAsia"/>
          <w:b/>
        </w:rPr>
        <w:t>搬家服务成本:</w:t>
      </w:r>
      <w:r>
        <w:rPr>
          <w:rFonts w:hint="eastAsia"/>
        </w:rPr>
        <w:t>本项目实际支出0万元，原因是项目资金不足，待资金拨付后，再支付。但该项目已执行。成本节约率为100%，得分为</w:t>
      </w:r>
      <w:r>
        <w:t>3</w:t>
      </w:r>
      <w:r>
        <w:rPr>
          <w:rFonts w:hint="eastAsia"/>
        </w:rPr>
        <w:t>分。</w:t>
      </w:r>
    </w:p>
    <w:p>
      <w:pPr>
        <w:ind w:firstLine="562" w:firstLineChars="200"/>
      </w:pPr>
      <w:r>
        <w:rPr>
          <w:rFonts w:hint="eastAsia"/>
          <w:b/>
        </w:rPr>
        <w:t>购买洗衣房设备成本:</w:t>
      </w:r>
      <w:r>
        <w:rPr>
          <w:rFonts w:hint="eastAsia"/>
        </w:rPr>
        <w:t>本项目目标值24.6万元，实际支出0万元，原因是项目资金不足，待资金拨付后，再支付。但该项目已执行，设备已入库并投入使用，成本节约率为100%，得分为</w:t>
      </w:r>
      <w:r>
        <w:t>3</w:t>
      </w:r>
      <w:r>
        <w:rPr>
          <w:rFonts w:hint="eastAsia"/>
        </w:rPr>
        <w:t>分。</w:t>
      </w:r>
    </w:p>
    <w:p>
      <w:r>
        <w:rPr>
          <w:rFonts w:hint="eastAsia"/>
        </w:rPr>
        <w:t>综上，该部分指标满分34分，得分</w:t>
      </w:r>
      <w:r>
        <w:t>34</w:t>
      </w:r>
      <w:r>
        <w:rPr>
          <w:rFonts w:hint="eastAsia"/>
        </w:rPr>
        <w:t>分。</w:t>
      </w:r>
    </w:p>
    <w:p>
      <w:pPr>
        <w:pStyle w:val="3"/>
        <w:rPr>
          <w:lang w:bidi="en-US"/>
        </w:rPr>
      </w:pPr>
      <w:bookmarkStart w:id="51" w:name="_Toc67911615"/>
      <w:bookmarkStart w:id="52" w:name="_Toc16879"/>
      <w:r>
        <w:rPr>
          <w:rFonts w:hint="eastAsia"/>
          <w:lang w:bidi="en-US"/>
        </w:rPr>
        <w:t>（四）项目效益情况</w:t>
      </w:r>
      <w:bookmarkEnd w:id="51"/>
      <w:bookmarkEnd w:id="52"/>
    </w:p>
    <w:p>
      <w:pPr>
        <w:ind w:firstLine="280" w:firstLineChars="100"/>
      </w:pPr>
      <w:r>
        <w:rPr>
          <w:rFonts w:hint="eastAsia"/>
        </w:rPr>
        <w:t>项目效益指标由</w:t>
      </w:r>
      <w:r>
        <w:t>1</w:t>
      </w:r>
      <w:r>
        <w:rPr>
          <w:rFonts w:hint="eastAsia"/>
        </w:rPr>
        <w:t>个二级指标和2个三级指标构成，权重为8分，实际得分8分。</w:t>
      </w:r>
      <w:r>
        <w:t xml:space="preserve"> </w:t>
      </w:r>
    </w:p>
    <w:p>
      <w:pPr>
        <w:pStyle w:val="4"/>
      </w:pPr>
      <w:bookmarkStart w:id="53" w:name="_Toc19462"/>
      <w:r>
        <w:rPr>
          <w:rFonts w:hint="eastAsia"/>
        </w:rPr>
        <w:t>1. 项目效益</w:t>
      </w:r>
      <w:bookmarkEnd w:id="53"/>
    </w:p>
    <w:p>
      <w:r>
        <w:rPr>
          <w:rFonts w:hint="eastAsia"/>
        </w:rPr>
        <w:t>（1）实施效益</w:t>
      </w:r>
    </w:p>
    <w:p>
      <w:r>
        <w:rPr>
          <w:rFonts w:hint="eastAsia"/>
        </w:rPr>
        <w:t>经济效益指标:不适用。</w:t>
      </w:r>
    </w:p>
    <w:p>
      <w:r>
        <w:rPr>
          <w:rFonts w:hint="eastAsia"/>
          <w:b/>
        </w:rPr>
        <w:t>社会效益指标</w:t>
      </w:r>
      <w:r>
        <w:rPr>
          <w:rFonts w:hint="eastAsia"/>
        </w:rPr>
        <w:t>:评价指标“增强学校硬件设备，提升教育教学能力”，指标值:有效增强实际完成值:达成年度指标。本项目的实施主要保证正常教育教学的需要；进一步增强学校的基础设施，增强学校的硬件设施，为教师和学生提供更先进的教育教学环境，激发教师不断学习的积极性。</w:t>
      </w:r>
    </w:p>
    <w:p>
      <w:r>
        <w:rPr>
          <w:rFonts w:hint="eastAsia"/>
        </w:rPr>
        <w:t>生态效益指标:不适用。</w:t>
      </w:r>
    </w:p>
    <w:p>
      <w:r>
        <w:rPr>
          <w:rFonts w:hint="eastAsia"/>
        </w:rPr>
        <w:t>综上，该指标满分4分，得分4分。</w:t>
      </w:r>
    </w:p>
    <w:p>
      <w:pPr>
        <w:pStyle w:val="4"/>
      </w:pPr>
      <w:bookmarkStart w:id="54" w:name="_Toc9724"/>
      <w:r>
        <w:t>2. 满意度指标完成情况分析</w:t>
      </w:r>
      <w:bookmarkEnd w:id="54"/>
    </w:p>
    <w:p>
      <w:r>
        <w:rPr>
          <w:rFonts w:hint="eastAsia"/>
        </w:rPr>
        <w:t>（</w:t>
      </w:r>
      <w:r>
        <w:t>1</w:t>
      </w:r>
      <w:r>
        <w:rPr>
          <w:rFonts w:hint="eastAsia"/>
        </w:rPr>
        <w:t>）满意度指标</w:t>
      </w:r>
    </w:p>
    <w:p>
      <w:r>
        <w:rPr>
          <w:rFonts w:hint="eastAsia"/>
          <w:b/>
        </w:rPr>
        <w:t>学生满意度:</w:t>
      </w:r>
      <w:r>
        <w:rPr>
          <w:rFonts w:hint="eastAsia"/>
        </w:rPr>
        <w:t>评价指标“学生满意度”，指标值:</w:t>
      </w:r>
      <w:r>
        <w:rPr>
          <w:rFonts w:hint="eastAsia" w:ascii="华文宋体" w:hAnsi="华文宋体" w:eastAsia="华文宋体"/>
        </w:rPr>
        <w:t>≥</w:t>
      </w:r>
      <w:r>
        <w:rPr>
          <w:rFonts w:hint="eastAsia" w:eastAsia="华文宋体"/>
        </w:rPr>
        <w:t>90</w:t>
      </w:r>
      <w:r>
        <w:rPr>
          <w:rFonts w:hint="eastAsia"/>
        </w:rPr>
        <w:t>%，实际完成值:=100%。通过设置问卷调查的方式进行考评评价，共计调查有效调查问卷20份。其中，统计“学生满意度”的平均值为100%。故满意度指标得分为4分。</w:t>
      </w:r>
    </w:p>
    <w:p>
      <w:r>
        <w:rPr>
          <w:rFonts w:hint="eastAsia"/>
        </w:rPr>
        <w:t>综上，该指标满分4分，得分4分。</w:t>
      </w:r>
    </w:p>
    <w:p>
      <w:pPr>
        <w:pStyle w:val="2"/>
        <w:rPr>
          <w:lang w:bidi="en-US"/>
        </w:rPr>
      </w:pPr>
      <w:bookmarkStart w:id="55" w:name="_Toc67911617"/>
      <w:bookmarkStart w:id="56" w:name="_Toc6037"/>
      <w:r>
        <w:rPr>
          <w:rFonts w:hint="eastAsia"/>
          <w:lang w:bidi="en-US"/>
        </w:rPr>
        <w:t>五、主要经验及做法、存在的问题及原因分析</w:t>
      </w:r>
      <w:bookmarkEnd w:id="55"/>
      <w:bookmarkEnd w:id="56"/>
    </w:p>
    <w:p>
      <w:pPr>
        <w:pStyle w:val="3"/>
        <w:rPr>
          <w:lang w:bidi="en-US"/>
        </w:rPr>
      </w:pPr>
      <w:bookmarkStart w:id="57" w:name="_Toc67911618"/>
      <w:bookmarkStart w:id="58" w:name="_Toc19401"/>
      <w:r>
        <w:rPr>
          <w:rFonts w:hint="eastAsia"/>
          <w:lang w:bidi="en-US"/>
        </w:rPr>
        <w:t>（一）主要经验及做法</w:t>
      </w:r>
      <w:bookmarkEnd w:id="57"/>
      <w:bookmarkEnd w:id="58"/>
    </w:p>
    <w:p>
      <w:r>
        <w:rPr>
          <w:rFonts w:hint="eastAsia"/>
        </w:rPr>
        <w:t>1.明确采购目标与标准</w:t>
      </w:r>
    </w:p>
    <w:p>
      <w:pPr>
        <w:ind w:firstLine="560" w:firstLineChars="200"/>
      </w:pPr>
      <w:r>
        <w:rPr>
          <w:rFonts w:hint="eastAsia"/>
        </w:rPr>
        <w:t>通过制定详细的采购标准，确保所购设备能够满足教学活动及内初班学生的实际需求</w:t>
      </w:r>
    </w:p>
    <w:p>
      <w:r>
        <w:rPr>
          <w:rFonts w:hint="eastAsia"/>
        </w:rPr>
        <w:t>2</w:t>
      </w:r>
      <w:r>
        <w:t>.</w:t>
      </w:r>
      <w:r>
        <w:rPr>
          <w:rFonts w:hint="eastAsia"/>
        </w:rPr>
        <w:t>绩效导向的预算编制</w:t>
      </w:r>
    </w:p>
    <w:p>
      <w:pPr>
        <w:ind w:firstLine="560" w:firstLineChars="200"/>
        <w:rPr>
          <w:b/>
        </w:rPr>
      </w:pPr>
      <w:r>
        <w:rPr>
          <w:rFonts w:hint="eastAsia"/>
        </w:rPr>
        <w:t>在预算规划阶段，将绩效理念融入其中，根据学校实际需求分配资金，避免资源浪费，确保每一笔钱都能发挥最大效用。</w:t>
      </w:r>
    </w:p>
    <w:p>
      <w:r>
        <w:rPr>
          <w:rFonts w:hint="eastAsia"/>
        </w:rPr>
        <w:t>3.公开透明的采购流程</w:t>
      </w:r>
    </w:p>
    <w:p>
      <w:pPr>
        <w:ind w:firstLine="560" w:firstLineChars="200"/>
      </w:pPr>
      <w:r>
        <w:rPr>
          <w:rFonts w:hint="eastAsia"/>
        </w:rPr>
        <w:t>采用公开招标等方式，确保采购过程的公平、公正、公开。同时，利用电子化平台进行采购信息的招标，提高效率。</w:t>
      </w:r>
    </w:p>
    <w:p>
      <w:r>
        <w:rPr>
          <w:rFonts w:hint="eastAsia"/>
        </w:rPr>
        <w:t>4.严格的质量控制与验收</w:t>
      </w:r>
    </w:p>
    <w:p>
      <w:r>
        <w:rPr>
          <w:rFonts w:hint="eastAsia"/>
          <w:b/>
        </w:rPr>
        <w:t xml:space="preserve">    </w:t>
      </w:r>
      <w:r>
        <w:rPr>
          <w:rFonts w:hint="eastAsia"/>
        </w:rPr>
        <w:t>及时进行设备验收，确保所采购的设备符合既定标准，能够长期稳定地服务于教育教学活动。</w:t>
      </w:r>
    </w:p>
    <w:p>
      <w:pPr>
        <w:pStyle w:val="3"/>
        <w:rPr>
          <w:lang w:bidi="en-US"/>
        </w:rPr>
      </w:pPr>
      <w:bookmarkStart w:id="59" w:name="_Toc15842"/>
      <w:r>
        <w:rPr>
          <w:rFonts w:hint="eastAsia"/>
          <w:lang w:bidi="en-US"/>
        </w:rPr>
        <w:t>（二）存在的问题及原因分析</w:t>
      </w:r>
      <w:bookmarkEnd w:id="59"/>
    </w:p>
    <w:p>
      <w:r>
        <w:rPr>
          <w:rFonts w:hint="eastAsia"/>
        </w:rPr>
        <w:t>1</w:t>
      </w:r>
      <w:r>
        <w:t>.</w:t>
      </w:r>
      <w:bookmarkStart w:id="60" w:name="_Toc67911620"/>
      <w:bookmarkStart w:id="61" w:name="_Toc67911619"/>
      <w:r>
        <w:rPr>
          <w:rFonts w:hint="eastAsia"/>
        </w:rPr>
        <w:t>项目资金支出进度普遍较低</w:t>
      </w:r>
    </w:p>
    <w:p>
      <w:pPr>
        <w:ind w:firstLine="560" w:firstLineChars="200"/>
      </w:pPr>
      <w:r>
        <w:rPr>
          <w:rFonts w:hint="eastAsia"/>
        </w:rPr>
        <w:t>由于资金不足，导致项目资金预算执行支出的进度较低。</w:t>
      </w:r>
    </w:p>
    <w:p>
      <w:r>
        <w:rPr>
          <w:rFonts w:hint="eastAsia"/>
        </w:rPr>
        <w:t>2</w:t>
      </w:r>
      <w:r>
        <w:t>.技术更新快速</w:t>
      </w:r>
    </w:p>
    <w:p>
      <w:pPr>
        <w:ind w:firstLine="560" w:firstLineChars="200"/>
        <w:rPr>
          <w:rFonts w:hint="eastAsia"/>
        </w:rPr>
      </w:pPr>
      <w:r>
        <w:t>科技快速发展，若采购决策时未能充分考虑技术发展趋势，可能导致所购设备落后</w:t>
      </w:r>
    </w:p>
    <w:p>
      <w:pPr>
        <w:pStyle w:val="2"/>
        <w:rPr>
          <w:lang w:bidi="en-US"/>
        </w:rPr>
      </w:pPr>
      <w:bookmarkStart w:id="62" w:name="_Toc32364"/>
      <w:r>
        <w:rPr>
          <w:rFonts w:hint="eastAsia"/>
          <w:lang w:bidi="en-US"/>
        </w:rPr>
        <w:t>六、有关建议</w:t>
      </w:r>
      <w:bookmarkEnd w:id="60"/>
      <w:bookmarkEnd w:id="62"/>
    </w:p>
    <w:p>
      <w:r>
        <w:rPr>
          <w:rFonts w:hint="eastAsia"/>
        </w:rPr>
        <w:t>1.成立专人负责机制</w:t>
      </w:r>
    </w:p>
    <w:p>
      <w:pPr>
        <w:ind w:firstLine="560" w:firstLineChars="200"/>
        <w:rPr>
          <w:b/>
        </w:rPr>
      </w:pPr>
      <w:r>
        <w:rPr>
          <w:rFonts w:hint="eastAsia"/>
        </w:rPr>
        <w:t>资金专人负责，实现专款专用，及时跟踪款项支付进度，发现问题及时处理</w:t>
      </w:r>
      <w:r>
        <w:rPr>
          <w:rFonts w:hint="eastAsia"/>
          <w:b/>
        </w:rPr>
        <w:t>。</w:t>
      </w:r>
    </w:p>
    <w:p>
      <w:r>
        <w:rPr>
          <w:rFonts w:hint="eastAsia"/>
        </w:rPr>
        <w:t>2.明细预算安排</w:t>
      </w:r>
    </w:p>
    <w:p>
      <w:pPr>
        <w:ind w:firstLine="560" w:firstLineChars="200"/>
      </w:pPr>
      <w:r>
        <w:t>预算安排时，尽可能细化，资金到位后及时支付。</w:t>
      </w:r>
    </w:p>
    <w:p>
      <w:r>
        <w:rPr>
          <w:rFonts w:hint="eastAsia"/>
        </w:rPr>
        <w:t>3</w:t>
      </w:r>
      <w:r>
        <w:t>.供应商选择与评估</w:t>
      </w:r>
    </w:p>
    <w:p>
      <w:pPr>
        <w:ind w:firstLine="560" w:firstLineChars="200"/>
        <w:rPr>
          <w:rFonts w:hint="eastAsia"/>
        </w:rPr>
      </w:pPr>
      <w:r>
        <w:rPr>
          <w:rFonts w:hint="eastAsia"/>
        </w:rPr>
        <w:t>除了产品本身，供应商的信誉、售后服务能力也是重要考量因素。签订合同前，应详细了解保修政策、培训服务等。</w:t>
      </w:r>
    </w:p>
    <w:p>
      <w:r>
        <w:rPr>
          <w:rFonts w:hint="eastAsia"/>
        </w:rPr>
        <w:t>4</w:t>
      </w:r>
      <w:r>
        <w:t>.考虑技术兼容性和可升级型</w:t>
      </w:r>
    </w:p>
    <w:p>
      <w:pPr>
        <w:ind w:firstLine="560" w:firstLineChars="200"/>
        <w:rPr>
          <w:rFonts w:hint="eastAsia"/>
        </w:rPr>
      </w:pPr>
      <w:bookmarkStart w:id="64" w:name="_GoBack"/>
      <w:bookmarkEnd w:id="64"/>
      <w:r>
        <w:t>随着科技的快速发展，所采购的设备应具有良好的兼容性和可升型以便未来能够与新的系统或软件对接，延长设备使用寿命。</w:t>
      </w:r>
    </w:p>
    <w:p>
      <w:pPr>
        <w:pStyle w:val="2"/>
        <w:rPr>
          <w:lang w:bidi="en-US"/>
        </w:rPr>
      </w:pPr>
      <w:bookmarkStart w:id="63" w:name="_Toc28546"/>
      <w:r>
        <w:rPr>
          <w:rFonts w:hint="eastAsia"/>
          <w:lang w:bidi="en-US"/>
        </w:rPr>
        <w:t>七、其他需要说明的问题</w:t>
      </w:r>
      <w:bookmarkEnd w:id="61"/>
      <w:bookmarkEnd w:id="63"/>
    </w:p>
    <w:p>
      <w:r>
        <w:rPr>
          <w:rFonts w:hint="eastAsia"/>
        </w:rPr>
        <w:t>1</w:t>
      </w:r>
      <w:r>
        <w:t>.</w:t>
      </w:r>
      <w:r>
        <w:rPr>
          <w:rFonts w:hint="eastAsia"/>
        </w:rPr>
        <w:t>项目支出政策和路径设计科学，符合实际需要；</w:t>
      </w:r>
    </w:p>
    <w:p>
      <w:r>
        <w:t>2.</w:t>
      </w:r>
      <w:r>
        <w:rPr>
          <w:rFonts w:hint="eastAsia"/>
        </w:rPr>
        <w:t>项目安排准确，未发现背离项目立项初衷的情况；</w:t>
      </w:r>
    </w:p>
    <w:p>
      <w:r>
        <w:t>3.</w:t>
      </w:r>
      <w:r>
        <w:rPr>
          <w:rFonts w:hint="eastAsia"/>
        </w:rPr>
        <w:t>项目的申报、审核机制完善；</w:t>
      </w:r>
    </w:p>
    <w:p>
      <w:r>
        <w:t>4.</w:t>
      </w:r>
      <w:r>
        <w:rPr>
          <w:rFonts w:hint="eastAsia"/>
        </w:rPr>
        <w:t>未发现虚假行为和骗取财政资金的问题。</w:t>
      </w:r>
    </w:p>
    <w:p/>
    <w:sectPr>
      <w:headerReference r:id="rId13" w:type="default"/>
      <w:footerReference r:id="rId14" w:type="default"/>
      <w:footnotePr>
        <w:numFmt w:val="decimalEnclosedCircleChinese"/>
        <w:numRestart w:val="eachPage"/>
      </w:footnotePr>
      <w:type w:val="continuous"/>
      <w:pgSz w:w="11906" w:h="16838"/>
      <w:pgMar w:top="1440" w:right="1800" w:bottom="1440" w:left="1800" w:header="992" w:footer="992" w:gutter="0"/>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宋体">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8268847"/>
    </w:sdtPr>
    <w:sdtEndPr>
      <w:rPr>
        <w:rFonts w:hint="eastAsia"/>
      </w:rPr>
    </w:sdtEndPr>
    <w:sdtContent>
      <w:p>
        <w:pPr>
          <w:pStyle w:val="10"/>
        </w:pPr>
        <w:r>
          <w:rPr>
            <w:rFonts w:hint="eastAsia"/>
          </w:rPr>
          <w:fldChar w:fldCharType="begin"/>
        </w:r>
        <w:r>
          <w:rPr>
            <w:rFonts w:hint="eastAsia"/>
          </w:rPr>
          <w:instrText xml:space="preserve">PAGE   \* MERGEFORMAT</w:instrText>
        </w:r>
        <w:r>
          <w:rPr>
            <w:rFonts w:hint="eastAsia"/>
          </w:rPr>
          <w:fldChar w:fldCharType="separate"/>
        </w:r>
        <w:r>
          <w:rPr>
            <w:lang w:val="zh-CN"/>
          </w:rPr>
          <w:t>19</w:t>
        </w:r>
        <w:r>
          <w:rPr>
            <w:rFonts w:hint="eastAsia"/>
          </w:rPr>
          <w:fldChar w:fldCharType="end"/>
        </w:r>
      </w:p>
    </w:sdtContent>
  </w:sdt>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1836155"/>
    </w:sdtPr>
    <w:sdtEndPr>
      <w:rPr>
        <w:rFonts w:hint="eastAsia"/>
      </w:rPr>
    </w:sdtEndPr>
    <w:sdtContent>
      <w:p>
        <w:pPr>
          <w:pStyle w:val="10"/>
          <w:rPr>
            <w:rFonts w:hint="eastAsia"/>
          </w:rPr>
        </w:pPr>
        <w:r>
          <w:rPr>
            <w:rFonts w:hint="eastAsia"/>
          </w:rPr>
          <w:fldChar w:fldCharType="begin"/>
        </w:r>
        <w:r>
          <w:rPr>
            <w:rFonts w:hint="eastAsia"/>
          </w:rPr>
          <w:instrText xml:space="preserve">PAGE   \* MERGEFORMAT</w:instrText>
        </w:r>
        <w:r>
          <w:rPr>
            <w:rFonts w:hint="eastAsia"/>
          </w:rPr>
          <w:fldChar w:fldCharType="separate"/>
        </w:r>
        <w:r>
          <w:rPr>
            <w:lang w:val="zh-CN"/>
          </w:rPr>
          <w:t>36</w:t>
        </w:r>
        <w:r>
          <w:rPr>
            <w:rFonts w:hint="eastAsia"/>
          </w:rPr>
          <w:fldChar w:fldCharType="end"/>
        </w:r>
      </w:p>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rPr>
    </w:pPr>
    <w:r>
      <w:rPr>
        <w:rFonts w:hint="eastAsia"/>
      </w:rPr>
      <w:t>部门项目报告模板</w:t>
    </w: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40"/>
  <w:drawingGridVerticalSpacing w:val="38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DAwMzk0MzU1ZDRmMTg1MTczMWMwMzJhMzg5YTRmZGYifQ=="/>
  </w:docVars>
  <w:rsids>
    <w:rsidRoot w:val="00A43A0A"/>
    <w:rsid w:val="00031A7F"/>
    <w:rsid w:val="00042151"/>
    <w:rsid w:val="000438A0"/>
    <w:rsid w:val="00060357"/>
    <w:rsid w:val="00060C6A"/>
    <w:rsid w:val="0007002C"/>
    <w:rsid w:val="00071C0F"/>
    <w:rsid w:val="00083667"/>
    <w:rsid w:val="00086724"/>
    <w:rsid w:val="000942B7"/>
    <w:rsid w:val="000A2B58"/>
    <w:rsid w:val="000A43E8"/>
    <w:rsid w:val="000B520E"/>
    <w:rsid w:val="000B6FA0"/>
    <w:rsid w:val="000C22A1"/>
    <w:rsid w:val="000C720A"/>
    <w:rsid w:val="000C77D3"/>
    <w:rsid w:val="000E1EB5"/>
    <w:rsid w:val="000E5D71"/>
    <w:rsid w:val="000E6AAD"/>
    <w:rsid w:val="000E7B1F"/>
    <w:rsid w:val="000F5DE3"/>
    <w:rsid w:val="00106D03"/>
    <w:rsid w:val="00111969"/>
    <w:rsid w:val="00147D9F"/>
    <w:rsid w:val="001544E6"/>
    <w:rsid w:val="001645EB"/>
    <w:rsid w:val="00187B13"/>
    <w:rsid w:val="001A3189"/>
    <w:rsid w:val="001A79B9"/>
    <w:rsid w:val="001C23B4"/>
    <w:rsid w:val="001C50BA"/>
    <w:rsid w:val="001D2C74"/>
    <w:rsid w:val="001D4206"/>
    <w:rsid w:val="001D66B5"/>
    <w:rsid w:val="001E754D"/>
    <w:rsid w:val="001E7E9F"/>
    <w:rsid w:val="001F7F1E"/>
    <w:rsid w:val="00201C55"/>
    <w:rsid w:val="00212817"/>
    <w:rsid w:val="00213964"/>
    <w:rsid w:val="00220DC6"/>
    <w:rsid w:val="0022245F"/>
    <w:rsid w:val="0022294C"/>
    <w:rsid w:val="00225A82"/>
    <w:rsid w:val="00227636"/>
    <w:rsid w:val="002345B6"/>
    <w:rsid w:val="00237A6E"/>
    <w:rsid w:val="00247354"/>
    <w:rsid w:val="00250131"/>
    <w:rsid w:val="0026130D"/>
    <w:rsid w:val="00261F2F"/>
    <w:rsid w:val="00262533"/>
    <w:rsid w:val="00262B75"/>
    <w:rsid w:val="00264E69"/>
    <w:rsid w:val="00265BD8"/>
    <w:rsid w:val="002767C9"/>
    <w:rsid w:val="002810AA"/>
    <w:rsid w:val="002A6E59"/>
    <w:rsid w:val="002A75D8"/>
    <w:rsid w:val="002B7C09"/>
    <w:rsid w:val="002C61F7"/>
    <w:rsid w:val="002E1E67"/>
    <w:rsid w:val="002E608B"/>
    <w:rsid w:val="00302E15"/>
    <w:rsid w:val="0032183D"/>
    <w:rsid w:val="0032329D"/>
    <w:rsid w:val="00327CB1"/>
    <w:rsid w:val="00332C71"/>
    <w:rsid w:val="00333EA5"/>
    <w:rsid w:val="00340CED"/>
    <w:rsid w:val="00343485"/>
    <w:rsid w:val="00350839"/>
    <w:rsid w:val="003766AB"/>
    <w:rsid w:val="00377BA7"/>
    <w:rsid w:val="003A3FD9"/>
    <w:rsid w:val="003C24DB"/>
    <w:rsid w:val="003C468C"/>
    <w:rsid w:val="003C4BD9"/>
    <w:rsid w:val="003D611E"/>
    <w:rsid w:val="003D74DE"/>
    <w:rsid w:val="003E24B4"/>
    <w:rsid w:val="00404C10"/>
    <w:rsid w:val="00407D18"/>
    <w:rsid w:val="00410030"/>
    <w:rsid w:val="00421F04"/>
    <w:rsid w:val="004249EE"/>
    <w:rsid w:val="00425C1F"/>
    <w:rsid w:val="00437C39"/>
    <w:rsid w:val="00453D4B"/>
    <w:rsid w:val="004925F6"/>
    <w:rsid w:val="004957B3"/>
    <w:rsid w:val="004B12BE"/>
    <w:rsid w:val="004B5A40"/>
    <w:rsid w:val="004D4759"/>
    <w:rsid w:val="004E0DF3"/>
    <w:rsid w:val="004E2DB7"/>
    <w:rsid w:val="004F17C9"/>
    <w:rsid w:val="004F66E9"/>
    <w:rsid w:val="00502EC2"/>
    <w:rsid w:val="005345BF"/>
    <w:rsid w:val="00534DD6"/>
    <w:rsid w:val="005417D4"/>
    <w:rsid w:val="0054442E"/>
    <w:rsid w:val="00550003"/>
    <w:rsid w:val="00553D0C"/>
    <w:rsid w:val="00553F30"/>
    <w:rsid w:val="005603E8"/>
    <w:rsid w:val="00563798"/>
    <w:rsid w:val="00566083"/>
    <w:rsid w:val="0056794C"/>
    <w:rsid w:val="005764CD"/>
    <w:rsid w:val="005779FD"/>
    <w:rsid w:val="0058379D"/>
    <w:rsid w:val="00592653"/>
    <w:rsid w:val="00593474"/>
    <w:rsid w:val="0059432B"/>
    <w:rsid w:val="005A12D0"/>
    <w:rsid w:val="005A2254"/>
    <w:rsid w:val="005A5ABF"/>
    <w:rsid w:val="005A5E3B"/>
    <w:rsid w:val="005A76A5"/>
    <w:rsid w:val="005B17F0"/>
    <w:rsid w:val="005B7A28"/>
    <w:rsid w:val="005D02D3"/>
    <w:rsid w:val="005D2854"/>
    <w:rsid w:val="005D2F48"/>
    <w:rsid w:val="005D4D5B"/>
    <w:rsid w:val="005E2098"/>
    <w:rsid w:val="005F226E"/>
    <w:rsid w:val="005F273F"/>
    <w:rsid w:val="005F3A17"/>
    <w:rsid w:val="00604BA5"/>
    <w:rsid w:val="00607D5B"/>
    <w:rsid w:val="00611B95"/>
    <w:rsid w:val="00614CEC"/>
    <w:rsid w:val="00627F97"/>
    <w:rsid w:val="0064766B"/>
    <w:rsid w:val="0065079B"/>
    <w:rsid w:val="00656DB7"/>
    <w:rsid w:val="00662C67"/>
    <w:rsid w:val="006B60FE"/>
    <w:rsid w:val="006C40AE"/>
    <w:rsid w:val="006E6431"/>
    <w:rsid w:val="006F3315"/>
    <w:rsid w:val="007027A1"/>
    <w:rsid w:val="0070372B"/>
    <w:rsid w:val="00704336"/>
    <w:rsid w:val="00705854"/>
    <w:rsid w:val="00722A72"/>
    <w:rsid w:val="0073210F"/>
    <w:rsid w:val="00733402"/>
    <w:rsid w:val="0073417E"/>
    <w:rsid w:val="00737704"/>
    <w:rsid w:val="00743F96"/>
    <w:rsid w:val="00747232"/>
    <w:rsid w:val="0076734C"/>
    <w:rsid w:val="0078063A"/>
    <w:rsid w:val="00783118"/>
    <w:rsid w:val="00794639"/>
    <w:rsid w:val="00795AB8"/>
    <w:rsid w:val="007A772C"/>
    <w:rsid w:val="007C3F63"/>
    <w:rsid w:val="007F185A"/>
    <w:rsid w:val="007F27CB"/>
    <w:rsid w:val="007F6051"/>
    <w:rsid w:val="007F6745"/>
    <w:rsid w:val="007F77F3"/>
    <w:rsid w:val="008123C5"/>
    <w:rsid w:val="00831695"/>
    <w:rsid w:val="008327EB"/>
    <w:rsid w:val="00834F7F"/>
    <w:rsid w:val="00835535"/>
    <w:rsid w:val="00845BE2"/>
    <w:rsid w:val="00847120"/>
    <w:rsid w:val="00863F65"/>
    <w:rsid w:val="00864923"/>
    <w:rsid w:val="00866FB0"/>
    <w:rsid w:val="00867863"/>
    <w:rsid w:val="0087167F"/>
    <w:rsid w:val="00874BFC"/>
    <w:rsid w:val="00884C5F"/>
    <w:rsid w:val="00894E2C"/>
    <w:rsid w:val="008A3394"/>
    <w:rsid w:val="008A476A"/>
    <w:rsid w:val="008C4803"/>
    <w:rsid w:val="008D3FFC"/>
    <w:rsid w:val="008D6D96"/>
    <w:rsid w:val="009068E0"/>
    <w:rsid w:val="00907B15"/>
    <w:rsid w:val="00917C57"/>
    <w:rsid w:val="009214DF"/>
    <w:rsid w:val="00923604"/>
    <w:rsid w:val="009258BD"/>
    <w:rsid w:val="00933961"/>
    <w:rsid w:val="009546FE"/>
    <w:rsid w:val="0095473C"/>
    <w:rsid w:val="00954936"/>
    <w:rsid w:val="00955068"/>
    <w:rsid w:val="009631B9"/>
    <w:rsid w:val="00963948"/>
    <w:rsid w:val="00973FB8"/>
    <w:rsid w:val="00976346"/>
    <w:rsid w:val="00981879"/>
    <w:rsid w:val="0098656D"/>
    <w:rsid w:val="00990FBC"/>
    <w:rsid w:val="00995079"/>
    <w:rsid w:val="00996B5B"/>
    <w:rsid w:val="009A33B6"/>
    <w:rsid w:val="009D4C5C"/>
    <w:rsid w:val="009E0D8F"/>
    <w:rsid w:val="009F1224"/>
    <w:rsid w:val="009F55B0"/>
    <w:rsid w:val="00A00443"/>
    <w:rsid w:val="00A106CE"/>
    <w:rsid w:val="00A2064E"/>
    <w:rsid w:val="00A22963"/>
    <w:rsid w:val="00A364B9"/>
    <w:rsid w:val="00A425B1"/>
    <w:rsid w:val="00A43A0A"/>
    <w:rsid w:val="00A52E6C"/>
    <w:rsid w:val="00A52E72"/>
    <w:rsid w:val="00A675F9"/>
    <w:rsid w:val="00A87F74"/>
    <w:rsid w:val="00A92F9F"/>
    <w:rsid w:val="00AB0593"/>
    <w:rsid w:val="00AB7184"/>
    <w:rsid w:val="00AD5430"/>
    <w:rsid w:val="00AE1DCD"/>
    <w:rsid w:val="00AE6C31"/>
    <w:rsid w:val="00B04346"/>
    <w:rsid w:val="00B22BA0"/>
    <w:rsid w:val="00B22F6F"/>
    <w:rsid w:val="00B3241B"/>
    <w:rsid w:val="00B36A28"/>
    <w:rsid w:val="00B4167E"/>
    <w:rsid w:val="00B56B1B"/>
    <w:rsid w:val="00B72218"/>
    <w:rsid w:val="00B90BA4"/>
    <w:rsid w:val="00B928FF"/>
    <w:rsid w:val="00B962E0"/>
    <w:rsid w:val="00BA0A35"/>
    <w:rsid w:val="00BA10B1"/>
    <w:rsid w:val="00BA13B7"/>
    <w:rsid w:val="00BA65B8"/>
    <w:rsid w:val="00BA76B5"/>
    <w:rsid w:val="00BC5C63"/>
    <w:rsid w:val="00BD263E"/>
    <w:rsid w:val="00BD6537"/>
    <w:rsid w:val="00BF1766"/>
    <w:rsid w:val="00C00DA2"/>
    <w:rsid w:val="00C10C79"/>
    <w:rsid w:val="00C20C51"/>
    <w:rsid w:val="00C261A3"/>
    <w:rsid w:val="00C409B9"/>
    <w:rsid w:val="00C634EC"/>
    <w:rsid w:val="00C66545"/>
    <w:rsid w:val="00C8191C"/>
    <w:rsid w:val="00C927D9"/>
    <w:rsid w:val="00C93620"/>
    <w:rsid w:val="00CA3D9F"/>
    <w:rsid w:val="00CA74C5"/>
    <w:rsid w:val="00CB1EB4"/>
    <w:rsid w:val="00CB3DFC"/>
    <w:rsid w:val="00CB5A10"/>
    <w:rsid w:val="00CB6D38"/>
    <w:rsid w:val="00CC29CD"/>
    <w:rsid w:val="00CE6337"/>
    <w:rsid w:val="00CF640C"/>
    <w:rsid w:val="00D04E2D"/>
    <w:rsid w:val="00D11FE4"/>
    <w:rsid w:val="00D152B1"/>
    <w:rsid w:val="00D23242"/>
    <w:rsid w:val="00D23DCB"/>
    <w:rsid w:val="00D3320C"/>
    <w:rsid w:val="00D40D69"/>
    <w:rsid w:val="00D435A3"/>
    <w:rsid w:val="00D4562E"/>
    <w:rsid w:val="00D84293"/>
    <w:rsid w:val="00D9228E"/>
    <w:rsid w:val="00DA4BA7"/>
    <w:rsid w:val="00DB041F"/>
    <w:rsid w:val="00DB316E"/>
    <w:rsid w:val="00DC1EA8"/>
    <w:rsid w:val="00DC5E6F"/>
    <w:rsid w:val="00DD54BF"/>
    <w:rsid w:val="00DE3951"/>
    <w:rsid w:val="00DF643F"/>
    <w:rsid w:val="00DF7A85"/>
    <w:rsid w:val="00E00B28"/>
    <w:rsid w:val="00E014DB"/>
    <w:rsid w:val="00E04EC2"/>
    <w:rsid w:val="00E135A4"/>
    <w:rsid w:val="00E14FE5"/>
    <w:rsid w:val="00E203F1"/>
    <w:rsid w:val="00E2271E"/>
    <w:rsid w:val="00E24ACA"/>
    <w:rsid w:val="00E25E4C"/>
    <w:rsid w:val="00E26770"/>
    <w:rsid w:val="00E30B1D"/>
    <w:rsid w:val="00E32D5A"/>
    <w:rsid w:val="00E526C7"/>
    <w:rsid w:val="00E73F9C"/>
    <w:rsid w:val="00E75E83"/>
    <w:rsid w:val="00EA63EF"/>
    <w:rsid w:val="00EA7E72"/>
    <w:rsid w:val="00EB0442"/>
    <w:rsid w:val="00EC5F03"/>
    <w:rsid w:val="00EE20A2"/>
    <w:rsid w:val="00EE49B0"/>
    <w:rsid w:val="00EF3B51"/>
    <w:rsid w:val="00EF5BA2"/>
    <w:rsid w:val="00F06D23"/>
    <w:rsid w:val="00F1191B"/>
    <w:rsid w:val="00F21B98"/>
    <w:rsid w:val="00F24173"/>
    <w:rsid w:val="00F36E98"/>
    <w:rsid w:val="00F52C6D"/>
    <w:rsid w:val="00F55451"/>
    <w:rsid w:val="00F66F31"/>
    <w:rsid w:val="00F73710"/>
    <w:rsid w:val="00F872E7"/>
    <w:rsid w:val="00FA4373"/>
    <w:rsid w:val="00FB09C6"/>
    <w:rsid w:val="00FB2BBD"/>
    <w:rsid w:val="00FD7A36"/>
    <w:rsid w:val="00FD7C5F"/>
    <w:rsid w:val="00FE193C"/>
    <w:rsid w:val="00FE7DCA"/>
    <w:rsid w:val="00FF0452"/>
    <w:rsid w:val="01003CA4"/>
    <w:rsid w:val="01115B19"/>
    <w:rsid w:val="01121891"/>
    <w:rsid w:val="011B0745"/>
    <w:rsid w:val="011B6997"/>
    <w:rsid w:val="01244937"/>
    <w:rsid w:val="012A4E2C"/>
    <w:rsid w:val="012C2953"/>
    <w:rsid w:val="012D0479"/>
    <w:rsid w:val="013B7FED"/>
    <w:rsid w:val="013D4B60"/>
    <w:rsid w:val="014F6641"/>
    <w:rsid w:val="015B6D94"/>
    <w:rsid w:val="016320EC"/>
    <w:rsid w:val="016814B1"/>
    <w:rsid w:val="016F283F"/>
    <w:rsid w:val="0176597C"/>
    <w:rsid w:val="01790C55"/>
    <w:rsid w:val="017B7436"/>
    <w:rsid w:val="018207C5"/>
    <w:rsid w:val="01AA7D1B"/>
    <w:rsid w:val="01AE3368"/>
    <w:rsid w:val="01B6221C"/>
    <w:rsid w:val="01BD35AB"/>
    <w:rsid w:val="01BD7A4F"/>
    <w:rsid w:val="01CA216C"/>
    <w:rsid w:val="01CF7782"/>
    <w:rsid w:val="01DB6127"/>
    <w:rsid w:val="01EA0118"/>
    <w:rsid w:val="01EE5E5A"/>
    <w:rsid w:val="01FD609D"/>
    <w:rsid w:val="02045CBB"/>
    <w:rsid w:val="021358C1"/>
    <w:rsid w:val="021D229B"/>
    <w:rsid w:val="021D673F"/>
    <w:rsid w:val="021F75A6"/>
    <w:rsid w:val="022E3342"/>
    <w:rsid w:val="02427F54"/>
    <w:rsid w:val="02497534"/>
    <w:rsid w:val="025B2DC4"/>
    <w:rsid w:val="025F0B06"/>
    <w:rsid w:val="027C16B8"/>
    <w:rsid w:val="0284056C"/>
    <w:rsid w:val="0297204E"/>
    <w:rsid w:val="02A66735"/>
    <w:rsid w:val="02A824AD"/>
    <w:rsid w:val="02C1356F"/>
    <w:rsid w:val="02C80459"/>
    <w:rsid w:val="02D037B2"/>
    <w:rsid w:val="02E4100B"/>
    <w:rsid w:val="02F92D08"/>
    <w:rsid w:val="03062D2F"/>
    <w:rsid w:val="03127926"/>
    <w:rsid w:val="0317318F"/>
    <w:rsid w:val="032338E1"/>
    <w:rsid w:val="032558AB"/>
    <w:rsid w:val="032A1114"/>
    <w:rsid w:val="03305FFE"/>
    <w:rsid w:val="034C72DC"/>
    <w:rsid w:val="035E2B6B"/>
    <w:rsid w:val="036C34DA"/>
    <w:rsid w:val="03773C2D"/>
    <w:rsid w:val="03830824"/>
    <w:rsid w:val="03863E70"/>
    <w:rsid w:val="039667A9"/>
    <w:rsid w:val="039D7B38"/>
    <w:rsid w:val="03A2514E"/>
    <w:rsid w:val="03A32C74"/>
    <w:rsid w:val="03A72764"/>
    <w:rsid w:val="03A82039"/>
    <w:rsid w:val="03B95FF4"/>
    <w:rsid w:val="03BC7892"/>
    <w:rsid w:val="03C70711"/>
    <w:rsid w:val="03C76963"/>
    <w:rsid w:val="03D42E2E"/>
    <w:rsid w:val="03DE3CAC"/>
    <w:rsid w:val="03E868D9"/>
    <w:rsid w:val="03EE0393"/>
    <w:rsid w:val="03EF1A15"/>
    <w:rsid w:val="03F92894"/>
    <w:rsid w:val="03FB660C"/>
    <w:rsid w:val="03FD05D6"/>
    <w:rsid w:val="04161698"/>
    <w:rsid w:val="041A1188"/>
    <w:rsid w:val="04267B2D"/>
    <w:rsid w:val="042E253E"/>
    <w:rsid w:val="0430275A"/>
    <w:rsid w:val="04310280"/>
    <w:rsid w:val="043164D2"/>
    <w:rsid w:val="044E2BE0"/>
    <w:rsid w:val="04536448"/>
    <w:rsid w:val="046414C6"/>
    <w:rsid w:val="0466617C"/>
    <w:rsid w:val="04754611"/>
    <w:rsid w:val="047563BF"/>
    <w:rsid w:val="047D5273"/>
    <w:rsid w:val="048C3708"/>
    <w:rsid w:val="048C54B6"/>
    <w:rsid w:val="048E56D2"/>
    <w:rsid w:val="04912ACD"/>
    <w:rsid w:val="04A46CA4"/>
    <w:rsid w:val="04A942BA"/>
    <w:rsid w:val="04B14F1D"/>
    <w:rsid w:val="04B62533"/>
    <w:rsid w:val="04D94B9F"/>
    <w:rsid w:val="04DD3F64"/>
    <w:rsid w:val="04F05A45"/>
    <w:rsid w:val="04FC263C"/>
    <w:rsid w:val="05031C1C"/>
    <w:rsid w:val="050339CA"/>
    <w:rsid w:val="05080FE1"/>
    <w:rsid w:val="05107E95"/>
    <w:rsid w:val="051E0804"/>
    <w:rsid w:val="05263B5D"/>
    <w:rsid w:val="0526590B"/>
    <w:rsid w:val="052971A9"/>
    <w:rsid w:val="052B2F21"/>
    <w:rsid w:val="052B4CCF"/>
    <w:rsid w:val="054D10EA"/>
    <w:rsid w:val="055F6195"/>
    <w:rsid w:val="05681A7F"/>
    <w:rsid w:val="056B1570"/>
    <w:rsid w:val="0571302A"/>
    <w:rsid w:val="058014BF"/>
    <w:rsid w:val="05832D5D"/>
    <w:rsid w:val="058F1702"/>
    <w:rsid w:val="05917228"/>
    <w:rsid w:val="059705B7"/>
    <w:rsid w:val="0599432F"/>
    <w:rsid w:val="059C797B"/>
    <w:rsid w:val="05A54A82"/>
    <w:rsid w:val="05A625A8"/>
    <w:rsid w:val="05AF76AE"/>
    <w:rsid w:val="05B11678"/>
    <w:rsid w:val="05C313AC"/>
    <w:rsid w:val="05C84C14"/>
    <w:rsid w:val="05C869C2"/>
    <w:rsid w:val="05CD222A"/>
    <w:rsid w:val="05CD3EB3"/>
    <w:rsid w:val="05CF7D50"/>
    <w:rsid w:val="05D060DE"/>
    <w:rsid w:val="05DE61E6"/>
    <w:rsid w:val="05EA6938"/>
    <w:rsid w:val="05FD2B10"/>
    <w:rsid w:val="06055520"/>
    <w:rsid w:val="061614DB"/>
    <w:rsid w:val="06222576"/>
    <w:rsid w:val="06224324"/>
    <w:rsid w:val="063127B9"/>
    <w:rsid w:val="063F6C84"/>
    <w:rsid w:val="06451DC1"/>
    <w:rsid w:val="06473D8B"/>
    <w:rsid w:val="065564A8"/>
    <w:rsid w:val="06587D46"/>
    <w:rsid w:val="06604E4C"/>
    <w:rsid w:val="06624721"/>
    <w:rsid w:val="066C1A43"/>
    <w:rsid w:val="066F6E3E"/>
    <w:rsid w:val="068A3C77"/>
    <w:rsid w:val="068C3E93"/>
    <w:rsid w:val="06952D48"/>
    <w:rsid w:val="06A905A2"/>
    <w:rsid w:val="06B156A8"/>
    <w:rsid w:val="06B31420"/>
    <w:rsid w:val="06B50CF4"/>
    <w:rsid w:val="06C54CB0"/>
    <w:rsid w:val="06C61153"/>
    <w:rsid w:val="06CE1DB6"/>
    <w:rsid w:val="06D373CC"/>
    <w:rsid w:val="06DB44D3"/>
    <w:rsid w:val="06DF3FC3"/>
    <w:rsid w:val="06E11AE9"/>
    <w:rsid w:val="06F23CF7"/>
    <w:rsid w:val="070677A2"/>
    <w:rsid w:val="0708351A"/>
    <w:rsid w:val="070B6B66"/>
    <w:rsid w:val="071874D5"/>
    <w:rsid w:val="071C0D73"/>
    <w:rsid w:val="071F2612"/>
    <w:rsid w:val="072916E2"/>
    <w:rsid w:val="07350087"/>
    <w:rsid w:val="07373DFF"/>
    <w:rsid w:val="0737795B"/>
    <w:rsid w:val="07414C7E"/>
    <w:rsid w:val="07591FC8"/>
    <w:rsid w:val="07616BBC"/>
    <w:rsid w:val="07691ADF"/>
    <w:rsid w:val="077961C6"/>
    <w:rsid w:val="0781507A"/>
    <w:rsid w:val="07832BA1"/>
    <w:rsid w:val="07852DBD"/>
    <w:rsid w:val="078608E3"/>
    <w:rsid w:val="078E32D5"/>
    <w:rsid w:val="07966D78"/>
    <w:rsid w:val="07A34FF1"/>
    <w:rsid w:val="07B54D24"/>
    <w:rsid w:val="07BC60B3"/>
    <w:rsid w:val="07C02047"/>
    <w:rsid w:val="07C82CA9"/>
    <w:rsid w:val="07D258D6"/>
    <w:rsid w:val="07EA2C20"/>
    <w:rsid w:val="07F43A9E"/>
    <w:rsid w:val="07F817E1"/>
    <w:rsid w:val="07FE491D"/>
    <w:rsid w:val="07FE66CB"/>
    <w:rsid w:val="08114650"/>
    <w:rsid w:val="081952B3"/>
    <w:rsid w:val="0822060B"/>
    <w:rsid w:val="08326375"/>
    <w:rsid w:val="08393BA7"/>
    <w:rsid w:val="08400A92"/>
    <w:rsid w:val="08514A4D"/>
    <w:rsid w:val="0858402D"/>
    <w:rsid w:val="085D5AE7"/>
    <w:rsid w:val="08626C5A"/>
    <w:rsid w:val="086A1FB2"/>
    <w:rsid w:val="087370B9"/>
    <w:rsid w:val="087D1CE6"/>
    <w:rsid w:val="088E3EF3"/>
    <w:rsid w:val="0895702F"/>
    <w:rsid w:val="089D7C92"/>
    <w:rsid w:val="08A13C26"/>
    <w:rsid w:val="08A52FEB"/>
    <w:rsid w:val="08AA0601"/>
    <w:rsid w:val="08B51480"/>
    <w:rsid w:val="08B576D2"/>
    <w:rsid w:val="08B66FA6"/>
    <w:rsid w:val="08C23B9D"/>
    <w:rsid w:val="08C2594B"/>
    <w:rsid w:val="08D00067"/>
    <w:rsid w:val="08D4742C"/>
    <w:rsid w:val="08EC29C7"/>
    <w:rsid w:val="08EE4992"/>
    <w:rsid w:val="09047D11"/>
    <w:rsid w:val="09063A89"/>
    <w:rsid w:val="09137F54"/>
    <w:rsid w:val="09150170"/>
    <w:rsid w:val="091837BC"/>
    <w:rsid w:val="091F0FEF"/>
    <w:rsid w:val="09271C52"/>
    <w:rsid w:val="092E4D8E"/>
    <w:rsid w:val="093A1985"/>
    <w:rsid w:val="09434CDD"/>
    <w:rsid w:val="094D790A"/>
    <w:rsid w:val="095347F5"/>
    <w:rsid w:val="096D58B6"/>
    <w:rsid w:val="09736C45"/>
    <w:rsid w:val="097430E9"/>
    <w:rsid w:val="09774987"/>
    <w:rsid w:val="097924AD"/>
    <w:rsid w:val="097D1872"/>
    <w:rsid w:val="098826F0"/>
    <w:rsid w:val="098D41AA"/>
    <w:rsid w:val="09A514F4"/>
    <w:rsid w:val="09C33728"/>
    <w:rsid w:val="09C35E1E"/>
    <w:rsid w:val="09D75426"/>
    <w:rsid w:val="09D92F4C"/>
    <w:rsid w:val="09DE4A06"/>
    <w:rsid w:val="09E35B78"/>
    <w:rsid w:val="09EF276F"/>
    <w:rsid w:val="09F064E7"/>
    <w:rsid w:val="09F9140B"/>
    <w:rsid w:val="09F9539C"/>
    <w:rsid w:val="09FC09DC"/>
    <w:rsid w:val="09FC30DE"/>
    <w:rsid w:val="0A081A83"/>
    <w:rsid w:val="0A0A1357"/>
    <w:rsid w:val="0A195A3E"/>
    <w:rsid w:val="0A1C108A"/>
    <w:rsid w:val="0A20501F"/>
    <w:rsid w:val="0A2A7C4B"/>
    <w:rsid w:val="0A2E773B"/>
    <w:rsid w:val="0A426D43"/>
    <w:rsid w:val="0A466107"/>
    <w:rsid w:val="0A4A209B"/>
    <w:rsid w:val="0A544CC8"/>
    <w:rsid w:val="0A5F5B47"/>
    <w:rsid w:val="0A6749FB"/>
    <w:rsid w:val="0A6C0264"/>
    <w:rsid w:val="0A717628"/>
    <w:rsid w:val="0A7E23E8"/>
    <w:rsid w:val="0A801619"/>
    <w:rsid w:val="0A856C30"/>
    <w:rsid w:val="0A8A693C"/>
    <w:rsid w:val="0A8C4462"/>
    <w:rsid w:val="0A8C7FBE"/>
    <w:rsid w:val="0AA03A6A"/>
    <w:rsid w:val="0AB85257"/>
    <w:rsid w:val="0ABA0FCF"/>
    <w:rsid w:val="0AC459AA"/>
    <w:rsid w:val="0AC736EC"/>
    <w:rsid w:val="0AD6392F"/>
    <w:rsid w:val="0AEF054D"/>
    <w:rsid w:val="0AF618DB"/>
    <w:rsid w:val="0AFB3396"/>
    <w:rsid w:val="0B2226D0"/>
    <w:rsid w:val="0B3A3EBE"/>
    <w:rsid w:val="0B5A630E"/>
    <w:rsid w:val="0B5C5BE2"/>
    <w:rsid w:val="0B705B32"/>
    <w:rsid w:val="0B753148"/>
    <w:rsid w:val="0B786794"/>
    <w:rsid w:val="0B7F5D75"/>
    <w:rsid w:val="0B837613"/>
    <w:rsid w:val="0B845139"/>
    <w:rsid w:val="0B865355"/>
    <w:rsid w:val="0B9335CE"/>
    <w:rsid w:val="0BA852CC"/>
    <w:rsid w:val="0BA8707A"/>
    <w:rsid w:val="0BC867E1"/>
    <w:rsid w:val="0BD04822"/>
    <w:rsid w:val="0BD065D0"/>
    <w:rsid w:val="0BE04A65"/>
    <w:rsid w:val="0BF26547"/>
    <w:rsid w:val="0BFE313E"/>
    <w:rsid w:val="0C012C2E"/>
    <w:rsid w:val="0C087B18"/>
    <w:rsid w:val="0C1E558E"/>
    <w:rsid w:val="0C30706F"/>
    <w:rsid w:val="0C450D6C"/>
    <w:rsid w:val="0C547201"/>
    <w:rsid w:val="0C5B40EC"/>
    <w:rsid w:val="0C7358DA"/>
    <w:rsid w:val="0C7B02EA"/>
    <w:rsid w:val="0C8F1FE8"/>
    <w:rsid w:val="0C9E047D"/>
    <w:rsid w:val="0C9E222B"/>
    <w:rsid w:val="0CA737D5"/>
    <w:rsid w:val="0CAD06C0"/>
    <w:rsid w:val="0CB47CA0"/>
    <w:rsid w:val="0CBB4B8B"/>
    <w:rsid w:val="0CC46135"/>
    <w:rsid w:val="0CE30634"/>
    <w:rsid w:val="0CE95B9C"/>
    <w:rsid w:val="0CEA36C2"/>
    <w:rsid w:val="0D197B03"/>
    <w:rsid w:val="0D2A1D10"/>
    <w:rsid w:val="0D2E7A52"/>
    <w:rsid w:val="0D3D5EE8"/>
    <w:rsid w:val="0D5F5E5E"/>
    <w:rsid w:val="0D703BC7"/>
    <w:rsid w:val="0D766D04"/>
    <w:rsid w:val="0D767C8F"/>
    <w:rsid w:val="0D7D4536"/>
    <w:rsid w:val="0D814026"/>
    <w:rsid w:val="0D8D4779"/>
    <w:rsid w:val="0D8E04F1"/>
    <w:rsid w:val="0DA815B3"/>
    <w:rsid w:val="0DB25F8E"/>
    <w:rsid w:val="0DB8556E"/>
    <w:rsid w:val="0DD56120"/>
    <w:rsid w:val="0DDC125D"/>
    <w:rsid w:val="0DDC300B"/>
    <w:rsid w:val="0DDE3227"/>
    <w:rsid w:val="0DE620DB"/>
    <w:rsid w:val="0DF02F5A"/>
    <w:rsid w:val="0DF90060"/>
    <w:rsid w:val="0E107158"/>
    <w:rsid w:val="0E1E7AC7"/>
    <w:rsid w:val="0E1F1149"/>
    <w:rsid w:val="0E2C21E4"/>
    <w:rsid w:val="0E3F3599"/>
    <w:rsid w:val="0E4137B5"/>
    <w:rsid w:val="0E4A1FB2"/>
    <w:rsid w:val="0E4B0190"/>
    <w:rsid w:val="0E4D5CB6"/>
    <w:rsid w:val="0E5A03D3"/>
    <w:rsid w:val="0E60562A"/>
    <w:rsid w:val="0E63197E"/>
    <w:rsid w:val="0E6A6868"/>
    <w:rsid w:val="0E707BF7"/>
    <w:rsid w:val="0E794CFD"/>
    <w:rsid w:val="0E820056"/>
    <w:rsid w:val="0E87566C"/>
    <w:rsid w:val="0E8A0CB9"/>
    <w:rsid w:val="0E8D2557"/>
    <w:rsid w:val="0E8F2773"/>
    <w:rsid w:val="0E903DF5"/>
    <w:rsid w:val="0E987A2F"/>
    <w:rsid w:val="0EA0672E"/>
    <w:rsid w:val="0EC51CF1"/>
    <w:rsid w:val="0EE3661B"/>
    <w:rsid w:val="0EE859DF"/>
    <w:rsid w:val="0F0C5B71"/>
    <w:rsid w:val="0F1B5DB5"/>
    <w:rsid w:val="0F1D40EC"/>
    <w:rsid w:val="0F31382A"/>
    <w:rsid w:val="0F3550C8"/>
    <w:rsid w:val="0F362BEE"/>
    <w:rsid w:val="0F384BB8"/>
    <w:rsid w:val="0F3A448D"/>
    <w:rsid w:val="0F3D3F7D"/>
    <w:rsid w:val="0F563291"/>
    <w:rsid w:val="0F5B4403"/>
    <w:rsid w:val="0F625791"/>
    <w:rsid w:val="0F655282"/>
    <w:rsid w:val="0F6A2898"/>
    <w:rsid w:val="0F711E78"/>
    <w:rsid w:val="0F7554C5"/>
    <w:rsid w:val="0F7F4595"/>
    <w:rsid w:val="0F8120BC"/>
    <w:rsid w:val="0F824086"/>
    <w:rsid w:val="0F825E34"/>
    <w:rsid w:val="0F931DEF"/>
    <w:rsid w:val="0F957915"/>
    <w:rsid w:val="0F96368D"/>
    <w:rsid w:val="0F975765"/>
    <w:rsid w:val="0FA7589A"/>
    <w:rsid w:val="0FA933C0"/>
    <w:rsid w:val="0FA97864"/>
    <w:rsid w:val="0FAB7138"/>
    <w:rsid w:val="0FB6788B"/>
    <w:rsid w:val="0FBA55CD"/>
    <w:rsid w:val="0FC87CEA"/>
    <w:rsid w:val="0FD52407"/>
    <w:rsid w:val="0FD61CDB"/>
    <w:rsid w:val="0FDA17CC"/>
    <w:rsid w:val="0FEB1C2B"/>
    <w:rsid w:val="0FED59A3"/>
    <w:rsid w:val="0FF24D67"/>
    <w:rsid w:val="0FF30ADF"/>
    <w:rsid w:val="0FF54858"/>
    <w:rsid w:val="0FF56606"/>
    <w:rsid w:val="0FFA00C0"/>
    <w:rsid w:val="0FFE195E"/>
    <w:rsid w:val="100D7DF3"/>
    <w:rsid w:val="10101691"/>
    <w:rsid w:val="101271B8"/>
    <w:rsid w:val="10264A11"/>
    <w:rsid w:val="103435D2"/>
    <w:rsid w:val="104D4694"/>
    <w:rsid w:val="105A3B37"/>
    <w:rsid w:val="10667503"/>
    <w:rsid w:val="106F0166"/>
    <w:rsid w:val="10710382"/>
    <w:rsid w:val="107C2883"/>
    <w:rsid w:val="107E2A9F"/>
    <w:rsid w:val="108300B5"/>
    <w:rsid w:val="10831E63"/>
    <w:rsid w:val="10991687"/>
    <w:rsid w:val="10A047C3"/>
    <w:rsid w:val="10A32505"/>
    <w:rsid w:val="10A342B4"/>
    <w:rsid w:val="10A87B1C"/>
    <w:rsid w:val="10AC13BA"/>
    <w:rsid w:val="10CA7A92"/>
    <w:rsid w:val="10CF32FA"/>
    <w:rsid w:val="10D97CD5"/>
    <w:rsid w:val="10E36DA6"/>
    <w:rsid w:val="10E50428"/>
    <w:rsid w:val="10E87F18"/>
    <w:rsid w:val="10FD1C16"/>
    <w:rsid w:val="1102722C"/>
    <w:rsid w:val="11056D1C"/>
    <w:rsid w:val="110C1E59"/>
    <w:rsid w:val="111B209C"/>
    <w:rsid w:val="112E6273"/>
    <w:rsid w:val="11380EA0"/>
    <w:rsid w:val="113E5D8A"/>
    <w:rsid w:val="115F642C"/>
    <w:rsid w:val="11627CCB"/>
    <w:rsid w:val="116E041E"/>
    <w:rsid w:val="1173012A"/>
    <w:rsid w:val="117619C8"/>
    <w:rsid w:val="117A5014"/>
    <w:rsid w:val="11877731"/>
    <w:rsid w:val="118B5473"/>
    <w:rsid w:val="11943BFC"/>
    <w:rsid w:val="11AE4CBE"/>
    <w:rsid w:val="11BC387F"/>
    <w:rsid w:val="11BF511D"/>
    <w:rsid w:val="11C444E1"/>
    <w:rsid w:val="11CC15E8"/>
    <w:rsid w:val="11F12DFD"/>
    <w:rsid w:val="120E7E53"/>
    <w:rsid w:val="121511E1"/>
    <w:rsid w:val="122431D2"/>
    <w:rsid w:val="12303925"/>
    <w:rsid w:val="123A47A4"/>
    <w:rsid w:val="12463148"/>
    <w:rsid w:val="12655CC4"/>
    <w:rsid w:val="12751C80"/>
    <w:rsid w:val="127759F8"/>
    <w:rsid w:val="12816876"/>
    <w:rsid w:val="1288550F"/>
    <w:rsid w:val="1299596E"/>
    <w:rsid w:val="12AA1929"/>
    <w:rsid w:val="12AF0CEE"/>
    <w:rsid w:val="12B502CE"/>
    <w:rsid w:val="12B91B6C"/>
    <w:rsid w:val="12B96010"/>
    <w:rsid w:val="12CD1ABC"/>
    <w:rsid w:val="12D746E8"/>
    <w:rsid w:val="12E52961"/>
    <w:rsid w:val="12F07F48"/>
    <w:rsid w:val="130848A2"/>
    <w:rsid w:val="13086650"/>
    <w:rsid w:val="130B7EEE"/>
    <w:rsid w:val="1319085D"/>
    <w:rsid w:val="131D659F"/>
    <w:rsid w:val="13201BEB"/>
    <w:rsid w:val="132D4308"/>
    <w:rsid w:val="132F62D2"/>
    <w:rsid w:val="1332191F"/>
    <w:rsid w:val="133833D9"/>
    <w:rsid w:val="133D09EF"/>
    <w:rsid w:val="1340228E"/>
    <w:rsid w:val="134A6C68"/>
    <w:rsid w:val="13561AB1"/>
    <w:rsid w:val="135B0E75"/>
    <w:rsid w:val="135D4BEE"/>
    <w:rsid w:val="135E44C2"/>
    <w:rsid w:val="13855EF2"/>
    <w:rsid w:val="13897791"/>
    <w:rsid w:val="138C54D3"/>
    <w:rsid w:val="13906D71"/>
    <w:rsid w:val="13914897"/>
    <w:rsid w:val="13927349"/>
    <w:rsid w:val="13A4281C"/>
    <w:rsid w:val="13AC347F"/>
    <w:rsid w:val="13B16CE7"/>
    <w:rsid w:val="13BB79E5"/>
    <w:rsid w:val="13C609E5"/>
    <w:rsid w:val="13D36C5E"/>
    <w:rsid w:val="13D529D6"/>
    <w:rsid w:val="13E62E35"/>
    <w:rsid w:val="13E7095B"/>
    <w:rsid w:val="13F07810"/>
    <w:rsid w:val="13F37300"/>
    <w:rsid w:val="13F54E26"/>
    <w:rsid w:val="13FC61B5"/>
    <w:rsid w:val="14011A1D"/>
    <w:rsid w:val="140C322B"/>
    <w:rsid w:val="14172FEE"/>
    <w:rsid w:val="14204272"/>
    <w:rsid w:val="142B6A9A"/>
    <w:rsid w:val="14333BA0"/>
    <w:rsid w:val="1433594E"/>
    <w:rsid w:val="143516C6"/>
    <w:rsid w:val="14373691"/>
    <w:rsid w:val="143A0A8B"/>
    <w:rsid w:val="14411E19"/>
    <w:rsid w:val="1448764C"/>
    <w:rsid w:val="14575AE1"/>
    <w:rsid w:val="145853B5"/>
    <w:rsid w:val="145D29CB"/>
    <w:rsid w:val="147C5547"/>
    <w:rsid w:val="14860174"/>
    <w:rsid w:val="14883EEC"/>
    <w:rsid w:val="148D1503"/>
    <w:rsid w:val="148F527B"/>
    <w:rsid w:val="148F7029"/>
    <w:rsid w:val="14A01236"/>
    <w:rsid w:val="14A405FA"/>
    <w:rsid w:val="14AF76CB"/>
    <w:rsid w:val="14BC76F2"/>
    <w:rsid w:val="14C01A49"/>
    <w:rsid w:val="14CB5B87"/>
    <w:rsid w:val="14D013EF"/>
    <w:rsid w:val="14D7452C"/>
    <w:rsid w:val="14D902A4"/>
    <w:rsid w:val="14DC5FE6"/>
    <w:rsid w:val="14E135FC"/>
    <w:rsid w:val="14EA425F"/>
    <w:rsid w:val="14EB79FD"/>
    <w:rsid w:val="15007F26"/>
    <w:rsid w:val="150A4901"/>
    <w:rsid w:val="150D619F"/>
    <w:rsid w:val="15127B34"/>
    <w:rsid w:val="15267261"/>
    <w:rsid w:val="152754B3"/>
    <w:rsid w:val="1528122B"/>
    <w:rsid w:val="152C2AC9"/>
    <w:rsid w:val="152D239E"/>
    <w:rsid w:val="15323E58"/>
    <w:rsid w:val="1534197E"/>
    <w:rsid w:val="153876C0"/>
    <w:rsid w:val="15415E49"/>
    <w:rsid w:val="15567B46"/>
    <w:rsid w:val="155D0ED5"/>
    <w:rsid w:val="155E69FB"/>
    <w:rsid w:val="156C736A"/>
    <w:rsid w:val="156D6C3E"/>
    <w:rsid w:val="156F29B6"/>
    <w:rsid w:val="158E72E0"/>
    <w:rsid w:val="158F12AA"/>
    <w:rsid w:val="15A22D8C"/>
    <w:rsid w:val="15B11221"/>
    <w:rsid w:val="15DB004C"/>
    <w:rsid w:val="15EE4223"/>
    <w:rsid w:val="15F86E50"/>
    <w:rsid w:val="160550C9"/>
    <w:rsid w:val="1606331B"/>
    <w:rsid w:val="16092E0B"/>
    <w:rsid w:val="16105F47"/>
    <w:rsid w:val="1615355E"/>
    <w:rsid w:val="161A5018"/>
    <w:rsid w:val="163C4F8E"/>
    <w:rsid w:val="163F05DA"/>
    <w:rsid w:val="16493207"/>
    <w:rsid w:val="16585B40"/>
    <w:rsid w:val="165A5414"/>
    <w:rsid w:val="166E0EC0"/>
    <w:rsid w:val="166E41A9"/>
    <w:rsid w:val="16781D3E"/>
    <w:rsid w:val="16895CFA"/>
    <w:rsid w:val="16900E36"/>
    <w:rsid w:val="169528F0"/>
    <w:rsid w:val="1695644C"/>
    <w:rsid w:val="169C77DB"/>
    <w:rsid w:val="16A3500D"/>
    <w:rsid w:val="16A448E1"/>
    <w:rsid w:val="16B234A2"/>
    <w:rsid w:val="16CA259A"/>
    <w:rsid w:val="16D01B7A"/>
    <w:rsid w:val="16DE7DF3"/>
    <w:rsid w:val="16E96798"/>
    <w:rsid w:val="16F615E1"/>
    <w:rsid w:val="16FE0496"/>
    <w:rsid w:val="170A6E3A"/>
    <w:rsid w:val="170B670F"/>
    <w:rsid w:val="17127A9D"/>
    <w:rsid w:val="17163A31"/>
    <w:rsid w:val="17173305"/>
    <w:rsid w:val="17231CAA"/>
    <w:rsid w:val="17255A22"/>
    <w:rsid w:val="172577D0"/>
    <w:rsid w:val="1732013F"/>
    <w:rsid w:val="17326391"/>
    <w:rsid w:val="1735378C"/>
    <w:rsid w:val="173C0FBE"/>
    <w:rsid w:val="173C4B1A"/>
    <w:rsid w:val="174A7237"/>
    <w:rsid w:val="174F484D"/>
    <w:rsid w:val="174F6F43"/>
    <w:rsid w:val="17683B61"/>
    <w:rsid w:val="176D1177"/>
    <w:rsid w:val="178766DD"/>
    <w:rsid w:val="178D5376"/>
    <w:rsid w:val="178F10EE"/>
    <w:rsid w:val="17DE3E23"/>
    <w:rsid w:val="17DF2075"/>
    <w:rsid w:val="17E458DD"/>
    <w:rsid w:val="181066D2"/>
    <w:rsid w:val="18131D1F"/>
    <w:rsid w:val="181810E3"/>
    <w:rsid w:val="18185587"/>
    <w:rsid w:val="181F06C4"/>
    <w:rsid w:val="182A7068"/>
    <w:rsid w:val="182B52BA"/>
    <w:rsid w:val="183A54FD"/>
    <w:rsid w:val="18493992"/>
    <w:rsid w:val="18506ACF"/>
    <w:rsid w:val="185365BF"/>
    <w:rsid w:val="185C5BFE"/>
    <w:rsid w:val="18616F2E"/>
    <w:rsid w:val="18664544"/>
    <w:rsid w:val="18673E19"/>
    <w:rsid w:val="18694035"/>
    <w:rsid w:val="18700F1F"/>
    <w:rsid w:val="187C6677"/>
    <w:rsid w:val="187D363C"/>
    <w:rsid w:val="18846779"/>
    <w:rsid w:val="189F35B2"/>
    <w:rsid w:val="18A137CE"/>
    <w:rsid w:val="18A312F5"/>
    <w:rsid w:val="18AC5CCF"/>
    <w:rsid w:val="18AE37F5"/>
    <w:rsid w:val="18B2778A"/>
    <w:rsid w:val="18B51028"/>
    <w:rsid w:val="18BD7EDC"/>
    <w:rsid w:val="18C474BD"/>
    <w:rsid w:val="18D55226"/>
    <w:rsid w:val="18F25DD8"/>
    <w:rsid w:val="18F41B50"/>
    <w:rsid w:val="18F953B8"/>
    <w:rsid w:val="18FF4051"/>
    <w:rsid w:val="19143FA0"/>
    <w:rsid w:val="19145D4E"/>
    <w:rsid w:val="19157D18"/>
    <w:rsid w:val="191B532F"/>
    <w:rsid w:val="19263CD4"/>
    <w:rsid w:val="192C54AB"/>
    <w:rsid w:val="192C753C"/>
    <w:rsid w:val="19410B0E"/>
    <w:rsid w:val="194A1770"/>
    <w:rsid w:val="195425EF"/>
    <w:rsid w:val="195C14A3"/>
    <w:rsid w:val="19670574"/>
    <w:rsid w:val="19744A3F"/>
    <w:rsid w:val="197B401F"/>
    <w:rsid w:val="197E141A"/>
    <w:rsid w:val="19805192"/>
    <w:rsid w:val="19832ED4"/>
    <w:rsid w:val="199B1FCC"/>
    <w:rsid w:val="19A215AC"/>
    <w:rsid w:val="19A370D2"/>
    <w:rsid w:val="19CE05F3"/>
    <w:rsid w:val="19D83220"/>
    <w:rsid w:val="19E75211"/>
    <w:rsid w:val="19EC2827"/>
    <w:rsid w:val="19EC6CCB"/>
    <w:rsid w:val="19F53DD2"/>
    <w:rsid w:val="19F65454"/>
    <w:rsid w:val="19FC3617"/>
    <w:rsid w:val="1A085187"/>
    <w:rsid w:val="1A0C2EC9"/>
    <w:rsid w:val="1A1B310D"/>
    <w:rsid w:val="1A1B4EBB"/>
    <w:rsid w:val="1A1F0E4F"/>
    <w:rsid w:val="1A271AB1"/>
    <w:rsid w:val="1A2975D8"/>
    <w:rsid w:val="1A2E1092"/>
    <w:rsid w:val="1A495ECC"/>
    <w:rsid w:val="1A4C1518"/>
    <w:rsid w:val="1A4E703E"/>
    <w:rsid w:val="1A654388"/>
    <w:rsid w:val="1A6E148E"/>
    <w:rsid w:val="1A7016AA"/>
    <w:rsid w:val="1A734CF7"/>
    <w:rsid w:val="1A7647E7"/>
    <w:rsid w:val="1A78064A"/>
    <w:rsid w:val="1A862C7C"/>
    <w:rsid w:val="1A9133CF"/>
    <w:rsid w:val="1A935399"/>
    <w:rsid w:val="1AAB26E2"/>
    <w:rsid w:val="1ABC669E"/>
    <w:rsid w:val="1ABF08C1"/>
    <w:rsid w:val="1AC27A2C"/>
    <w:rsid w:val="1AD02149"/>
    <w:rsid w:val="1AEB2ADF"/>
    <w:rsid w:val="1AF23E6D"/>
    <w:rsid w:val="1B043BA1"/>
    <w:rsid w:val="1B0644E6"/>
    <w:rsid w:val="1B0911B7"/>
    <w:rsid w:val="1B0B4F2F"/>
    <w:rsid w:val="1B1738D4"/>
    <w:rsid w:val="1B2304CB"/>
    <w:rsid w:val="1B252495"/>
    <w:rsid w:val="1B293607"/>
    <w:rsid w:val="1B2B737F"/>
    <w:rsid w:val="1B2D759B"/>
    <w:rsid w:val="1B324BB2"/>
    <w:rsid w:val="1B3426D8"/>
    <w:rsid w:val="1B384CE9"/>
    <w:rsid w:val="1B4346C9"/>
    <w:rsid w:val="1B530684"/>
    <w:rsid w:val="1B5373C0"/>
    <w:rsid w:val="1B5543FC"/>
    <w:rsid w:val="1B5A7C65"/>
    <w:rsid w:val="1B632FBD"/>
    <w:rsid w:val="1B666609"/>
    <w:rsid w:val="1B682381"/>
    <w:rsid w:val="1B7E7DF7"/>
    <w:rsid w:val="1B813443"/>
    <w:rsid w:val="1B866CAC"/>
    <w:rsid w:val="1B9118D8"/>
    <w:rsid w:val="1B966EEF"/>
    <w:rsid w:val="1B99253B"/>
    <w:rsid w:val="1B9C202B"/>
    <w:rsid w:val="1BB43819"/>
    <w:rsid w:val="1BB90E2F"/>
    <w:rsid w:val="1BE93D8B"/>
    <w:rsid w:val="1BFB4FA4"/>
    <w:rsid w:val="1C033E58"/>
    <w:rsid w:val="1C142509"/>
    <w:rsid w:val="1C204A0A"/>
    <w:rsid w:val="1C2C7853"/>
    <w:rsid w:val="1C3109C5"/>
    <w:rsid w:val="1C3404B6"/>
    <w:rsid w:val="1C463FF3"/>
    <w:rsid w:val="1C533032"/>
    <w:rsid w:val="1C5446B4"/>
    <w:rsid w:val="1C550B58"/>
    <w:rsid w:val="1C56667E"/>
    <w:rsid w:val="1C5841A4"/>
    <w:rsid w:val="1C5D17BA"/>
    <w:rsid w:val="1C694603"/>
    <w:rsid w:val="1C744D56"/>
    <w:rsid w:val="1C7F7983"/>
    <w:rsid w:val="1C876837"/>
    <w:rsid w:val="1C890801"/>
    <w:rsid w:val="1C8A6328"/>
    <w:rsid w:val="1C902648"/>
    <w:rsid w:val="1CA4388D"/>
    <w:rsid w:val="1CA613B3"/>
    <w:rsid w:val="1CBA6C0D"/>
    <w:rsid w:val="1CBB4733"/>
    <w:rsid w:val="1CD203FA"/>
    <w:rsid w:val="1CD51C99"/>
    <w:rsid w:val="1CDC4DD5"/>
    <w:rsid w:val="1CF540E9"/>
    <w:rsid w:val="1CF85987"/>
    <w:rsid w:val="1CF87735"/>
    <w:rsid w:val="1D0936F0"/>
    <w:rsid w:val="1D0B1216"/>
    <w:rsid w:val="1D0C4F8F"/>
    <w:rsid w:val="1D0D1432"/>
    <w:rsid w:val="1D1327C1"/>
    <w:rsid w:val="1D1E53EE"/>
    <w:rsid w:val="1D210A3A"/>
    <w:rsid w:val="1D214EDE"/>
    <w:rsid w:val="1D3544E5"/>
    <w:rsid w:val="1D41732E"/>
    <w:rsid w:val="1D5D57EA"/>
    <w:rsid w:val="1D5E3A3C"/>
    <w:rsid w:val="1D6B7F07"/>
    <w:rsid w:val="1D725739"/>
    <w:rsid w:val="1D7B2840"/>
    <w:rsid w:val="1D85546D"/>
    <w:rsid w:val="1D8611E5"/>
    <w:rsid w:val="1D884F5D"/>
    <w:rsid w:val="1D8D4321"/>
    <w:rsid w:val="1DBB0E8E"/>
    <w:rsid w:val="1DBC0763"/>
    <w:rsid w:val="1DC55869"/>
    <w:rsid w:val="1DCB6BF8"/>
    <w:rsid w:val="1DD309C6"/>
    <w:rsid w:val="1DE5415D"/>
    <w:rsid w:val="1DE657E0"/>
    <w:rsid w:val="1DED3012"/>
    <w:rsid w:val="1DF16B20"/>
    <w:rsid w:val="1DF24184"/>
    <w:rsid w:val="1DFB74DD"/>
    <w:rsid w:val="1E0068A1"/>
    <w:rsid w:val="1E012619"/>
    <w:rsid w:val="1E0821D6"/>
    <w:rsid w:val="1E0A5972"/>
    <w:rsid w:val="1E0C3498"/>
    <w:rsid w:val="1E1265D5"/>
    <w:rsid w:val="1E18008F"/>
    <w:rsid w:val="1E220F0E"/>
    <w:rsid w:val="1E2C58E8"/>
    <w:rsid w:val="1E340C41"/>
    <w:rsid w:val="1E472722"/>
    <w:rsid w:val="1E4A0464"/>
    <w:rsid w:val="1E4D585F"/>
    <w:rsid w:val="1E4E1D03"/>
    <w:rsid w:val="1E544E3F"/>
    <w:rsid w:val="1E57048B"/>
    <w:rsid w:val="1E594203"/>
    <w:rsid w:val="1E636E30"/>
    <w:rsid w:val="1E6A01BF"/>
    <w:rsid w:val="1E763007"/>
    <w:rsid w:val="1E85149C"/>
    <w:rsid w:val="1E892D3B"/>
    <w:rsid w:val="1E8A260F"/>
    <w:rsid w:val="1E8E65A3"/>
    <w:rsid w:val="1E933BB9"/>
    <w:rsid w:val="1E9A6CF6"/>
    <w:rsid w:val="1EA9518B"/>
    <w:rsid w:val="1EAB7A4C"/>
    <w:rsid w:val="1EB15DEE"/>
    <w:rsid w:val="1EBA1146"/>
    <w:rsid w:val="1EBB6C6C"/>
    <w:rsid w:val="1EBF675C"/>
    <w:rsid w:val="1EC04283"/>
    <w:rsid w:val="1ECE699F"/>
    <w:rsid w:val="1ED63AA6"/>
    <w:rsid w:val="1EDD6BE3"/>
    <w:rsid w:val="1EED151B"/>
    <w:rsid w:val="1F02489B"/>
    <w:rsid w:val="1F0423C1"/>
    <w:rsid w:val="1F1F71FB"/>
    <w:rsid w:val="1F2111C5"/>
    <w:rsid w:val="1F3F164B"/>
    <w:rsid w:val="1F4924CA"/>
    <w:rsid w:val="1F5275D0"/>
    <w:rsid w:val="1F63358C"/>
    <w:rsid w:val="1F6966C8"/>
    <w:rsid w:val="1F86727A"/>
    <w:rsid w:val="1F95570F"/>
    <w:rsid w:val="1FA83694"/>
    <w:rsid w:val="1FB75686"/>
    <w:rsid w:val="1FB77434"/>
    <w:rsid w:val="1FC009DE"/>
    <w:rsid w:val="1FCF6E73"/>
    <w:rsid w:val="1FDE70B6"/>
    <w:rsid w:val="1FE02E2E"/>
    <w:rsid w:val="1FE16BA6"/>
    <w:rsid w:val="1FEC17D3"/>
    <w:rsid w:val="1FF57F5C"/>
    <w:rsid w:val="1FF97A4C"/>
    <w:rsid w:val="2007660D"/>
    <w:rsid w:val="20166850"/>
    <w:rsid w:val="20344F28"/>
    <w:rsid w:val="204038CD"/>
    <w:rsid w:val="204C4020"/>
    <w:rsid w:val="205A4E43"/>
    <w:rsid w:val="205B4263"/>
    <w:rsid w:val="20605D1D"/>
    <w:rsid w:val="20670E5A"/>
    <w:rsid w:val="20765541"/>
    <w:rsid w:val="207D68CF"/>
    <w:rsid w:val="20831A0C"/>
    <w:rsid w:val="209B4FA7"/>
    <w:rsid w:val="20B56069"/>
    <w:rsid w:val="20CA13E8"/>
    <w:rsid w:val="20D02EA3"/>
    <w:rsid w:val="20D9162C"/>
    <w:rsid w:val="20DB1848"/>
    <w:rsid w:val="20F546B7"/>
    <w:rsid w:val="20FB5A46"/>
    <w:rsid w:val="20FC3C98"/>
    <w:rsid w:val="20FF72E4"/>
    <w:rsid w:val="210448FA"/>
    <w:rsid w:val="21076199"/>
    <w:rsid w:val="21091F11"/>
    <w:rsid w:val="211014F1"/>
    <w:rsid w:val="21134B3E"/>
    <w:rsid w:val="211600C9"/>
    <w:rsid w:val="211F34E2"/>
    <w:rsid w:val="21222FD3"/>
    <w:rsid w:val="213571AA"/>
    <w:rsid w:val="214747E7"/>
    <w:rsid w:val="21621621"/>
    <w:rsid w:val="21690C01"/>
    <w:rsid w:val="21731A80"/>
    <w:rsid w:val="2173382E"/>
    <w:rsid w:val="217F6677"/>
    <w:rsid w:val="21817CF9"/>
    <w:rsid w:val="218C669E"/>
    <w:rsid w:val="219739C1"/>
    <w:rsid w:val="21A460DD"/>
    <w:rsid w:val="21B87493"/>
    <w:rsid w:val="21BA76AF"/>
    <w:rsid w:val="21BE719F"/>
    <w:rsid w:val="21CD73E2"/>
    <w:rsid w:val="21D00C81"/>
    <w:rsid w:val="21D40771"/>
    <w:rsid w:val="21E64000"/>
    <w:rsid w:val="21FC3824"/>
    <w:rsid w:val="21FC7CC7"/>
    <w:rsid w:val="220A4192"/>
    <w:rsid w:val="22160D89"/>
    <w:rsid w:val="221C5C74"/>
    <w:rsid w:val="22280ABD"/>
    <w:rsid w:val="223034CD"/>
    <w:rsid w:val="22327245"/>
    <w:rsid w:val="2234120F"/>
    <w:rsid w:val="223B434C"/>
    <w:rsid w:val="223E3E3C"/>
    <w:rsid w:val="22405E06"/>
    <w:rsid w:val="22573150"/>
    <w:rsid w:val="225862E9"/>
    <w:rsid w:val="225C42C2"/>
    <w:rsid w:val="226A2E83"/>
    <w:rsid w:val="226F4EA5"/>
    <w:rsid w:val="22747619"/>
    <w:rsid w:val="22794E74"/>
    <w:rsid w:val="227B6E3E"/>
    <w:rsid w:val="228C2DF9"/>
    <w:rsid w:val="228D0920"/>
    <w:rsid w:val="228E4DC3"/>
    <w:rsid w:val="22910410"/>
    <w:rsid w:val="229121BE"/>
    <w:rsid w:val="229E0D7F"/>
    <w:rsid w:val="22A5210D"/>
    <w:rsid w:val="22A77C33"/>
    <w:rsid w:val="22AD2D70"/>
    <w:rsid w:val="22B8599C"/>
    <w:rsid w:val="22BD1205"/>
    <w:rsid w:val="22C81958"/>
    <w:rsid w:val="22D24584"/>
    <w:rsid w:val="22DA1DB7"/>
    <w:rsid w:val="22DB78DD"/>
    <w:rsid w:val="22DF73CD"/>
    <w:rsid w:val="22E744D4"/>
    <w:rsid w:val="22EE01FF"/>
    <w:rsid w:val="22F95FB5"/>
    <w:rsid w:val="22FD7853"/>
    <w:rsid w:val="230E380E"/>
    <w:rsid w:val="23111551"/>
    <w:rsid w:val="23152DEF"/>
    <w:rsid w:val="23362D65"/>
    <w:rsid w:val="234731C4"/>
    <w:rsid w:val="234E6301"/>
    <w:rsid w:val="234F0D41"/>
    <w:rsid w:val="23566F63"/>
    <w:rsid w:val="23671171"/>
    <w:rsid w:val="237C2E6E"/>
    <w:rsid w:val="23847F75"/>
    <w:rsid w:val="23944B8D"/>
    <w:rsid w:val="23A221A9"/>
    <w:rsid w:val="23A91789"/>
    <w:rsid w:val="23AB72AF"/>
    <w:rsid w:val="23AD74CB"/>
    <w:rsid w:val="23AE4FF1"/>
    <w:rsid w:val="23B51EDC"/>
    <w:rsid w:val="23B56380"/>
    <w:rsid w:val="23B95E70"/>
    <w:rsid w:val="23BE7B11"/>
    <w:rsid w:val="23BF0FAD"/>
    <w:rsid w:val="23C91E2B"/>
    <w:rsid w:val="23D04F68"/>
    <w:rsid w:val="23D700A4"/>
    <w:rsid w:val="23DA1943"/>
    <w:rsid w:val="23DF51AB"/>
    <w:rsid w:val="24062738"/>
    <w:rsid w:val="240F5A90"/>
    <w:rsid w:val="241906BD"/>
    <w:rsid w:val="241A2687"/>
    <w:rsid w:val="241F1A4B"/>
    <w:rsid w:val="242B03F0"/>
    <w:rsid w:val="245142FB"/>
    <w:rsid w:val="247104F9"/>
    <w:rsid w:val="24743B45"/>
    <w:rsid w:val="248A3369"/>
    <w:rsid w:val="248A5117"/>
    <w:rsid w:val="248C5333"/>
    <w:rsid w:val="24A7216D"/>
    <w:rsid w:val="24AF2DCF"/>
    <w:rsid w:val="24C83E91"/>
    <w:rsid w:val="24CA19B7"/>
    <w:rsid w:val="24D26ABE"/>
    <w:rsid w:val="24DE36B4"/>
    <w:rsid w:val="24E52C95"/>
    <w:rsid w:val="24EF141E"/>
    <w:rsid w:val="24EF7670"/>
    <w:rsid w:val="24FD7FDE"/>
    <w:rsid w:val="24FF3D57"/>
    <w:rsid w:val="25164BFC"/>
    <w:rsid w:val="25333A00"/>
    <w:rsid w:val="253432D4"/>
    <w:rsid w:val="25381017"/>
    <w:rsid w:val="253908EB"/>
    <w:rsid w:val="253F05F7"/>
    <w:rsid w:val="25461985"/>
    <w:rsid w:val="25496D80"/>
    <w:rsid w:val="254F0607"/>
    <w:rsid w:val="25565941"/>
    <w:rsid w:val="255A0F8D"/>
    <w:rsid w:val="25627E42"/>
    <w:rsid w:val="25641E0C"/>
    <w:rsid w:val="25665B84"/>
    <w:rsid w:val="25733DFD"/>
    <w:rsid w:val="25761B3F"/>
    <w:rsid w:val="257858B7"/>
    <w:rsid w:val="25875AFA"/>
    <w:rsid w:val="25AE3087"/>
    <w:rsid w:val="25B06DFF"/>
    <w:rsid w:val="25B74631"/>
    <w:rsid w:val="25BB4EB4"/>
    <w:rsid w:val="25C66622"/>
    <w:rsid w:val="25C805EC"/>
    <w:rsid w:val="25CB1E8B"/>
    <w:rsid w:val="25CE54D7"/>
    <w:rsid w:val="25DA3E7C"/>
    <w:rsid w:val="25E22D30"/>
    <w:rsid w:val="25EE5B79"/>
    <w:rsid w:val="25F74A2E"/>
    <w:rsid w:val="25FC2044"/>
    <w:rsid w:val="260D4251"/>
    <w:rsid w:val="26127ABA"/>
    <w:rsid w:val="26151358"/>
    <w:rsid w:val="26190E48"/>
    <w:rsid w:val="26217CFD"/>
    <w:rsid w:val="262D48F3"/>
    <w:rsid w:val="26306192"/>
    <w:rsid w:val="26321F0A"/>
    <w:rsid w:val="26395046"/>
    <w:rsid w:val="26435EC5"/>
    <w:rsid w:val="26461511"/>
    <w:rsid w:val="26485289"/>
    <w:rsid w:val="264D6D44"/>
    <w:rsid w:val="26543C2E"/>
    <w:rsid w:val="26667E05"/>
    <w:rsid w:val="26712A32"/>
    <w:rsid w:val="267A740D"/>
    <w:rsid w:val="26920BFA"/>
    <w:rsid w:val="26995AE5"/>
    <w:rsid w:val="269C3827"/>
    <w:rsid w:val="26A60202"/>
    <w:rsid w:val="26BD5C77"/>
    <w:rsid w:val="26C64400"/>
    <w:rsid w:val="27015200"/>
    <w:rsid w:val="270218DC"/>
    <w:rsid w:val="270311B0"/>
    <w:rsid w:val="270C275B"/>
    <w:rsid w:val="270E64D3"/>
    <w:rsid w:val="270F3FF9"/>
    <w:rsid w:val="271E248E"/>
    <w:rsid w:val="27231852"/>
    <w:rsid w:val="272555CB"/>
    <w:rsid w:val="272C6959"/>
    <w:rsid w:val="27337CE7"/>
    <w:rsid w:val="273B3040"/>
    <w:rsid w:val="27400656"/>
    <w:rsid w:val="27473793"/>
    <w:rsid w:val="274C0DA9"/>
    <w:rsid w:val="27547C5E"/>
    <w:rsid w:val="275D6B12"/>
    <w:rsid w:val="276A01E1"/>
    <w:rsid w:val="276B56D3"/>
    <w:rsid w:val="276F6846"/>
    <w:rsid w:val="278542BB"/>
    <w:rsid w:val="27910EB2"/>
    <w:rsid w:val="279462AC"/>
    <w:rsid w:val="279B763B"/>
    <w:rsid w:val="27BB7CDD"/>
    <w:rsid w:val="27BF3329"/>
    <w:rsid w:val="27C43035"/>
    <w:rsid w:val="27C60B5C"/>
    <w:rsid w:val="27C6290A"/>
    <w:rsid w:val="27CC1EEA"/>
    <w:rsid w:val="27DF1C1D"/>
    <w:rsid w:val="27EE3C0E"/>
    <w:rsid w:val="28096C9A"/>
    <w:rsid w:val="28137B19"/>
    <w:rsid w:val="28221B0A"/>
    <w:rsid w:val="2829733C"/>
    <w:rsid w:val="282B6C11"/>
    <w:rsid w:val="282E6701"/>
    <w:rsid w:val="284952E9"/>
    <w:rsid w:val="285048C9"/>
    <w:rsid w:val="285C14C0"/>
    <w:rsid w:val="285C6DCA"/>
    <w:rsid w:val="288822B5"/>
    <w:rsid w:val="28940C5A"/>
    <w:rsid w:val="289724F8"/>
    <w:rsid w:val="289A78F2"/>
    <w:rsid w:val="289B1FE8"/>
    <w:rsid w:val="28AB6F01"/>
    <w:rsid w:val="28AC5FA3"/>
    <w:rsid w:val="28AF15F0"/>
    <w:rsid w:val="28B27332"/>
    <w:rsid w:val="28B704A4"/>
    <w:rsid w:val="28D728F5"/>
    <w:rsid w:val="28D9666D"/>
    <w:rsid w:val="28DF17A9"/>
    <w:rsid w:val="28E82D54"/>
    <w:rsid w:val="28F811E9"/>
    <w:rsid w:val="28FB2A87"/>
    <w:rsid w:val="29037B8D"/>
    <w:rsid w:val="290B259E"/>
    <w:rsid w:val="291476A5"/>
    <w:rsid w:val="29177195"/>
    <w:rsid w:val="291E0523"/>
    <w:rsid w:val="292518B2"/>
    <w:rsid w:val="292C2C40"/>
    <w:rsid w:val="2936586D"/>
    <w:rsid w:val="29373393"/>
    <w:rsid w:val="293935AF"/>
    <w:rsid w:val="293D1575"/>
    <w:rsid w:val="293E0BC6"/>
    <w:rsid w:val="2940493E"/>
    <w:rsid w:val="29477A7A"/>
    <w:rsid w:val="29491A44"/>
    <w:rsid w:val="294A57BC"/>
    <w:rsid w:val="295959FF"/>
    <w:rsid w:val="296248B4"/>
    <w:rsid w:val="296323DA"/>
    <w:rsid w:val="296C5733"/>
    <w:rsid w:val="29752839"/>
    <w:rsid w:val="29787C34"/>
    <w:rsid w:val="29826D04"/>
    <w:rsid w:val="299627B0"/>
    <w:rsid w:val="29A24CB1"/>
    <w:rsid w:val="29AA1DB7"/>
    <w:rsid w:val="29C235A5"/>
    <w:rsid w:val="29C42E79"/>
    <w:rsid w:val="29C721E5"/>
    <w:rsid w:val="29CF181E"/>
    <w:rsid w:val="29D357B2"/>
    <w:rsid w:val="29DF4157"/>
    <w:rsid w:val="29F55728"/>
    <w:rsid w:val="29F574D6"/>
    <w:rsid w:val="2A005E7B"/>
    <w:rsid w:val="2A13795C"/>
    <w:rsid w:val="2A181417"/>
    <w:rsid w:val="2A1831C5"/>
    <w:rsid w:val="2A2B114A"/>
    <w:rsid w:val="2A3A313B"/>
    <w:rsid w:val="2A3F69A3"/>
    <w:rsid w:val="2A465F84"/>
    <w:rsid w:val="2A53244F"/>
    <w:rsid w:val="2A585CB7"/>
    <w:rsid w:val="2A64465C"/>
    <w:rsid w:val="2A68414C"/>
    <w:rsid w:val="2A73664D"/>
    <w:rsid w:val="2A7921B7"/>
    <w:rsid w:val="2A7F3244"/>
    <w:rsid w:val="2A832D34"/>
    <w:rsid w:val="2A834AE2"/>
    <w:rsid w:val="2A88659C"/>
    <w:rsid w:val="2A922F77"/>
    <w:rsid w:val="2A952A67"/>
    <w:rsid w:val="2A9C3DF6"/>
    <w:rsid w:val="2AA1765E"/>
    <w:rsid w:val="2AA902C1"/>
    <w:rsid w:val="2AAF1D7B"/>
    <w:rsid w:val="2ABC4498"/>
    <w:rsid w:val="2AC86999"/>
    <w:rsid w:val="2ACD2201"/>
    <w:rsid w:val="2ADA66CC"/>
    <w:rsid w:val="2ADB491E"/>
    <w:rsid w:val="2AE82B97"/>
    <w:rsid w:val="2AED28A3"/>
    <w:rsid w:val="2AF53506"/>
    <w:rsid w:val="2AF94DA4"/>
    <w:rsid w:val="2AFE685E"/>
    <w:rsid w:val="2B12230A"/>
    <w:rsid w:val="2B245EEB"/>
    <w:rsid w:val="2B255B99"/>
    <w:rsid w:val="2B285689"/>
    <w:rsid w:val="2B3E4EAD"/>
    <w:rsid w:val="2B471FB3"/>
    <w:rsid w:val="2B473D61"/>
    <w:rsid w:val="2B481888"/>
    <w:rsid w:val="2B4D50F0"/>
    <w:rsid w:val="2B517147"/>
    <w:rsid w:val="2B5D17D7"/>
    <w:rsid w:val="2B5E0F67"/>
    <w:rsid w:val="2B726905"/>
    <w:rsid w:val="2B7408CF"/>
    <w:rsid w:val="2B764647"/>
    <w:rsid w:val="2B7D3C27"/>
    <w:rsid w:val="2B7D7783"/>
    <w:rsid w:val="2B88437A"/>
    <w:rsid w:val="2B9E76FA"/>
    <w:rsid w:val="2BAA0794"/>
    <w:rsid w:val="2BB331A5"/>
    <w:rsid w:val="2BBF5FEE"/>
    <w:rsid w:val="2BD575BF"/>
    <w:rsid w:val="2BD80E5D"/>
    <w:rsid w:val="2BE55328"/>
    <w:rsid w:val="2BFB2D9E"/>
    <w:rsid w:val="2C0D4C69"/>
    <w:rsid w:val="2C4209CD"/>
    <w:rsid w:val="2C432E7E"/>
    <w:rsid w:val="2C506C46"/>
    <w:rsid w:val="2C520C10"/>
    <w:rsid w:val="2C526E62"/>
    <w:rsid w:val="2C532BDA"/>
    <w:rsid w:val="2C626979"/>
    <w:rsid w:val="2C70553A"/>
    <w:rsid w:val="2C7566AC"/>
    <w:rsid w:val="2C792640"/>
    <w:rsid w:val="2C7A1F15"/>
    <w:rsid w:val="2C7B043E"/>
    <w:rsid w:val="2C882884"/>
    <w:rsid w:val="2C8B5ED0"/>
    <w:rsid w:val="2C8C39F6"/>
    <w:rsid w:val="2C9254B0"/>
    <w:rsid w:val="2C954FA0"/>
    <w:rsid w:val="2C956D4E"/>
    <w:rsid w:val="2C9E3E55"/>
    <w:rsid w:val="2CBA2FB1"/>
    <w:rsid w:val="2CD755B9"/>
    <w:rsid w:val="2CDE6947"/>
    <w:rsid w:val="2CDF621C"/>
    <w:rsid w:val="2CE850D0"/>
    <w:rsid w:val="2CF63C91"/>
    <w:rsid w:val="2CFB12A7"/>
    <w:rsid w:val="2CFE66A2"/>
    <w:rsid w:val="2D0839C4"/>
    <w:rsid w:val="2D144117"/>
    <w:rsid w:val="2D1E6EBC"/>
    <w:rsid w:val="2D320A41"/>
    <w:rsid w:val="2D3447B9"/>
    <w:rsid w:val="2D376058"/>
    <w:rsid w:val="2D546C0A"/>
    <w:rsid w:val="2D5B3AF4"/>
    <w:rsid w:val="2D630BFB"/>
    <w:rsid w:val="2D687FBF"/>
    <w:rsid w:val="2D74105A"/>
    <w:rsid w:val="2D856DC3"/>
    <w:rsid w:val="2D8D5C78"/>
    <w:rsid w:val="2D8F7C42"/>
    <w:rsid w:val="2DAC07F4"/>
    <w:rsid w:val="2DB11966"/>
    <w:rsid w:val="2DBE4083"/>
    <w:rsid w:val="2DD92C6B"/>
    <w:rsid w:val="2DE53D06"/>
    <w:rsid w:val="2DE57862"/>
    <w:rsid w:val="2DEA4E78"/>
    <w:rsid w:val="2DEC299E"/>
    <w:rsid w:val="2DEC6E42"/>
    <w:rsid w:val="2DF857E7"/>
    <w:rsid w:val="2DFE26D1"/>
    <w:rsid w:val="2E04418C"/>
    <w:rsid w:val="2E075A2A"/>
    <w:rsid w:val="2E0E6DB8"/>
    <w:rsid w:val="2E162111"/>
    <w:rsid w:val="2E165C6D"/>
    <w:rsid w:val="2E1819E5"/>
    <w:rsid w:val="2E411D94"/>
    <w:rsid w:val="2E450300"/>
    <w:rsid w:val="2E496043"/>
    <w:rsid w:val="2E514EF7"/>
    <w:rsid w:val="2E536EC1"/>
    <w:rsid w:val="2E552C39"/>
    <w:rsid w:val="2E580034"/>
    <w:rsid w:val="2E5D389C"/>
    <w:rsid w:val="2E5D564A"/>
    <w:rsid w:val="2E5F7614"/>
    <w:rsid w:val="2E620EB2"/>
    <w:rsid w:val="2E7C6418"/>
    <w:rsid w:val="2E864BA1"/>
    <w:rsid w:val="2E9372BE"/>
    <w:rsid w:val="2E9F5C62"/>
    <w:rsid w:val="2EA25753"/>
    <w:rsid w:val="2EA339A5"/>
    <w:rsid w:val="2EB84F76"/>
    <w:rsid w:val="2EBC4A66"/>
    <w:rsid w:val="2EC97183"/>
    <w:rsid w:val="2ED022C0"/>
    <w:rsid w:val="2EED2E72"/>
    <w:rsid w:val="2EEF6BEA"/>
    <w:rsid w:val="2EF20488"/>
    <w:rsid w:val="2EF22236"/>
    <w:rsid w:val="2EF266DA"/>
    <w:rsid w:val="2EF37D5C"/>
    <w:rsid w:val="2EFA733D"/>
    <w:rsid w:val="2F000DF7"/>
    <w:rsid w:val="2F067A90"/>
    <w:rsid w:val="2F104DB2"/>
    <w:rsid w:val="2F146650"/>
    <w:rsid w:val="2F1523C9"/>
    <w:rsid w:val="2F25260C"/>
    <w:rsid w:val="2F324D29"/>
    <w:rsid w:val="2F3A598B"/>
    <w:rsid w:val="2F4D1B62"/>
    <w:rsid w:val="2F590507"/>
    <w:rsid w:val="2F6C023B"/>
    <w:rsid w:val="2F6F7D2B"/>
    <w:rsid w:val="2F745341"/>
    <w:rsid w:val="2F7610B9"/>
    <w:rsid w:val="2F77273B"/>
    <w:rsid w:val="2F7964B4"/>
    <w:rsid w:val="2F7C41F6"/>
    <w:rsid w:val="2F805A94"/>
    <w:rsid w:val="2F911A4F"/>
    <w:rsid w:val="2F9B467C"/>
    <w:rsid w:val="2FA5374C"/>
    <w:rsid w:val="2FAA0D63"/>
    <w:rsid w:val="2FAD43AF"/>
    <w:rsid w:val="2FAF45CB"/>
    <w:rsid w:val="2FB67708"/>
    <w:rsid w:val="2FB76FDC"/>
    <w:rsid w:val="2FBE036A"/>
    <w:rsid w:val="2FC040E2"/>
    <w:rsid w:val="2FD8767E"/>
    <w:rsid w:val="2FDB0F1C"/>
    <w:rsid w:val="2FDD2EE6"/>
    <w:rsid w:val="2FE04785"/>
    <w:rsid w:val="2FFD5059"/>
    <w:rsid w:val="30000983"/>
    <w:rsid w:val="301461DC"/>
    <w:rsid w:val="303D1BD7"/>
    <w:rsid w:val="303D3985"/>
    <w:rsid w:val="303F76FD"/>
    <w:rsid w:val="3050190A"/>
    <w:rsid w:val="30515682"/>
    <w:rsid w:val="305B205D"/>
    <w:rsid w:val="305E56A9"/>
    <w:rsid w:val="30607673"/>
    <w:rsid w:val="3062163D"/>
    <w:rsid w:val="306A22A0"/>
    <w:rsid w:val="30705B08"/>
    <w:rsid w:val="307D6477"/>
    <w:rsid w:val="308C66BA"/>
    <w:rsid w:val="30913CD1"/>
    <w:rsid w:val="309D2676"/>
    <w:rsid w:val="309F63EE"/>
    <w:rsid w:val="30BD0622"/>
    <w:rsid w:val="30BF083E"/>
    <w:rsid w:val="30C419B0"/>
    <w:rsid w:val="30C47C02"/>
    <w:rsid w:val="30C85944"/>
    <w:rsid w:val="30CB0F91"/>
    <w:rsid w:val="30CD2F5B"/>
    <w:rsid w:val="30D342E9"/>
    <w:rsid w:val="30D8545C"/>
    <w:rsid w:val="30DC319E"/>
    <w:rsid w:val="30DF2C8E"/>
    <w:rsid w:val="30E402A4"/>
    <w:rsid w:val="30E81B43"/>
    <w:rsid w:val="3106021B"/>
    <w:rsid w:val="310821E5"/>
    <w:rsid w:val="31083F93"/>
    <w:rsid w:val="31091AB9"/>
    <w:rsid w:val="31126CE6"/>
    <w:rsid w:val="312608BD"/>
    <w:rsid w:val="312D1C4B"/>
    <w:rsid w:val="31342FDA"/>
    <w:rsid w:val="313A2D0C"/>
    <w:rsid w:val="313A7EC4"/>
    <w:rsid w:val="31400BEF"/>
    <w:rsid w:val="3140197F"/>
    <w:rsid w:val="31413001"/>
    <w:rsid w:val="31466869"/>
    <w:rsid w:val="3148438F"/>
    <w:rsid w:val="31592A40"/>
    <w:rsid w:val="3166515D"/>
    <w:rsid w:val="31692558"/>
    <w:rsid w:val="316B214F"/>
    <w:rsid w:val="316D029A"/>
    <w:rsid w:val="31750EFD"/>
    <w:rsid w:val="31794E91"/>
    <w:rsid w:val="31857392"/>
    <w:rsid w:val="31975317"/>
    <w:rsid w:val="319C46DB"/>
    <w:rsid w:val="31A6555A"/>
    <w:rsid w:val="31C3435E"/>
    <w:rsid w:val="31C37EBA"/>
    <w:rsid w:val="31D125D7"/>
    <w:rsid w:val="31D40319"/>
    <w:rsid w:val="31D64091"/>
    <w:rsid w:val="31D9148B"/>
    <w:rsid w:val="31DC0F7C"/>
    <w:rsid w:val="31E367AE"/>
    <w:rsid w:val="31E57E30"/>
    <w:rsid w:val="31F42769"/>
    <w:rsid w:val="320C1861"/>
    <w:rsid w:val="3212499D"/>
    <w:rsid w:val="32144BB9"/>
    <w:rsid w:val="321B5F48"/>
    <w:rsid w:val="323B5CA2"/>
    <w:rsid w:val="324059AE"/>
    <w:rsid w:val="324F5BF1"/>
    <w:rsid w:val="32537490"/>
    <w:rsid w:val="32544FB6"/>
    <w:rsid w:val="3255145A"/>
    <w:rsid w:val="325B00F2"/>
    <w:rsid w:val="325E7BE3"/>
    <w:rsid w:val="32601BAD"/>
    <w:rsid w:val="3264169D"/>
    <w:rsid w:val="32674CE9"/>
    <w:rsid w:val="326C2300"/>
    <w:rsid w:val="32713DBA"/>
    <w:rsid w:val="3276317E"/>
    <w:rsid w:val="328C4750"/>
    <w:rsid w:val="328E2276"/>
    <w:rsid w:val="32963592"/>
    <w:rsid w:val="329F4483"/>
    <w:rsid w:val="32A23F73"/>
    <w:rsid w:val="32A42B2D"/>
    <w:rsid w:val="32AF043E"/>
    <w:rsid w:val="32B12408"/>
    <w:rsid w:val="32B37F2E"/>
    <w:rsid w:val="32B75C71"/>
    <w:rsid w:val="32E7407C"/>
    <w:rsid w:val="32EE0F67"/>
    <w:rsid w:val="32F10A57"/>
    <w:rsid w:val="32FC7B27"/>
    <w:rsid w:val="330864CC"/>
    <w:rsid w:val="330B1B18"/>
    <w:rsid w:val="332E2F02"/>
    <w:rsid w:val="3344502A"/>
    <w:rsid w:val="33482D6D"/>
    <w:rsid w:val="33552D94"/>
    <w:rsid w:val="337C6572"/>
    <w:rsid w:val="337E053C"/>
    <w:rsid w:val="33802506"/>
    <w:rsid w:val="338F44F8"/>
    <w:rsid w:val="339715FE"/>
    <w:rsid w:val="33A45AC9"/>
    <w:rsid w:val="33B10912"/>
    <w:rsid w:val="33B73A4E"/>
    <w:rsid w:val="33B91574"/>
    <w:rsid w:val="33BA52ED"/>
    <w:rsid w:val="33C06DA7"/>
    <w:rsid w:val="33C10429"/>
    <w:rsid w:val="33D97E69"/>
    <w:rsid w:val="33DE722D"/>
    <w:rsid w:val="33E660E2"/>
    <w:rsid w:val="33E74334"/>
    <w:rsid w:val="33E902D9"/>
    <w:rsid w:val="33EB36F8"/>
    <w:rsid w:val="33F001AC"/>
    <w:rsid w:val="33F56325"/>
    <w:rsid w:val="33FB1B8D"/>
    <w:rsid w:val="33FE78CF"/>
    <w:rsid w:val="34060532"/>
    <w:rsid w:val="340622E0"/>
    <w:rsid w:val="340F5638"/>
    <w:rsid w:val="340F73E6"/>
    <w:rsid w:val="341449D6"/>
    <w:rsid w:val="341B222F"/>
    <w:rsid w:val="342015F4"/>
    <w:rsid w:val="34384B8F"/>
    <w:rsid w:val="34425A0E"/>
    <w:rsid w:val="34545741"/>
    <w:rsid w:val="34594B05"/>
    <w:rsid w:val="34605E94"/>
    <w:rsid w:val="3461446D"/>
    <w:rsid w:val="346D235F"/>
    <w:rsid w:val="34713BFD"/>
    <w:rsid w:val="34733E19"/>
    <w:rsid w:val="34900BB8"/>
    <w:rsid w:val="34930017"/>
    <w:rsid w:val="349873DC"/>
    <w:rsid w:val="349B511E"/>
    <w:rsid w:val="34C46423"/>
    <w:rsid w:val="34CE2DFE"/>
    <w:rsid w:val="34DB551B"/>
    <w:rsid w:val="34DF325D"/>
    <w:rsid w:val="34E940DB"/>
    <w:rsid w:val="34EC3BCC"/>
    <w:rsid w:val="34FA0097"/>
    <w:rsid w:val="34FD36E3"/>
    <w:rsid w:val="350D601C"/>
    <w:rsid w:val="35170C48"/>
    <w:rsid w:val="35284C04"/>
    <w:rsid w:val="35301D0A"/>
    <w:rsid w:val="3546508A"/>
    <w:rsid w:val="354B08F2"/>
    <w:rsid w:val="3555351F"/>
    <w:rsid w:val="355C2AFF"/>
    <w:rsid w:val="35633E8E"/>
    <w:rsid w:val="35696FCA"/>
    <w:rsid w:val="356E45E1"/>
    <w:rsid w:val="35731BF7"/>
    <w:rsid w:val="35780FBB"/>
    <w:rsid w:val="357C0AAC"/>
    <w:rsid w:val="35845BB2"/>
    <w:rsid w:val="35867B7C"/>
    <w:rsid w:val="358A766C"/>
    <w:rsid w:val="358B0CEF"/>
    <w:rsid w:val="35957DBF"/>
    <w:rsid w:val="35973B37"/>
    <w:rsid w:val="359F29EC"/>
    <w:rsid w:val="35A149B6"/>
    <w:rsid w:val="35A63D7A"/>
    <w:rsid w:val="35AB75E3"/>
    <w:rsid w:val="35AF0E81"/>
    <w:rsid w:val="35B446E9"/>
    <w:rsid w:val="35C661CB"/>
    <w:rsid w:val="35C81F43"/>
    <w:rsid w:val="35CF1523"/>
    <w:rsid w:val="35D419DA"/>
    <w:rsid w:val="35D5640E"/>
    <w:rsid w:val="35F72828"/>
    <w:rsid w:val="35F9034E"/>
    <w:rsid w:val="360A255B"/>
    <w:rsid w:val="360D204B"/>
    <w:rsid w:val="3619454C"/>
    <w:rsid w:val="36341386"/>
    <w:rsid w:val="363650FE"/>
    <w:rsid w:val="36392E40"/>
    <w:rsid w:val="364A0BAA"/>
    <w:rsid w:val="36525CB0"/>
    <w:rsid w:val="365732C7"/>
    <w:rsid w:val="366652B8"/>
    <w:rsid w:val="367C4ADB"/>
    <w:rsid w:val="367D2D2D"/>
    <w:rsid w:val="36806379"/>
    <w:rsid w:val="369736C3"/>
    <w:rsid w:val="369915A3"/>
    <w:rsid w:val="3699568D"/>
    <w:rsid w:val="369C67E3"/>
    <w:rsid w:val="36A06A1C"/>
    <w:rsid w:val="36AC3612"/>
    <w:rsid w:val="36BA5D2F"/>
    <w:rsid w:val="36C00E6C"/>
    <w:rsid w:val="36C3270A"/>
    <w:rsid w:val="36CB7FAF"/>
    <w:rsid w:val="36DF5796"/>
    <w:rsid w:val="36F56D67"/>
    <w:rsid w:val="36FA25D0"/>
    <w:rsid w:val="370945C1"/>
    <w:rsid w:val="370F76FD"/>
    <w:rsid w:val="371F5B92"/>
    <w:rsid w:val="372238D5"/>
    <w:rsid w:val="372413FB"/>
    <w:rsid w:val="372B09DB"/>
    <w:rsid w:val="373F6235"/>
    <w:rsid w:val="37427AD3"/>
    <w:rsid w:val="375F2433"/>
    <w:rsid w:val="37645C9B"/>
    <w:rsid w:val="37661A13"/>
    <w:rsid w:val="37704640"/>
    <w:rsid w:val="37753A04"/>
    <w:rsid w:val="377C4D93"/>
    <w:rsid w:val="377F2AD5"/>
    <w:rsid w:val="378325C5"/>
    <w:rsid w:val="37887BDC"/>
    <w:rsid w:val="37893954"/>
    <w:rsid w:val="37895702"/>
    <w:rsid w:val="378E7F9A"/>
    <w:rsid w:val="37920A5A"/>
    <w:rsid w:val="379A16BD"/>
    <w:rsid w:val="37AD13F0"/>
    <w:rsid w:val="37AE5168"/>
    <w:rsid w:val="37B26A07"/>
    <w:rsid w:val="37BA3B0D"/>
    <w:rsid w:val="37C8447C"/>
    <w:rsid w:val="37DE3C9F"/>
    <w:rsid w:val="37DE5A4E"/>
    <w:rsid w:val="37E172EC"/>
    <w:rsid w:val="37E868CC"/>
    <w:rsid w:val="380B25BB"/>
    <w:rsid w:val="380D1E8F"/>
    <w:rsid w:val="380F3E59"/>
    <w:rsid w:val="3825367C"/>
    <w:rsid w:val="3834566E"/>
    <w:rsid w:val="383B4C4E"/>
    <w:rsid w:val="38402264"/>
    <w:rsid w:val="38482EC7"/>
    <w:rsid w:val="3848736B"/>
    <w:rsid w:val="38502673"/>
    <w:rsid w:val="38507FCD"/>
    <w:rsid w:val="38543F62"/>
    <w:rsid w:val="38675A43"/>
    <w:rsid w:val="387C0DC3"/>
    <w:rsid w:val="387D5266"/>
    <w:rsid w:val="38883C0B"/>
    <w:rsid w:val="388C7258"/>
    <w:rsid w:val="388D2FD0"/>
    <w:rsid w:val="38980E69"/>
    <w:rsid w:val="38B247E4"/>
    <w:rsid w:val="38D330D8"/>
    <w:rsid w:val="38D40BFF"/>
    <w:rsid w:val="38D429AD"/>
    <w:rsid w:val="38DB01DF"/>
    <w:rsid w:val="38DB3D3B"/>
    <w:rsid w:val="38E01351"/>
    <w:rsid w:val="38E452E6"/>
    <w:rsid w:val="38E47094"/>
    <w:rsid w:val="38F35529"/>
    <w:rsid w:val="38F512A1"/>
    <w:rsid w:val="38F66DC7"/>
    <w:rsid w:val="38F90665"/>
    <w:rsid w:val="38FD0155"/>
    <w:rsid w:val="38FF3ECD"/>
    <w:rsid w:val="39070FD4"/>
    <w:rsid w:val="390C65EA"/>
    <w:rsid w:val="391060DB"/>
    <w:rsid w:val="39292CF8"/>
    <w:rsid w:val="392A5BA3"/>
    <w:rsid w:val="392E47B3"/>
    <w:rsid w:val="393618B9"/>
    <w:rsid w:val="393A4F06"/>
    <w:rsid w:val="39461AFC"/>
    <w:rsid w:val="39475874"/>
    <w:rsid w:val="394B7113"/>
    <w:rsid w:val="394E275F"/>
    <w:rsid w:val="394F0285"/>
    <w:rsid w:val="39504729"/>
    <w:rsid w:val="395D0BF4"/>
    <w:rsid w:val="39602492"/>
    <w:rsid w:val="39643D30"/>
    <w:rsid w:val="39691347"/>
    <w:rsid w:val="396A50BF"/>
    <w:rsid w:val="39700927"/>
    <w:rsid w:val="398C3287"/>
    <w:rsid w:val="398D772B"/>
    <w:rsid w:val="398E0DAD"/>
    <w:rsid w:val="399D36E6"/>
    <w:rsid w:val="39A95BE7"/>
    <w:rsid w:val="39B747A8"/>
    <w:rsid w:val="39BC3B6C"/>
    <w:rsid w:val="39BD78E5"/>
    <w:rsid w:val="39C649EB"/>
    <w:rsid w:val="39C66799"/>
    <w:rsid w:val="39CB0253"/>
    <w:rsid w:val="39D23390"/>
    <w:rsid w:val="39DA0497"/>
    <w:rsid w:val="39DF3CFF"/>
    <w:rsid w:val="39DF785B"/>
    <w:rsid w:val="39E66E3B"/>
    <w:rsid w:val="39EF3F42"/>
    <w:rsid w:val="39F41558"/>
    <w:rsid w:val="39F50E2C"/>
    <w:rsid w:val="39F72DF7"/>
    <w:rsid w:val="39F94DC1"/>
    <w:rsid w:val="39FF3A59"/>
    <w:rsid w:val="3A0A0D7C"/>
    <w:rsid w:val="3A137505"/>
    <w:rsid w:val="3A361B71"/>
    <w:rsid w:val="3A461688"/>
    <w:rsid w:val="3A4F49E1"/>
    <w:rsid w:val="3A5007F7"/>
    <w:rsid w:val="3A5B3385"/>
    <w:rsid w:val="3A5C0EAC"/>
    <w:rsid w:val="3A5E2E76"/>
    <w:rsid w:val="3A63223A"/>
    <w:rsid w:val="3A815F48"/>
    <w:rsid w:val="3A83468A"/>
    <w:rsid w:val="3A836438"/>
    <w:rsid w:val="3A95616C"/>
    <w:rsid w:val="3A9643BE"/>
    <w:rsid w:val="3A9C74FA"/>
    <w:rsid w:val="3AA34D2C"/>
    <w:rsid w:val="3AA7481D"/>
    <w:rsid w:val="3AAD5BAB"/>
    <w:rsid w:val="3AB12F78"/>
    <w:rsid w:val="3AB72586"/>
    <w:rsid w:val="3AB807D8"/>
    <w:rsid w:val="3ACE7FFB"/>
    <w:rsid w:val="3AD1189A"/>
    <w:rsid w:val="3AD35612"/>
    <w:rsid w:val="3AD62A0C"/>
    <w:rsid w:val="3AD76784"/>
    <w:rsid w:val="3ADE5D64"/>
    <w:rsid w:val="3AE0388B"/>
    <w:rsid w:val="3AEC66D3"/>
    <w:rsid w:val="3AED7D56"/>
    <w:rsid w:val="3AF47336"/>
    <w:rsid w:val="3AFB6916"/>
    <w:rsid w:val="3B0F4170"/>
    <w:rsid w:val="3B31058A"/>
    <w:rsid w:val="3B3F4A55"/>
    <w:rsid w:val="3B4C2CCE"/>
    <w:rsid w:val="3B5129DA"/>
    <w:rsid w:val="3B516536"/>
    <w:rsid w:val="3B651FE2"/>
    <w:rsid w:val="3B6A75F8"/>
    <w:rsid w:val="3B7F12F6"/>
    <w:rsid w:val="3B895CD0"/>
    <w:rsid w:val="3BA1126C"/>
    <w:rsid w:val="3BA23236"/>
    <w:rsid w:val="3BA37EBC"/>
    <w:rsid w:val="3BAE5737"/>
    <w:rsid w:val="3BB371F1"/>
    <w:rsid w:val="3BC74A4B"/>
    <w:rsid w:val="3BDC04F6"/>
    <w:rsid w:val="3BE23632"/>
    <w:rsid w:val="3BF70E8C"/>
    <w:rsid w:val="3BF770DE"/>
    <w:rsid w:val="3BFC2946"/>
    <w:rsid w:val="3BFC46F4"/>
    <w:rsid w:val="3C074E47"/>
    <w:rsid w:val="3C090BBF"/>
    <w:rsid w:val="3C096E11"/>
    <w:rsid w:val="3C0D06AF"/>
    <w:rsid w:val="3C12216A"/>
    <w:rsid w:val="3C19541D"/>
    <w:rsid w:val="3C2679C3"/>
    <w:rsid w:val="3C3245BA"/>
    <w:rsid w:val="3C37397E"/>
    <w:rsid w:val="3C3A521C"/>
    <w:rsid w:val="3C4D6CFE"/>
    <w:rsid w:val="3C544530"/>
    <w:rsid w:val="3C5502A8"/>
    <w:rsid w:val="3C552056"/>
    <w:rsid w:val="3C6A3835"/>
    <w:rsid w:val="3C720E5A"/>
    <w:rsid w:val="3C862210"/>
    <w:rsid w:val="3C8666B4"/>
    <w:rsid w:val="3C90308E"/>
    <w:rsid w:val="3CA52FDE"/>
    <w:rsid w:val="3CAC611A"/>
    <w:rsid w:val="3CCC056A"/>
    <w:rsid w:val="3CD613E9"/>
    <w:rsid w:val="3CD967E3"/>
    <w:rsid w:val="3CDB07AE"/>
    <w:rsid w:val="3CE533DA"/>
    <w:rsid w:val="3CFE449C"/>
    <w:rsid w:val="3CFE624A"/>
    <w:rsid w:val="3D0715A3"/>
    <w:rsid w:val="3D1E069A"/>
    <w:rsid w:val="3D2739F3"/>
    <w:rsid w:val="3D2D6B2F"/>
    <w:rsid w:val="3D346110"/>
    <w:rsid w:val="3D4C3459"/>
    <w:rsid w:val="3D4C5207"/>
    <w:rsid w:val="3D4F6AA6"/>
    <w:rsid w:val="3D536596"/>
    <w:rsid w:val="3D540560"/>
    <w:rsid w:val="3D5B544A"/>
    <w:rsid w:val="3D622C7D"/>
    <w:rsid w:val="3D65276D"/>
    <w:rsid w:val="3D766728"/>
    <w:rsid w:val="3D7D7AB7"/>
    <w:rsid w:val="3D801355"/>
    <w:rsid w:val="3D8E5820"/>
    <w:rsid w:val="3D8F46D9"/>
    <w:rsid w:val="3D934BE4"/>
    <w:rsid w:val="3D9B7F3D"/>
    <w:rsid w:val="3DA037A5"/>
    <w:rsid w:val="3DA43295"/>
    <w:rsid w:val="3DA70690"/>
    <w:rsid w:val="3DAB4624"/>
    <w:rsid w:val="3DB159B2"/>
    <w:rsid w:val="3DD35929"/>
    <w:rsid w:val="3DD84CED"/>
    <w:rsid w:val="3DDA2813"/>
    <w:rsid w:val="3DDC47DD"/>
    <w:rsid w:val="3DE03BA2"/>
    <w:rsid w:val="3DEB2C72"/>
    <w:rsid w:val="3DEE2762"/>
    <w:rsid w:val="3E043D34"/>
    <w:rsid w:val="3E06185A"/>
    <w:rsid w:val="3E077380"/>
    <w:rsid w:val="3E175815"/>
    <w:rsid w:val="3E1A5306"/>
    <w:rsid w:val="3E2E2B5F"/>
    <w:rsid w:val="3E350391"/>
    <w:rsid w:val="3E3A7756"/>
    <w:rsid w:val="3E3E7246"/>
    <w:rsid w:val="3E3F2FBE"/>
    <w:rsid w:val="3E42660A"/>
    <w:rsid w:val="3E573E64"/>
    <w:rsid w:val="3E630A5B"/>
    <w:rsid w:val="3E646560"/>
    <w:rsid w:val="3E6B790F"/>
    <w:rsid w:val="3E80785E"/>
    <w:rsid w:val="3E907376"/>
    <w:rsid w:val="3EA66B99"/>
    <w:rsid w:val="3EC55271"/>
    <w:rsid w:val="3ED43706"/>
    <w:rsid w:val="3EDA6843"/>
    <w:rsid w:val="3EDC6A5F"/>
    <w:rsid w:val="3EE871B2"/>
    <w:rsid w:val="3EF21DDE"/>
    <w:rsid w:val="3EF416A3"/>
    <w:rsid w:val="3F010273"/>
    <w:rsid w:val="3F0264C5"/>
    <w:rsid w:val="3F0538C0"/>
    <w:rsid w:val="3F0F2990"/>
    <w:rsid w:val="3F1E4982"/>
    <w:rsid w:val="3F3348D1"/>
    <w:rsid w:val="3F3643C1"/>
    <w:rsid w:val="3F36616F"/>
    <w:rsid w:val="3F406FEE"/>
    <w:rsid w:val="3F542A99"/>
    <w:rsid w:val="3F5B5BD6"/>
    <w:rsid w:val="3F60143E"/>
    <w:rsid w:val="3F724CCD"/>
    <w:rsid w:val="3F7B6278"/>
    <w:rsid w:val="3F80563C"/>
    <w:rsid w:val="3F892743"/>
    <w:rsid w:val="3F9B06C8"/>
    <w:rsid w:val="3F9F3D14"/>
    <w:rsid w:val="3FA255B3"/>
    <w:rsid w:val="3FC1012F"/>
    <w:rsid w:val="3FC96FE3"/>
    <w:rsid w:val="3FCC6AD3"/>
    <w:rsid w:val="3FE931E1"/>
    <w:rsid w:val="3FEA0D08"/>
    <w:rsid w:val="3FF12096"/>
    <w:rsid w:val="3FF1653A"/>
    <w:rsid w:val="3FF35E0E"/>
    <w:rsid w:val="4004001B"/>
    <w:rsid w:val="400C6ED0"/>
    <w:rsid w:val="401364B0"/>
    <w:rsid w:val="40181D19"/>
    <w:rsid w:val="402E32EA"/>
    <w:rsid w:val="40512B35"/>
    <w:rsid w:val="405745EF"/>
    <w:rsid w:val="40583EC3"/>
    <w:rsid w:val="40674414"/>
    <w:rsid w:val="40714F85"/>
    <w:rsid w:val="40736643"/>
    <w:rsid w:val="407707ED"/>
    <w:rsid w:val="407F52E0"/>
    <w:rsid w:val="408178BE"/>
    <w:rsid w:val="40866C82"/>
    <w:rsid w:val="408829FA"/>
    <w:rsid w:val="4090365D"/>
    <w:rsid w:val="40A315E2"/>
    <w:rsid w:val="40A8309D"/>
    <w:rsid w:val="40AE7F87"/>
    <w:rsid w:val="40C15F0C"/>
    <w:rsid w:val="40C477AB"/>
    <w:rsid w:val="40C71F4C"/>
    <w:rsid w:val="40C96B6F"/>
    <w:rsid w:val="40CB6D8B"/>
    <w:rsid w:val="40E67721"/>
    <w:rsid w:val="40EB4D37"/>
    <w:rsid w:val="40ED0AAF"/>
    <w:rsid w:val="410A1661"/>
    <w:rsid w:val="412070D7"/>
    <w:rsid w:val="414D6774"/>
    <w:rsid w:val="414F3518"/>
    <w:rsid w:val="4151103E"/>
    <w:rsid w:val="41546D80"/>
    <w:rsid w:val="415B010F"/>
    <w:rsid w:val="416845DA"/>
    <w:rsid w:val="41764F49"/>
    <w:rsid w:val="417E3DFD"/>
    <w:rsid w:val="41986C6D"/>
    <w:rsid w:val="419E1DAA"/>
    <w:rsid w:val="41A5138A"/>
    <w:rsid w:val="41AA074E"/>
    <w:rsid w:val="41BD4926"/>
    <w:rsid w:val="41C23CEA"/>
    <w:rsid w:val="41C95079"/>
    <w:rsid w:val="41CE6B33"/>
    <w:rsid w:val="41D41C6F"/>
    <w:rsid w:val="41E2613A"/>
    <w:rsid w:val="41EA3241"/>
    <w:rsid w:val="41F36599"/>
    <w:rsid w:val="420267DC"/>
    <w:rsid w:val="42042555"/>
    <w:rsid w:val="42154762"/>
    <w:rsid w:val="421D3616"/>
    <w:rsid w:val="422C1AAB"/>
    <w:rsid w:val="423B3A9C"/>
    <w:rsid w:val="424741EF"/>
    <w:rsid w:val="424B1F31"/>
    <w:rsid w:val="42613503"/>
    <w:rsid w:val="4262727B"/>
    <w:rsid w:val="426B6130"/>
    <w:rsid w:val="426D74C6"/>
    <w:rsid w:val="426E79CE"/>
    <w:rsid w:val="428216CB"/>
    <w:rsid w:val="428B4A24"/>
    <w:rsid w:val="42925DB2"/>
    <w:rsid w:val="42957651"/>
    <w:rsid w:val="429C453B"/>
    <w:rsid w:val="42A31D6D"/>
    <w:rsid w:val="42A67168"/>
    <w:rsid w:val="42AB0C22"/>
    <w:rsid w:val="42B06238"/>
    <w:rsid w:val="42B94B80"/>
    <w:rsid w:val="42D27F5D"/>
    <w:rsid w:val="42DC702D"/>
    <w:rsid w:val="42DD6902"/>
    <w:rsid w:val="42EF6D61"/>
    <w:rsid w:val="42FE6FA4"/>
    <w:rsid w:val="43016A94"/>
    <w:rsid w:val="430F7403"/>
    <w:rsid w:val="43160791"/>
    <w:rsid w:val="431E7646"/>
    <w:rsid w:val="433A3D54"/>
    <w:rsid w:val="433C5D1E"/>
    <w:rsid w:val="433E3844"/>
    <w:rsid w:val="43432C09"/>
    <w:rsid w:val="435B2648"/>
    <w:rsid w:val="435B61A4"/>
    <w:rsid w:val="43770B04"/>
    <w:rsid w:val="437B05F4"/>
    <w:rsid w:val="43882D11"/>
    <w:rsid w:val="43923B90"/>
    <w:rsid w:val="439E42E3"/>
    <w:rsid w:val="43A51B15"/>
    <w:rsid w:val="43A713E9"/>
    <w:rsid w:val="43AD4526"/>
    <w:rsid w:val="43AF029E"/>
    <w:rsid w:val="43B21B3C"/>
    <w:rsid w:val="43C26223"/>
    <w:rsid w:val="43C401ED"/>
    <w:rsid w:val="43C55D14"/>
    <w:rsid w:val="43D917BF"/>
    <w:rsid w:val="43DD4E0B"/>
    <w:rsid w:val="43E20674"/>
    <w:rsid w:val="43E443EC"/>
    <w:rsid w:val="43EF4B3E"/>
    <w:rsid w:val="43F263DD"/>
    <w:rsid w:val="43F65ECD"/>
    <w:rsid w:val="43F87E97"/>
    <w:rsid w:val="43FD36FF"/>
    <w:rsid w:val="43FE2FD4"/>
    <w:rsid w:val="44044A8E"/>
    <w:rsid w:val="4416656F"/>
    <w:rsid w:val="441757D0"/>
    <w:rsid w:val="441D5B50"/>
    <w:rsid w:val="4427252A"/>
    <w:rsid w:val="442944F4"/>
    <w:rsid w:val="442C7B41"/>
    <w:rsid w:val="44315157"/>
    <w:rsid w:val="4436276D"/>
    <w:rsid w:val="44380293"/>
    <w:rsid w:val="443A04B0"/>
    <w:rsid w:val="443B5FD6"/>
    <w:rsid w:val="44421112"/>
    <w:rsid w:val="444906F3"/>
    <w:rsid w:val="44564BBE"/>
    <w:rsid w:val="445D7CFA"/>
    <w:rsid w:val="44623562"/>
    <w:rsid w:val="44641089"/>
    <w:rsid w:val="446948F1"/>
    <w:rsid w:val="446E1F07"/>
    <w:rsid w:val="44705C7F"/>
    <w:rsid w:val="447C2876"/>
    <w:rsid w:val="44896D41"/>
    <w:rsid w:val="448B2AB9"/>
    <w:rsid w:val="449A71A0"/>
    <w:rsid w:val="44AC2A30"/>
    <w:rsid w:val="44BF09B5"/>
    <w:rsid w:val="44C164DB"/>
    <w:rsid w:val="44C45FCB"/>
    <w:rsid w:val="44C77996"/>
    <w:rsid w:val="44D64001"/>
    <w:rsid w:val="44DA134B"/>
    <w:rsid w:val="44E623E5"/>
    <w:rsid w:val="44E81CBA"/>
    <w:rsid w:val="44EB17AA"/>
    <w:rsid w:val="44FD328B"/>
    <w:rsid w:val="44FF2277"/>
    <w:rsid w:val="45060392"/>
    <w:rsid w:val="45124F88"/>
    <w:rsid w:val="451E1B7F"/>
    <w:rsid w:val="452B7DF8"/>
    <w:rsid w:val="45343151"/>
    <w:rsid w:val="453C0257"/>
    <w:rsid w:val="453E5D7D"/>
    <w:rsid w:val="454113CA"/>
    <w:rsid w:val="454315E6"/>
    <w:rsid w:val="454669E0"/>
    <w:rsid w:val="454D7D6F"/>
    <w:rsid w:val="4550785F"/>
    <w:rsid w:val="455E1F7C"/>
    <w:rsid w:val="4568104C"/>
    <w:rsid w:val="456A0921"/>
    <w:rsid w:val="456F5F37"/>
    <w:rsid w:val="457B0D80"/>
    <w:rsid w:val="45863281"/>
    <w:rsid w:val="45886FF9"/>
    <w:rsid w:val="45A02594"/>
    <w:rsid w:val="45B147A1"/>
    <w:rsid w:val="45CB5896"/>
    <w:rsid w:val="45D4223E"/>
    <w:rsid w:val="45D67D64"/>
    <w:rsid w:val="45E36925"/>
    <w:rsid w:val="45E85CE9"/>
    <w:rsid w:val="45E96513"/>
    <w:rsid w:val="45EE1552"/>
    <w:rsid w:val="45F428E0"/>
    <w:rsid w:val="45FD1795"/>
    <w:rsid w:val="4614088C"/>
    <w:rsid w:val="46184820"/>
    <w:rsid w:val="462C02CC"/>
    <w:rsid w:val="463F1DAD"/>
    <w:rsid w:val="4642189D"/>
    <w:rsid w:val="46454EEA"/>
    <w:rsid w:val="46584C1D"/>
    <w:rsid w:val="46647A66"/>
    <w:rsid w:val="466730B2"/>
    <w:rsid w:val="46713F31"/>
    <w:rsid w:val="46767799"/>
    <w:rsid w:val="4685178A"/>
    <w:rsid w:val="46963997"/>
    <w:rsid w:val="4698326B"/>
    <w:rsid w:val="46A460B4"/>
    <w:rsid w:val="46AE6F33"/>
    <w:rsid w:val="46BB51AC"/>
    <w:rsid w:val="46BF2EEE"/>
    <w:rsid w:val="46C2478C"/>
    <w:rsid w:val="46C44060"/>
    <w:rsid w:val="46CC1167"/>
    <w:rsid w:val="46D52711"/>
    <w:rsid w:val="46EE10DD"/>
    <w:rsid w:val="46F96400"/>
    <w:rsid w:val="470D3C59"/>
    <w:rsid w:val="471C5C4A"/>
    <w:rsid w:val="473236C0"/>
    <w:rsid w:val="4734568A"/>
    <w:rsid w:val="473A07C7"/>
    <w:rsid w:val="473C453F"/>
    <w:rsid w:val="474927B8"/>
    <w:rsid w:val="47541888"/>
    <w:rsid w:val="47573126"/>
    <w:rsid w:val="475E2707"/>
    <w:rsid w:val="4783216D"/>
    <w:rsid w:val="47867568"/>
    <w:rsid w:val="47A520E4"/>
    <w:rsid w:val="47C02A7A"/>
    <w:rsid w:val="47C562E2"/>
    <w:rsid w:val="47CD5197"/>
    <w:rsid w:val="47D227AD"/>
    <w:rsid w:val="47E250E6"/>
    <w:rsid w:val="47E349BA"/>
    <w:rsid w:val="47E744AA"/>
    <w:rsid w:val="47ED3A8B"/>
    <w:rsid w:val="47F6293F"/>
    <w:rsid w:val="4800731A"/>
    <w:rsid w:val="48050DD4"/>
    <w:rsid w:val="4810465C"/>
    <w:rsid w:val="48205C0E"/>
    <w:rsid w:val="48335942"/>
    <w:rsid w:val="48345216"/>
    <w:rsid w:val="4840005F"/>
    <w:rsid w:val="48515DC8"/>
    <w:rsid w:val="485338EE"/>
    <w:rsid w:val="48537D92"/>
    <w:rsid w:val="4867383D"/>
    <w:rsid w:val="48741AB6"/>
    <w:rsid w:val="487877F8"/>
    <w:rsid w:val="487B1097"/>
    <w:rsid w:val="487D6BBD"/>
    <w:rsid w:val="48847F4B"/>
    <w:rsid w:val="489857A5"/>
    <w:rsid w:val="48990294"/>
    <w:rsid w:val="489B7043"/>
    <w:rsid w:val="48B12D0A"/>
    <w:rsid w:val="48B63E7D"/>
    <w:rsid w:val="48C52312"/>
    <w:rsid w:val="48C60564"/>
    <w:rsid w:val="48CB5B7A"/>
    <w:rsid w:val="48D013E2"/>
    <w:rsid w:val="48D6451F"/>
    <w:rsid w:val="48DB1B35"/>
    <w:rsid w:val="48F7696F"/>
    <w:rsid w:val="490B241B"/>
    <w:rsid w:val="493A2D00"/>
    <w:rsid w:val="494D47E1"/>
    <w:rsid w:val="495A5150"/>
    <w:rsid w:val="49675177"/>
    <w:rsid w:val="49777AB0"/>
    <w:rsid w:val="497955D6"/>
    <w:rsid w:val="497C0C22"/>
    <w:rsid w:val="49816239"/>
    <w:rsid w:val="49831FB1"/>
    <w:rsid w:val="49867CF3"/>
    <w:rsid w:val="499C3073"/>
    <w:rsid w:val="49A308A5"/>
    <w:rsid w:val="49A63EF1"/>
    <w:rsid w:val="49B74350"/>
    <w:rsid w:val="49BE74A6"/>
    <w:rsid w:val="49CB3958"/>
    <w:rsid w:val="49CD147E"/>
    <w:rsid w:val="49D071C0"/>
    <w:rsid w:val="49DC7913"/>
    <w:rsid w:val="49EC173D"/>
    <w:rsid w:val="49F17862"/>
    <w:rsid w:val="49FE1F7F"/>
    <w:rsid w:val="4A0155CC"/>
    <w:rsid w:val="4A17094B"/>
    <w:rsid w:val="4A280DAA"/>
    <w:rsid w:val="4A361719"/>
    <w:rsid w:val="4A3E237C"/>
    <w:rsid w:val="4A477482"/>
    <w:rsid w:val="4A5D4EF8"/>
    <w:rsid w:val="4A6C6EE9"/>
    <w:rsid w:val="4A6F2535"/>
    <w:rsid w:val="4A9106FD"/>
    <w:rsid w:val="4A963F66"/>
    <w:rsid w:val="4AA30431"/>
    <w:rsid w:val="4AAA5C63"/>
    <w:rsid w:val="4AAF6DD6"/>
    <w:rsid w:val="4AB34B18"/>
    <w:rsid w:val="4AB8212E"/>
    <w:rsid w:val="4AB83EDC"/>
    <w:rsid w:val="4ABF170F"/>
    <w:rsid w:val="4AC46D25"/>
    <w:rsid w:val="4AD93E52"/>
    <w:rsid w:val="4ADF76BB"/>
    <w:rsid w:val="4AEE3DA2"/>
    <w:rsid w:val="4AF07B1A"/>
    <w:rsid w:val="4AF40C8C"/>
    <w:rsid w:val="4AF56EDE"/>
    <w:rsid w:val="4B052E99"/>
    <w:rsid w:val="4B1C090F"/>
    <w:rsid w:val="4B201A81"/>
    <w:rsid w:val="4B217CD3"/>
    <w:rsid w:val="4B3A2B43"/>
    <w:rsid w:val="4B3B68BB"/>
    <w:rsid w:val="4B46598C"/>
    <w:rsid w:val="4B4B4D50"/>
    <w:rsid w:val="4B5F6A4E"/>
    <w:rsid w:val="4B63653E"/>
    <w:rsid w:val="4B6422B6"/>
    <w:rsid w:val="4B663938"/>
    <w:rsid w:val="4B6B53F2"/>
    <w:rsid w:val="4B6C4CC7"/>
    <w:rsid w:val="4B6E4EE3"/>
    <w:rsid w:val="4B736055"/>
    <w:rsid w:val="4B86222C"/>
    <w:rsid w:val="4B885FA4"/>
    <w:rsid w:val="4B904E59"/>
    <w:rsid w:val="4B9D30D2"/>
    <w:rsid w:val="4BA821A3"/>
    <w:rsid w:val="4BC30D8B"/>
    <w:rsid w:val="4BC57318"/>
    <w:rsid w:val="4BC6087B"/>
    <w:rsid w:val="4BCE14DD"/>
    <w:rsid w:val="4BD25472"/>
    <w:rsid w:val="4BD72A88"/>
    <w:rsid w:val="4BD765E4"/>
    <w:rsid w:val="4BE96317"/>
    <w:rsid w:val="4BEA27BB"/>
    <w:rsid w:val="4BEB6533"/>
    <w:rsid w:val="4BF90C50"/>
    <w:rsid w:val="4C0F18C5"/>
    <w:rsid w:val="4C194E4E"/>
    <w:rsid w:val="4C26756B"/>
    <w:rsid w:val="4C2C2DD4"/>
    <w:rsid w:val="4C4D2D4A"/>
    <w:rsid w:val="4C4D68A6"/>
    <w:rsid w:val="4C583BC9"/>
    <w:rsid w:val="4C5E6D05"/>
    <w:rsid w:val="4C6065D9"/>
    <w:rsid w:val="4C612351"/>
    <w:rsid w:val="4C716A38"/>
    <w:rsid w:val="4CCC1EC1"/>
    <w:rsid w:val="4CD55219"/>
    <w:rsid w:val="4CEE62DB"/>
    <w:rsid w:val="4CFA4C80"/>
    <w:rsid w:val="4D0C050F"/>
    <w:rsid w:val="4D135D42"/>
    <w:rsid w:val="4D155616"/>
    <w:rsid w:val="4D1B0752"/>
    <w:rsid w:val="4D232208"/>
    <w:rsid w:val="4D265A75"/>
    <w:rsid w:val="4D4203D5"/>
    <w:rsid w:val="4D447CA9"/>
    <w:rsid w:val="4D491763"/>
    <w:rsid w:val="4D50664E"/>
    <w:rsid w:val="4D510618"/>
    <w:rsid w:val="4D6E2F78"/>
    <w:rsid w:val="4D84279B"/>
    <w:rsid w:val="4D8E53C8"/>
    <w:rsid w:val="4D924EB8"/>
    <w:rsid w:val="4DA62712"/>
    <w:rsid w:val="4DAB7D28"/>
    <w:rsid w:val="4DAC584E"/>
    <w:rsid w:val="4DB7491F"/>
    <w:rsid w:val="4DBA7F6B"/>
    <w:rsid w:val="4DBF5582"/>
    <w:rsid w:val="4DD059E1"/>
    <w:rsid w:val="4DD21759"/>
    <w:rsid w:val="4DD94895"/>
    <w:rsid w:val="4DE60D60"/>
    <w:rsid w:val="4DED20EF"/>
    <w:rsid w:val="4DF41C64"/>
    <w:rsid w:val="4DF80A94"/>
    <w:rsid w:val="4DFC4A28"/>
    <w:rsid w:val="4E0F6509"/>
    <w:rsid w:val="4E17716C"/>
    <w:rsid w:val="4E1A4EAE"/>
    <w:rsid w:val="4E233D62"/>
    <w:rsid w:val="4E257ADB"/>
    <w:rsid w:val="4E263853"/>
    <w:rsid w:val="4E281379"/>
    <w:rsid w:val="4E2B2C17"/>
    <w:rsid w:val="4E487C6D"/>
    <w:rsid w:val="4E4F4B57"/>
    <w:rsid w:val="4E516B22"/>
    <w:rsid w:val="4E577EB0"/>
    <w:rsid w:val="4E724CEA"/>
    <w:rsid w:val="4E7C16C5"/>
    <w:rsid w:val="4E850579"/>
    <w:rsid w:val="4E8A7EF1"/>
    <w:rsid w:val="4E8B1908"/>
    <w:rsid w:val="4E8C2811"/>
    <w:rsid w:val="4E9764FE"/>
    <w:rsid w:val="4E9904C8"/>
    <w:rsid w:val="4EB250E6"/>
    <w:rsid w:val="4EB86BA1"/>
    <w:rsid w:val="4EC310A1"/>
    <w:rsid w:val="4ECC61A8"/>
    <w:rsid w:val="4ED11A10"/>
    <w:rsid w:val="4EDE7C89"/>
    <w:rsid w:val="4EFA2D21"/>
    <w:rsid w:val="4EFB4CDF"/>
    <w:rsid w:val="4EFD1361"/>
    <w:rsid w:val="4F035942"/>
    <w:rsid w:val="4F1162B1"/>
    <w:rsid w:val="4F133DD7"/>
    <w:rsid w:val="4F2A7373"/>
    <w:rsid w:val="4F3501F1"/>
    <w:rsid w:val="4F351F9F"/>
    <w:rsid w:val="4F426946"/>
    <w:rsid w:val="4F443F90"/>
    <w:rsid w:val="4F493C9D"/>
    <w:rsid w:val="4F4B17C3"/>
    <w:rsid w:val="4F5148FF"/>
    <w:rsid w:val="4F552641"/>
    <w:rsid w:val="4F5B577E"/>
    <w:rsid w:val="4F5D14F6"/>
    <w:rsid w:val="4F672375"/>
    <w:rsid w:val="4F7A20A8"/>
    <w:rsid w:val="4F7B5396"/>
    <w:rsid w:val="4F840831"/>
    <w:rsid w:val="4F8545A9"/>
    <w:rsid w:val="4F980780"/>
    <w:rsid w:val="4FA7451F"/>
    <w:rsid w:val="4FAE1D52"/>
    <w:rsid w:val="4FAE3B00"/>
    <w:rsid w:val="4FB235F0"/>
    <w:rsid w:val="4FB37368"/>
    <w:rsid w:val="4FB8672C"/>
    <w:rsid w:val="4FC21359"/>
    <w:rsid w:val="4FC275AB"/>
    <w:rsid w:val="4FC450D1"/>
    <w:rsid w:val="4FC96B8B"/>
    <w:rsid w:val="4FDF015D"/>
    <w:rsid w:val="4FE958A7"/>
    <w:rsid w:val="4FED4628"/>
    <w:rsid w:val="4FF0236A"/>
    <w:rsid w:val="5003209D"/>
    <w:rsid w:val="50100316"/>
    <w:rsid w:val="5023629C"/>
    <w:rsid w:val="50242014"/>
    <w:rsid w:val="50334005"/>
    <w:rsid w:val="50371D47"/>
    <w:rsid w:val="503C110B"/>
    <w:rsid w:val="504306EC"/>
    <w:rsid w:val="50483F54"/>
    <w:rsid w:val="50526B81"/>
    <w:rsid w:val="5060304C"/>
    <w:rsid w:val="50632B3C"/>
    <w:rsid w:val="506D39BB"/>
    <w:rsid w:val="508807F5"/>
    <w:rsid w:val="50940F47"/>
    <w:rsid w:val="50942CF5"/>
    <w:rsid w:val="50962F12"/>
    <w:rsid w:val="50A849F3"/>
    <w:rsid w:val="50AC6291"/>
    <w:rsid w:val="50B138A7"/>
    <w:rsid w:val="50BB4726"/>
    <w:rsid w:val="50BC224C"/>
    <w:rsid w:val="50C80BF1"/>
    <w:rsid w:val="50DD28EE"/>
    <w:rsid w:val="50DE21C3"/>
    <w:rsid w:val="50EA6DB9"/>
    <w:rsid w:val="50EE68AA"/>
    <w:rsid w:val="50F10148"/>
    <w:rsid w:val="51134562"/>
    <w:rsid w:val="511B3417"/>
    <w:rsid w:val="511D718F"/>
    <w:rsid w:val="511F2F07"/>
    <w:rsid w:val="512E6655"/>
    <w:rsid w:val="51312C3A"/>
    <w:rsid w:val="51361FFF"/>
    <w:rsid w:val="513B5867"/>
    <w:rsid w:val="513D513B"/>
    <w:rsid w:val="514C35D0"/>
    <w:rsid w:val="5153670D"/>
    <w:rsid w:val="51583D23"/>
    <w:rsid w:val="515D57DD"/>
    <w:rsid w:val="51600E2A"/>
    <w:rsid w:val="51695F30"/>
    <w:rsid w:val="516E1798"/>
    <w:rsid w:val="51735001"/>
    <w:rsid w:val="51782617"/>
    <w:rsid w:val="5187285A"/>
    <w:rsid w:val="51905BB3"/>
    <w:rsid w:val="51907961"/>
    <w:rsid w:val="51937451"/>
    <w:rsid w:val="51984A67"/>
    <w:rsid w:val="519B00B4"/>
    <w:rsid w:val="519C4558"/>
    <w:rsid w:val="51A96C75"/>
    <w:rsid w:val="51AC406F"/>
    <w:rsid w:val="51D610EC"/>
    <w:rsid w:val="51E11F6A"/>
    <w:rsid w:val="51F36142"/>
    <w:rsid w:val="51FA74D0"/>
    <w:rsid w:val="51FC6DA4"/>
    <w:rsid w:val="520B5239"/>
    <w:rsid w:val="521D4F6D"/>
    <w:rsid w:val="521F6F37"/>
    <w:rsid w:val="522956BF"/>
    <w:rsid w:val="522B768A"/>
    <w:rsid w:val="522D1654"/>
    <w:rsid w:val="522D3402"/>
    <w:rsid w:val="522E2CD6"/>
    <w:rsid w:val="52350508"/>
    <w:rsid w:val="523C1897"/>
    <w:rsid w:val="525C5A95"/>
    <w:rsid w:val="525E180D"/>
    <w:rsid w:val="525F10E1"/>
    <w:rsid w:val="526E7576"/>
    <w:rsid w:val="527A416D"/>
    <w:rsid w:val="52833022"/>
    <w:rsid w:val="52854FEC"/>
    <w:rsid w:val="528944AB"/>
    <w:rsid w:val="528F7C18"/>
    <w:rsid w:val="529214B7"/>
    <w:rsid w:val="529A036B"/>
    <w:rsid w:val="529C2335"/>
    <w:rsid w:val="529E1C09"/>
    <w:rsid w:val="52B70F1D"/>
    <w:rsid w:val="52BC29D7"/>
    <w:rsid w:val="52C5363A"/>
    <w:rsid w:val="52CA29FF"/>
    <w:rsid w:val="52CA50F4"/>
    <w:rsid w:val="52CF6267"/>
    <w:rsid w:val="52F1442F"/>
    <w:rsid w:val="53073C53"/>
    <w:rsid w:val="530C74BB"/>
    <w:rsid w:val="530F0D59"/>
    <w:rsid w:val="532540D9"/>
    <w:rsid w:val="532A7941"/>
    <w:rsid w:val="532D11DF"/>
    <w:rsid w:val="53424C8B"/>
    <w:rsid w:val="53426A39"/>
    <w:rsid w:val="53487DC7"/>
    <w:rsid w:val="534C5B09"/>
    <w:rsid w:val="53582700"/>
    <w:rsid w:val="53590226"/>
    <w:rsid w:val="53620E89"/>
    <w:rsid w:val="536966BB"/>
    <w:rsid w:val="5371731E"/>
    <w:rsid w:val="53755060"/>
    <w:rsid w:val="537E1A3B"/>
    <w:rsid w:val="5386726D"/>
    <w:rsid w:val="538A6632"/>
    <w:rsid w:val="5391176E"/>
    <w:rsid w:val="53A25729"/>
    <w:rsid w:val="53AE2320"/>
    <w:rsid w:val="53C953AC"/>
    <w:rsid w:val="53CB1124"/>
    <w:rsid w:val="53DD2C05"/>
    <w:rsid w:val="53E61ABA"/>
    <w:rsid w:val="53F1045F"/>
    <w:rsid w:val="53F57F4F"/>
    <w:rsid w:val="53FD5056"/>
    <w:rsid w:val="53FF0DCE"/>
    <w:rsid w:val="540E2DBF"/>
    <w:rsid w:val="54102FDB"/>
    <w:rsid w:val="54210D44"/>
    <w:rsid w:val="54295E4B"/>
    <w:rsid w:val="545A6004"/>
    <w:rsid w:val="545E3D46"/>
    <w:rsid w:val="545F186C"/>
    <w:rsid w:val="546155E5"/>
    <w:rsid w:val="546B1FBF"/>
    <w:rsid w:val="546E1AAF"/>
    <w:rsid w:val="547D1CF3"/>
    <w:rsid w:val="547F5A6B"/>
    <w:rsid w:val="54817A35"/>
    <w:rsid w:val="548968E9"/>
    <w:rsid w:val="549239F0"/>
    <w:rsid w:val="54947768"/>
    <w:rsid w:val="54A656ED"/>
    <w:rsid w:val="54B716A8"/>
    <w:rsid w:val="54BE6593"/>
    <w:rsid w:val="54CC5154"/>
    <w:rsid w:val="54D9161F"/>
    <w:rsid w:val="54E81862"/>
    <w:rsid w:val="54EA382C"/>
    <w:rsid w:val="54EB3100"/>
    <w:rsid w:val="54F2448F"/>
    <w:rsid w:val="54FF095A"/>
    <w:rsid w:val="55012924"/>
    <w:rsid w:val="5503044A"/>
    <w:rsid w:val="55050666"/>
    <w:rsid w:val="55222FC6"/>
    <w:rsid w:val="55256612"/>
    <w:rsid w:val="55284354"/>
    <w:rsid w:val="55344AA7"/>
    <w:rsid w:val="5539030F"/>
    <w:rsid w:val="55466F44"/>
    <w:rsid w:val="554C3B9F"/>
    <w:rsid w:val="55545149"/>
    <w:rsid w:val="555C7B5A"/>
    <w:rsid w:val="555D2250"/>
    <w:rsid w:val="555E7D76"/>
    <w:rsid w:val="556233C2"/>
    <w:rsid w:val="55627866"/>
    <w:rsid w:val="5563713A"/>
    <w:rsid w:val="55711857"/>
    <w:rsid w:val="55943798"/>
    <w:rsid w:val="559E0172"/>
    <w:rsid w:val="55A35789"/>
    <w:rsid w:val="55AE2AAB"/>
    <w:rsid w:val="55BB0D24"/>
    <w:rsid w:val="55BD2CEE"/>
    <w:rsid w:val="55BD4A9D"/>
    <w:rsid w:val="55BE25C3"/>
    <w:rsid w:val="55C0458D"/>
    <w:rsid w:val="55C23E61"/>
    <w:rsid w:val="55C45E2B"/>
    <w:rsid w:val="55C71477"/>
    <w:rsid w:val="55DD6EED"/>
    <w:rsid w:val="55EC5382"/>
    <w:rsid w:val="55FB55C5"/>
    <w:rsid w:val="56064695"/>
    <w:rsid w:val="5613653F"/>
    <w:rsid w:val="561F12B3"/>
    <w:rsid w:val="56290384"/>
    <w:rsid w:val="56310FE7"/>
    <w:rsid w:val="5632548A"/>
    <w:rsid w:val="56352885"/>
    <w:rsid w:val="563C00B7"/>
    <w:rsid w:val="56431446"/>
    <w:rsid w:val="564C7BCE"/>
    <w:rsid w:val="56582A17"/>
    <w:rsid w:val="565A053D"/>
    <w:rsid w:val="565C2507"/>
    <w:rsid w:val="566413BC"/>
    <w:rsid w:val="56694C24"/>
    <w:rsid w:val="566B44F9"/>
    <w:rsid w:val="56903F5F"/>
    <w:rsid w:val="569972B8"/>
    <w:rsid w:val="569C2904"/>
    <w:rsid w:val="56A619D5"/>
    <w:rsid w:val="56AE2637"/>
    <w:rsid w:val="56B51C18"/>
    <w:rsid w:val="56B714EC"/>
    <w:rsid w:val="56CD51B3"/>
    <w:rsid w:val="56D57BC4"/>
    <w:rsid w:val="56D77DE0"/>
    <w:rsid w:val="56D95906"/>
    <w:rsid w:val="56DA167E"/>
    <w:rsid w:val="56DE2F1C"/>
    <w:rsid w:val="56E61DD1"/>
    <w:rsid w:val="56EB5639"/>
    <w:rsid w:val="56FB1D20"/>
    <w:rsid w:val="570109B9"/>
    <w:rsid w:val="57030BD5"/>
    <w:rsid w:val="570D735E"/>
    <w:rsid w:val="570F757A"/>
    <w:rsid w:val="571903F8"/>
    <w:rsid w:val="571F7091"/>
    <w:rsid w:val="57272B15"/>
    <w:rsid w:val="57362D58"/>
    <w:rsid w:val="573B211D"/>
    <w:rsid w:val="574A7FE2"/>
    <w:rsid w:val="5753390A"/>
    <w:rsid w:val="57603931"/>
    <w:rsid w:val="5765719A"/>
    <w:rsid w:val="576C677A"/>
    <w:rsid w:val="576F626A"/>
    <w:rsid w:val="577E200A"/>
    <w:rsid w:val="577E64AD"/>
    <w:rsid w:val="57835872"/>
    <w:rsid w:val="57AA2DFF"/>
    <w:rsid w:val="57B8376D"/>
    <w:rsid w:val="57BD0D84"/>
    <w:rsid w:val="57C77E54"/>
    <w:rsid w:val="57D4431F"/>
    <w:rsid w:val="57E0285A"/>
    <w:rsid w:val="57E5652D"/>
    <w:rsid w:val="57EE718F"/>
    <w:rsid w:val="57F4051E"/>
    <w:rsid w:val="57F56770"/>
    <w:rsid w:val="57FD3876"/>
    <w:rsid w:val="58006EC2"/>
    <w:rsid w:val="58136BF6"/>
    <w:rsid w:val="58160494"/>
    <w:rsid w:val="581806B0"/>
    <w:rsid w:val="582726A1"/>
    <w:rsid w:val="58331046"/>
    <w:rsid w:val="583F3E8F"/>
    <w:rsid w:val="5849107F"/>
    <w:rsid w:val="58492617"/>
    <w:rsid w:val="586E207E"/>
    <w:rsid w:val="587D6765"/>
    <w:rsid w:val="5886386C"/>
    <w:rsid w:val="58896EB8"/>
    <w:rsid w:val="588C69A8"/>
    <w:rsid w:val="58922210"/>
    <w:rsid w:val="58A12453"/>
    <w:rsid w:val="58CB5722"/>
    <w:rsid w:val="58CD149A"/>
    <w:rsid w:val="58D345D7"/>
    <w:rsid w:val="58D42829"/>
    <w:rsid w:val="58D72319"/>
    <w:rsid w:val="58D77C23"/>
    <w:rsid w:val="58E93DFA"/>
    <w:rsid w:val="58ED7447"/>
    <w:rsid w:val="58F24A5D"/>
    <w:rsid w:val="58FA6008"/>
    <w:rsid w:val="59030A18"/>
    <w:rsid w:val="5906675A"/>
    <w:rsid w:val="5915699E"/>
    <w:rsid w:val="591E1CF6"/>
    <w:rsid w:val="592B4413"/>
    <w:rsid w:val="59367040"/>
    <w:rsid w:val="59505C28"/>
    <w:rsid w:val="5954396A"/>
    <w:rsid w:val="59545718"/>
    <w:rsid w:val="596C0CB3"/>
    <w:rsid w:val="596D67DA"/>
    <w:rsid w:val="5978613C"/>
    <w:rsid w:val="59835FFD"/>
    <w:rsid w:val="598A2EE8"/>
    <w:rsid w:val="59A71CEC"/>
    <w:rsid w:val="59B241EC"/>
    <w:rsid w:val="59C02DAD"/>
    <w:rsid w:val="59CD0166"/>
    <w:rsid w:val="59D14FBA"/>
    <w:rsid w:val="59DB7BE7"/>
    <w:rsid w:val="59E06FAB"/>
    <w:rsid w:val="59F14D15"/>
    <w:rsid w:val="59F36CDF"/>
    <w:rsid w:val="5A0A5DD6"/>
    <w:rsid w:val="5A236E98"/>
    <w:rsid w:val="5A36306F"/>
    <w:rsid w:val="5A366BCB"/>
    <w:rsid w:val="5A3E3CD2"/>
    <w:rsid w:val="5A3F1F24"/>
    <w:rsid w:val="5A44753A"/>
    <w:rsid w:val="5A4A2677"/>
    <w:rsid w:val="5A504131"/>
    <w:rsid w:val="5A517EA9"/>
    <w:rsid w:val="5A5B2AD6"/>
    <w:rsid w:val="5A655703"/>
    <w:rsid w:val="5A6574B1"/>
    <w:rsid w:val="5A673229"/>
    <w:rsid w:val="5A7C5739"/>
    <w:rsid w:val="5A86434D"/>
    <w:rsid w:val="5A9164F8"/>
    <w:rsid w:val="5AA63D51"/>
    <w:rsid w:val="5ABF3065"/>
    <w:rsid w:val="5ABF4E13"/>
    <w:rsid w:val="5AC643F3"/>
    <w:rsid w:val="5AC8016B"/>
    <w:rsid w:val="5ACD5782"/>
    <w:rsid w:val="5AED1980"/>
    <w:rsid w:val="5AEE56F8"/>
    <w:rsid w:val="5AF50835"/>
    <w:rsid w:val="5AFF3461"/>
    <w:rsid w:val="5B307ABF"/>
    <w:rsid w:val="5B445318"/>
    <w:rsid w:val="5B4672E2"/>
    <w:rsid w:val="5B48305A"/>
    <w:rsid w:val="5B6E0940"/>
    <w:rsid w:val="5B8D6CBF"/>
    <w:rsid w:val="5B8F2A37"/>
    <w:rsid w:val="5B955B74"/>
    <w:rsid w:val="5B995664"/>
    <w:rsid w:val="5BA504AD"/>
    <w:rsid w:val="5BD91F04"/>
    <w:rsid w:val="5BDD7C46"/>
    <w:rsid w:val="5BFB00CD"/>
    <w:rsid w:val="5C0C052C"/>
    <w:rsid w:val="5C0D1BAE"/>
    <w:rsid w:val="5C1B076F"/>
    <w:rsid w:val="5C1B251D"/>
    <w:rsid w:val="5C1F025F"/>
    <w:rsid w:val="5C231706"/>
    <w:rsid w:val="5C25339C"/>
    <w:rsid w:val="5C367357"/>
    <w:rsid w:val="5C447CC6"/>
    <w:rsid w:val="5C4557EC"/>
    <w:rsid w:val="5C4A2E02"/>
    <w:rsid w:val="5C4C0928"/>
    <w:rsid w:val="5C6E6AF1"/>
    <w:rsid w:val="5C757E7F"/>
    <w:rsid w:val="5C763BF7"/>
    <w:rsid w:val="5C7D31D8"/>
    <w:rsid w:val="5C82259C"/>
    <w:rsid w:val="5C891DD6"/>
    <w:rsid w:val="5C9C18B0"/>
    <w:rsid w:val="5C9F4EFC"/>
    <w:rsid w:val="5CA00C74"/>
    <w:rsid w:val="5CA22C3E"/>
    <w:rsid w:val="5CA42512"/>
    <w:rsid w:val="5CA442C0"/>
    <w:rsid w:val="5CA93FCD"/>
    <w:rsid w:val="5CAB1AF3"/>
    <w:rsid w:val="5CAC586B"/>
    <w:rsid w:val="5CB309A7"/>
    <w:rsid w:val="5CBC5AAE"/>
    <w:rsid w:val="5CC91F79"/>
    <w:rsid w:val="5CD03307"/>
    <w:rsid w:val="5CD1707F"/>
    <w:rsid w:val="5CD31049"/>
    <w:rsid w:val="5CD526CC"/>
    <w:rsid w:val="5CDC6150"/>
    <w:rsid w:val="5CE768A3"/>
    <w:rsid w:val="5CEE5E83"/>
    <w:rsid w:val="5CFA65D6"/>
    <w:rsid w:val="5D0B1162"/>
    <w:rsid w:val="5D101956"/>
    <w:rsid w:val="5D184CAE"/>
    <w:rsid w:val="5D221689"/>
    <w:rsid w:val="5D380EAD"/>
    <w:rsid w:val="5D4C6DCF"/>
    <w:rsid w:val="5D5C4B9B"/>
    <w:rsid w:val="5D5E6B65"/>
    <w:rsid w:val="5D6677C8"/>
    <w:rsid w:val="5D6972B8"/>
    <w:rsid w:val="5D6D0B56"/>
    <w:rsid w:val="5D79399F"/>
    <w:rsid w:val="5D7F6ADB"/>
    <w:rsid w:val="5D845EA0"/>
    <w:rsid w:val="5D8F31C2"/>
    <w:rsid w:val="5DB42C29"/>
    <w:rsid w:val="5DB70023"/>
    <w:rsid w:val="5DBB5D65"/>
    <w:rsid w:val="5DC56BE4"/>
    <w:rsid w:val="5DCA5FA9"/>
    <w:rsid w:val="5DD60DF1"/>
    <w:rsid w:val="5DEB5F1F"/>
    <w:rsid w:val="5DFE3EA4"/>
    <w:rsid w:val="5E023994"/>
    <w:rsid w:val="5E1C257C"/>
    <w:rsid w:val="5E1E62F4"/>
    <w:rsid w:val="5E203E1A"/>
    <w:rsid w:val="5E2733FB"/>
    <w:rsid w:val="5E2A6A47"/>
    <w:rsid w:val="5E2E29DB"/>
    <w:rsid w:val="5E331DA0"/>
    <w:rsid w:val="5E413D91"/>
    <w:rsid w:val="5E453881"/>
    <w:rsid w:val="5E4915C3"/>
    <w:rsid w:val="5E4E6BDA"/>
    <w:rsid w:val="5E543AC4"/>
    <w:rsid w:val="5E677C9B"/>
    <w:rsid w:val="5E6957C1"/>
    <w:rsid w:val="5E771C26"/>
    <w:rsid w:val="5E8545C5"/>
    <w:rsid w:val="5E9112BE"/>
    <w:rsid w:val="5E930A90"/>
    <w:rsid w:val="5E96232F"/>
    <w:rsid w:val="5EA54320"/>
    <w:rsid w:val="5EA902B4"/>
    <w:rsid w:val="5EB6477F"/>
    <w:rsid w:val="5EC46E9C"/>
    <w:rsid w:val="5ECB022A"/>
    <w:rsid w:val="5ED30E8D"/>
    <w:rsid w:val="5EDA221B"/>
    <w:rsid w:val="5EE65064"/>
    <w:rsid w:val="5EFD415C"/>
    <w:rsid w:val="5F047298"/>
    <w:rsid w:val="5F08322C"/>
    <w:rsid w:val="5F103E8F"/>
    <w:rsid w:val="5F166FCB"/>
    <w:rsid w:val="5F3202A9"/>
    <w:rsid w:val="5F335DCF"/>
    <w:rsid w:val="5F422B39"/>
    <w:rsid w:val="5F700DD2"/>
    <w:rsid w:val="5F7A1712"/>
    <w:rsid w:val="5F8B79B9"/>
    <w:rsid w:val="5F926F9A"/>
    <w:rsid w:val="5F9920D6"/>
    <w:rsid w:val="5F9C5723"/>
    <w:rsid w:val="5FB05672"/>
    <w:rsid w:val="5FCF5AF8"/>
    <w:rsid w:val="5FD90725"/>
    <w:rsid w:val="5FE07D05"/>
    <w:rsid w:val="5FE1582B"/>
    <w:rsid w:val="5FED41D0"/>
    <w:rsid w:val="5FF732A1"/>
    <w:rsid w:val="5FFE018B"/>
    <w:rsid w:val="600F05EB"/>
    <w:rsid w:val="60116111"/>
    <w:rsid w:val="60200102"/>
    <w:rsid w:val="602A0F80"/>
    <w:rsid w:val="60477D84"/>
    <w:rsid w:val="604F6C39"/>
    <w:rsid w:val="605204D7"/>
    <w:rsid w:val="60563B24"/>
    <w:rsid w:val="606E3563"/>
    <w:rsid w:val="6074044E"/>
    <w:rsid w:val="60805044"/>
    <w:rsid w:val="60844B35"/>
    <w:rsid w:val="608F34D9"/>
    <w:rsid w:val="609B00D0"/>
    <w:rsid w:val="609D5BF6"/>
    <w:rsid w:val="60A56859"/>
    <w:rsid w:val="60A800F7"/>
    <w:rsid w:val="60C2565D"/>
    <w:rsid w:val="60C767CF"/>
    <w:rsid w:val="60CC64DC"/>
    <w:rsid w:val="60CF1B28"/>
    <w:rsid w:val="60D07D7A"/>
    <w:rsid w:val="60EE6452"/>
    <w:rsid w:val="60F35816"/>
    <w:rsid w:val="60F63558"/>
    <w:rsid w:val="60FA4DF7"/>
    <w:rsid w:val="61021EFD"/>
    <w:rsid w:val="6109503A"/>
    <w:rsid w:val="610E43FE"/>
    <w:rsid w:val="6110461A"/>
    <w:rsid w:val="6122434D"/>
    <w:rsid w:val="612E684E"/>
    <w:rsid w:val="61330309"/>
    <w:rsid w:val="613876CD"/>
    <w:rsid w:val="614B38A4"/>
    <w:rsid w:val="615C160D"/>
    <w:rsid w:val="616404C2"/>
    <w:rsid w:val="616B35FF"/>
    <w:rsid w:val="6175447D"/>
    <w:rsid w:val="617A5F38"/>
    <w:rsid w:val="61842912"/>
    <w:rsid w:val="618472D1"/>
    <w:rsid w:val="6189617B"/>
    <w:rsid w:val="61A11716"/>
    <w:rsid w:val="61A42FB4"/>
    <w:rsid w:val="61BC02FE"/>
    <w:rsid w:val="61C62F2B"/>
    <w:rsid w:val="61C84EF5"/>
    <w:rsid w:val="61DC62AA"/>
    <w:rsid w:val="61DF3FED"/>
    <w:rsid w:val="61E84C4F"/>
    <w:rsid w:val="61EE5FDE"/>
    <w:rsid w:val="61F47A98"/>
    <w:rsid w:val="62037CDB"/>
    <w:rsid w:val="62061579"/>
    <w:rsid w:val="6208709F"/>
    <w:rsid w:val="620A1069"/>
    <w:rsid w:val="621041A6"/>
    <w:rsid w:val="621E68C3"/>
    <w:rsid w:val="621F15B7"/>
    <w:rsid w:val="62205618"/>
    <w:rsid w:val="622D6B06"/>
    <w:rsid w:val="62402CDD"/>
    <w:rsid w:val="626D15F8"/>
    <w:rsid w:val="626F35C2"/>
    <w:rsid w:val="62782477"/>
    <w:rsid w:val="62A274F4"/>
    <w:rsid w:val="62BF00A6"/>
    <w:rsid w:val="62C51434"/>
    <w:rsid w:val="62C531E2"/>
    <w:rsid w:val="62EE44E7"/>
    <w:rsid w:val="62F31AFE"/>
    <w:rsid w:val="6300421A"/>
    <w:rsid w:val="63365E8E"/>
    <w:rsid w:val="634A36E8"/>
    <w:rsid w:val="634E4F86"/>
    <w:rsid w:val="63576530"/>
    <w:rsid w:val="63585E05"/>
    <w:rsid w:val="635C3B47"/>
    <w:rsid w:val="636724EC"/>
    <w:rsid w:val="63690012"/>
    <w:rsid w:val="637644DD"/>
    <w:rsid w:val="637846F9"/>
    <w:rsid w:val="637F327F"/>
    <w:rsid w:val="638B442C"/>
    <w:rsid w:val="638E7A78"/>
    <w:rsid w:val="639257BA"/>
    <w:rsid w:val="63A177AC"/>
    <w:rsid w:val="63AB4186"/>
    <w:rsid w:val="63AD43A2"/>
    <w:rsid w:val="63AE3C76"/>
    <w:rsid w:val="63B35731"/>
    <w:rsid w:val="63BA086D"/>
    <w:rsid w:val="63BE035D"/>
    <w:rsid w:val="63C139AA"/>
    <w:rsid w:val="63DC6A36"/>
    <w:rsid w:val="63DF02D4"/>
    <w:rsid w:val="63E15DFA"/>
    <w:rsid w:val="63EB0A27"/>
    <w:rsid w:val="63F024E1"/>
    <w:rsid w:val="64032214"/>
    <w:rsid w:val="641206A9"/>
    <w:rsid w:val="641C32D6"/>
    <w:rsid w:val="641C5084"/>
    <w:rsid w:val="64370110"/>
    <w:rsid w:val="64395C36"/>
    <w:rsid w:val="643A0656"/>
    <w:rsid w:val="644C4928"/>
    <w:rsid w:val="645A795A"/>
    <w:rsid w:val="64722EF6"/>
    <w:rsid w:val="6477675E"/>
    <w:rsid w:val="64813139"/>
    <w:rsid w:val="64835103"/>
    <w:rsid w:val="6488096B"/>
    <w:rsid w:val="648844C8"/>
    <w:rsid w:val="648C045C"/>
    <w:rsid w:val="649317EA"/>
    <w:rsid w:val="649C61C5"/>
    <w:rsid w:val="64A37553"/>
    <w:rsid w:val="64A82DBC"/>
    <w:rsid w:val="64AA08E2"/>
    <w:rsid w:val="64CC2606"/>
    <w:rsid w:val="64E04C97"/>
    <w:rsid w:val="64F93617"/>
    <w:rsid w:val="64FB738F"/>
    <w:rsid w:val="65055B18"/>
    <w:rsid w:val="65085608"/>
    <w:rsid w:val="651346D9"/>
    <w:rsid w:val="65143FAD"/>
    <w:rsid w:val="651D2E62"/>
    <w:rsid w:val="6522491C"/>
    <w:rsid w:val="652266CA"/>
    <w:rsid w:val="65332685"/>
    <w:rsid w:val="653A7EB8"/>
    <w:rsid w:val="65444892"/>
    <w:rsid w:val="654E3963"/>
    <w:rsid w:val="655645C6"/>
    <w:rsid w:val="65674A25"/>
    <w:rsid w:val="65757142"/>
    <w:rsid w:val="658253BB"/>
    <w:rsid w:val="65827169"/>
    <w:rsid w:val="6593581A"/>
    <w:rsid w:val="65982E30"/>
    <w:rsid w:val="659C46CE"/>
    <w:rsid w:val="65AB2B63"/>
    <w:rsid w:val="65B85280"/>
    <w:rsid w:val="65C43C25"/>
    <w:rsid w:val="65C71020"/>
    <w:rsid w:val="65DA6FA5"/>
    <w:rsid w:val="65FE0EE5"/>
    <w:rsid w:val="660404C6"/>
    <w:rsid w:val="6612673F"/>
    <w:rsid w:val="6623094C"/>
    <w:rsid w:val="66252916"/>
    <w:rsid w:val="662F72F1"/>
    <w:rsid w:val="663C7C5F"/>
    <w:rsid w:val="6646288C"/>
    <w:rsid w:val="6646463A"/>
    <w:rsid w:val="664D59C9"/>
    <w:rsid w:val="665723A3"/>
    <w:rsid w:val="66576847"/>
    <w:rsid w:val="6659611C"/>
    <w:rsid w:val="665F56FC"/>
    <w:rsid w:val="667016B7"/>
    <w:rsid w:val="66754F1F"/>
    <w:rsid w:val="667A42E4"/>
    <w:rsid w:val="66A001EE"/>
    <w:rsid w:val="66A3383B"/>
    <w:rsid w:val="66A7157D"/>
    <w:rsid w:val="66AC3F2B"/>
    <w:rsid w:val="66BB5028"/>
    <w:rsid w:val="66C0263F"/>
    <w:rsid w:val="66C338F3"/>
    <w:rsid w:val="66CA526B"/>
    <w:rsid w:val="66CF63DE"/>
    <w:rsid w:val="66D47E98"/>
    <w:rsid w:val="66E005EB"/>
    <w:rsid w:val="66E63727"/>
    <w:rsid w:val="66E71979"/>
    <w:rsid w:val="66E8749F"/>
    <w:rsid w:val="66F127F8"/>
    <w:rsid w:val="67000C8D"/>
    <w:rsid w:val="67112E9A"/>
    <w:rsid w:val="67226E55"/>
    <w:rsid w:val="67242BCD"/>
    <w:rsid w:val="67254250"/>
    <w:rsid w:val="672A5D0A"/>
    <w:rsid w:val="672F1572"/>
    <w:rsid w:val="672F50CE"/>
    <w:rsid w:val="67386679"/>
    <w:rsid w:val="673E5311"/>
    <w:rsid w:val="6759214B"/>
    <w:rsid w:val="677F6056"/>
    <w:rsid w:val="677F7E04"/>
    <w:rsid w:val="678371C8"/>
    <w:rsid w:val="67955879"/>
    <w:rsid w:val="67982C74"/>
    <w:rsid w:val="679A10E9"/>
    <w:rsid w:val="679B2764"/>
    <w:rsid w:val="679F1744"/>
    <w:rsid w:val="67A94E81"/>
    <w:rsid w:val="67AB0BF9"/>
    <w:rsid w:val="67B657F0"/>
    <w:rsid w:val="67C61D1E"/>
    <w:rsid w:val="67DC5256"/>
    <w:rsid w:val="67DD4B2A"/>
    <w:rsid w:val="67EC1211"/>
    <w:rsid w:val="67F56318"/>
    <w:rsid w:val="67FF7197"/>
    <w:rsid w:val="681C38A5"/>
    <w:rsid w:val="683C3F47"/>
    <w:rsid w:val="684F3C7A"/>
    <w:rsid w:val="68525518"/>
    <w:rsid w:val="68555008"/>
    <w:rsid w:val="685C6397"/>
    <w:rsid w:val="68617509"/>
    <w:rsid w:val="68774F7F"/>
    <w:rsid w:val="687C4343"/>
    <w:rsid w:val="687E455F"/>
    <w:rsid w:val="688B4586"/>
    <w:rsid w:val="689F0032"/>
    <w:rsid w:val="68A33FC6"/>
    <w:rsid w:val="68A85138"/>
    <w:rsid w:val="68AB4C28"/>
    <w:rsid w:val="68B27D65"/>
    <w:rsid w:val="68B735CD"/>
    <w:rsid w:val="68B95597"/>
    <w:rsid w:val="68BC6E36"/>
    <w:rsid w:val="68BE2BAE"/>
    <w:rsid w:val="68CA1553"/>
    <w:rsid w:val="68D979E8"/>
    <w:rsid w:val="68DC1286"/>
    <w:rsid w:val="68E24AEE"/>
    <w:rsid w:val="68F640F6"/>
    <w:rsid w:val="68F760C0"/>
    <w:rsid w:val="69026F3E"/>
    <w:rsid w:val="69034A64"/>
    <w:rsid w:val="69083E29"/>
    <w:rsid w:val="69180510"/>
    <w:rsid w:val="69216C99"/>
    <w:rsid w:val="69270753"/>
    <w:rsid w:val="69313380"/>
    <w:rsid w:val="695452C0"/>
    <w:rsid w:val="696C085C"/>
    <w:rsid w:val="697B0A9F"/>
    <w:rsid w:val="697D4817"/>
    <w:rsid w:val="698C6808"/>
    <w:rsid w:val="699102C2"/>
    <w:rsid w:val="699E02E9"/>
    <w:rsid w:val="69A6630B"/>
    <w:rsid w:val="69A71894"/>
    <w:rsid w:val="69AF24F6"/>
    <w:rsid w:val="69B31FE7"/>
    <w:rsid w:val="69B53FB1"/>
    <w:rsid w:val="69BB533F"/>
    <w:rsid w:val="69BD2E65"/>
    <w:rsid w:val="69DA57C5"/>
    <w:rsid w:val="69DD7064"/>
    <w:rsid w:val="69E71C90"/>
    <w:rsid w:val="69EC374B"/>
    <w:rsid w:val="69F04FE9"/>
    <w:rsid w:val="69F34AD9"/>
    <w:rsid w:val="69F36887"/>
    <w:rsid w:val="6A06480C"/>
    <w:rsid w:val="6A130CD7"/>
    <w:rsid w:val="6A1B3B1E"/>
    <w:rsid w:val="6A1D1B56"/>
    <w:rsid w:val="6A2353BE"/>
    <w:rsid w:val="6A301889"/>
    <w:rsid w:val="6A3C022E"/>
    <w:rsid w:val="6A3F387A"/>
    <w:rsid w:val="6A5F216E"/>
    <w:rsid w:val="6A5F3F1C"/>
    <w:rsid w:val="6A627569"/>
    <w:rsid w:val="6A6B466F"/>
    <w:rsid w:val="6A7A48B2"/>
    <w:rsid w:val="6A8A71EB"/>
    <w:rsid w:val="6A9736B6"/>
    <w:rsid w:val="6A9811DC"/>
    <w:rsid w:val="6A9C2A7B"/>
    <w:rsid w:val="6AA67D9D"/>
    <w:rsid w:val="6AAE27AE"/>
    <w:rsid w:val="6AB57FE0"/>
    <w:rsid w:val="6AC87D14"/>
    <w:rsid w:val="6AC975E8"/>
    <w:rsid w:val="6AD22940"/>
    <w:rsid w:val="6ADA35A3"/>
    <w:rsid w:val="6AE663EC"/>
    <w:rsid w:val="6AEB755E"/>
    <w:rsid w:val="6AEC1C54"/>
    <w:rsid w:val="6AED32D6"/>
    <w:rsid w:val="6AF64881"/>
    <w:rsid w:val="6B032AFA"/>
    <w:rsid w:val="6B0625EA"/>
    <w:rsid w:val="6B080110"/>
    <w:rsid w:val="6B0A20DA"/>
    <w:rsid w:val="6B0B7C00"/>
    <w:rsid w:val="6B252A70"/>
    <w:rsid w:val="6B2D5DC9"/>
    <w:rsid w:val="6B403D4E"/>
    <w:rsid w:val="6B594E10"/>
    <w:rsid w:val="6B5B0B88"/>
    <w:rsid w:val="6B623CC4"/>
    <w:rsid w:val="6B7B2FD8"/>
    <w:rsid w:val="6B7B436C"/>
    <w:rsid w:val="6B824366"/>
    <w:rsid w:val="6B8A6D77"/>
    <w:rsid w:val="6BA0659B"/>
    <w:rsid w:val="6BAC3191"/>
    <w:rsid w:val="6BB64010"/>
    <w:rsid w:val="6BB838E4"/>
    <w:rsid w:val="6BB9765C"/>
    <w:rsid w:val="6BC009EB"/>
    <w:rsid w:val="6BC8789F"/>
    <w:rsid w:val="6BCE3108"/>
    <w:rsid w:val="6BD3071E"/>
    <w:rsid w:val="6BE741CA"/>
    <w:rsid w:val="6BF568E6"/>
    <w:rsid w:val="6BF863D7"/>
    <w:rsid w:val="6BFB5EC7"/>
    <w:rsid w:val="6C125C33"/>
    <w:rsid w:val="6C172D01"/>
    <w:rsid w:val="6C180827"/>
    <w:rsid w:val="6C184383"/>
    <w:rsid w:val="6C186A79"/>
    <w:rsid w:val="6C262F44"/>
    <w:rsid w:val="6C3311BD"/>
    <w:rsid w:val="6C3513D9"/>
    <w:rsid w:val="6C354F35"/>
    <w:rsid w:val="6C3B62C3"/>
    <w:rsid w:val="6C4433CA"/>
    <w:rsid w:val="6C494E84"/>
    <w:rsid w:val="6C4B7641"/>
    <w:rsid w:val="6C613F7C"/>
    <w:rsid w:val="6C622CF6"/>
    <w:rsid w:val="6C727F37"/>
    <w:rsid w:val="6C7A6DEC"/>
    <w:rsid w:val="6C7D4B2E"/>
    <w:rsid w:val="6C895281"/>
    <w:rsid w:val="6C90660F"/>
    <w:rsid w:val="6C9C6D62"/>
    <w:rsid w:val="6CA864AA"/>
    <w:rsid w:val="6CAF118B"/>
    <w:rsid w:val="6CB70040"/>
    <w:rsid w:val="6CC12C6C"/>
    <w:rsid w:val="6CCB7647"/>
    <w:rsid w:val="6CD04C5E"/>
    <w:rsid w:val="6CDA3D2E"/>
    <w:rsid w:val="6D003795"/>
    <w:rsid w:val="6D036DE1"/>
    <w:rsid w:val="6D0843F7"/>
    <w:rsid w:val="6D203E37"/>
    <w:rsid w:val="6D2C27DC"/>
    <w:rsid w:val="6D3276C6"/>
    <w:rsid w:val="6D3451EC"/>
    <w:rsid w:val="6D365409"/>
    <w:rsid w:val="6D394EF9"/>
    <w:rsid w:val="6D6C0E2A"/>
    <w:rsid w:val="6D6D06FE"/>
    <w:rsid w:val="6D741A8D"/>
    <w:rsid w:val="6D77332B"/>
    <w:rsid w:val="6D7C6B93"/>
    <w:rsid w:val="6D846F25"/>
    <w:rsid w:val="6D8F2D6B"/>
    <w:rsid w:val="6D940381"/>
    <w:rsid w:val="6DB36A59"/>
    <w:rsid w:val="6DC76061"/>
    <w:rsid w:val="6DDB7D5E"/>
    <w:rsid w:val="6DEF7365"/>
    <w:rsid w:val="6DF8446C"/>
    <w:rsid w:val="6E096679"/>
    <w:rsid w:val="6E146DCC"/>
    <w:rsid w:val="6E1A6997"/>
    <w:rsid w:val="6E1B45FE"/>
    <w:rsid w:val="6E2711F5"/>
    <w:rsid w:val="6E34121C"/>
    <w:rsid w:val="6E494CC8"/>
    <w:rsid w:val="6E4F6056"/>
    <w:rsid w:val="6E657628"/>
    <w:rsid w:val="6E7066F8"/>
    <w:rsid w:val="6E7361E8"/>
    <w:rsid w:val="6E753D0F"/>
    <w:rsid w:val="6E7F06E9"/>
    <w:rsid w:val="6E7F693B"/>
    <w:rsid w:val="6E865F1C"/>
    <w:rsid w:val="6E906D9A"/>
    <w:rsid w:val="6E97293C"/>
    <w:rsid w:val="6E9817AB"/>
    <w:rsid w:val="6EA36ACE"/>
    <w:rsid w:val="6EA6036C"/>
    <w:rsid w:val="6EAE7221"/>
    <w:rsid w:val="6EB365E5"/>
    <w:rsid w:val="6EC702DA"/>
    <w:rsid w:val="6ECE2718"/>
    <w:rsid w:val="6ED44ED9"/>
    <w:rsid w:val="6EDC3D8E"/>
    <w:rsid w:val="6EF567F9"/>
    <w:rsid w:val="6F0D2199"/>
    <w:rsid w:val="6F1572A0"/>
    <w:rsid w:val="6F26325B"/>
    <w:rsid w:val="6F2B261F"/>
    <w:rsid w:val="6F2D6397"/>
    <w:rsid w:val="6F2E3EBD"/>
    <w:rsid w:val="6F4656AB"/>
    <w:rsid w:val="6F490CF7"/>
    <w:rsid w:val="6F524050"/>
    <w:rsid w:val="6F5558EE"/>
    <w:rsid w:val="6F593630"/>
    <w:rsid w:val="6F60676D"/>
    <w:rsid w:val="6F63000B"/>
    <w:rsid w:val="6F71097A"/>
    <w:rsid w:val="6F7C10CD"/>
    <w:rsid w:val="6F7E3097"/>
    <w:rsid w:val="6F912DCA"/>
    <w:rsid w:val="6F92269E"/>
    <w:rsid w:val="6F977CB5"/>
    <w:rsid w:val="6FAC7C04"/>
    <w:rsid w:val="6FB16FC8"/>
    <w:rsid w:val="6FBD596D"/>
    <w:rsid w:val="6FBE16E5"/>
    <w:rsid w:val="6FCF38F2"/>
    <w:rsid w:val="6FD66A2F"/>
    <w:rsid w:val="6FE8485E"/>
    <w:rsid w:val="6FEC0000"/>
    <w:rsid w:val="6FFB46E7"/>
    <w:rsid w:val="6FFB6495"/>
    <w:rsid w:val="70027824"/>
    <w:rsid w:val="70057314"/>
    <w:rsid w:val="700E441B"/>
    <w:rsid w:val="700F0193"/>
    <w:rsid w:val="701D01BA"/>
    <w:rsid w:val="701F03D6"/>
    <w:rsid w:val="702C2AF3"/>
    <w:rsid w:val="70343755"/>
    <w:rsid w:val="703A6FBE"/>
    <w:rsid w:val="70473489"/>
    <w:rsid w:val="704F058F"/>
    <w:rsid w:val="70514307"/>
    <w:rsid w:val="705160B5"/>
    <w:rsid w:val="705B6F34"/>
    <w:rsid w:val="706E6C67"/>
    <w:rsid w:val="707F2C23"/>
    <w:rsid w:val="707F70C6"/>
    <w:rsid w:val="70860455"/>
    <w:rsid w:val="70926DFA"/>
    <w:rsid w:val="70980188"/>
    <w:rsid w:val="70981F36"/>
    <w:rsid w:val="709D579F"/>
    <w:rsid w:val="70AD25A8"/>
    <w:rsid w:val="70B054D2"/>
    <w:rsid w:val="70B14DA6"/>
    <w:rsid w:val="70B623BC"/>
    <w:rsid w:val="70CB5E68"/>
    <w:rsid w:val="70D32F6E"/>
    <w:rsid w:val="70D867D7"/>
    <w:rsid w:val="70DF5DB7"/>
    <w:rsid w:val="70EC5DDE"/>
    <w:rsid w:val="7104581E"/>
    <w:rsid w:val="710B095A"/>
    <w:rsid w:val="711517D9"/>
    <w:rsid w:val="711C4915"/>
    <w:rsid w:val="712B6906"/>
    <w:rsid w:val="712D267F"/>
    <w:rsid w:val="71341C5F"/>
    <w:rsid w:val="713F6856"/>
    <w:rsid w:val="71445C1A"/>
    <w:rsid w:val="71467BE4"/>
    <w:rsid w:val="715A543E"/>
    <w:rsid w:val="715E6CDC"/>
    <w:rsid w:val="716F0EE9"/>
    <w:rsid w:val="71754026"/>
    <w:rsid w:val="71777D9E"/>
    <w:rsid w:val="719A3A8C"/>
    <w:rsid w:val="719C15B2"/>
    <w:rsid w:val="719F706F"/>
    <w:rsid w:val="71A072F4"/>
    <w:rsid w:val="71A843FB"/>
    <w:rsid w:val="71AB03D6"/>
    <w:rsid w:val="71AB7A47"/>
    <w:rsid w:val="71B132B0"/>
    <w:rsid w:val="71B72890"/>
    <w:rsid w:val="71D23226"/>
    <w:rsid w:val="71D92806"/>
    <w:rsid w:val="71E116BB"/>
    <w:rsid w:val="71E13469"/>
    <w:rsid w:val="71E35433"/>
    <w:rsid w:val="71E573FD"/>
    <w:rsid w:val="71E60A7F"/>
    <w:rsid w:val="71FC02A3"/>
    <w:rsid w:val="72021D5D"/>
    <w:rsid w:val="721F290F"/>
    <w:rsid w:val="72231CD3"/>
    <w:rsid w:val="722872EA"/>
    <w:rsid w:val="722C0B88"/>
    <w:rsid w:val="72514A93"/>
    <w:rsid w:val="72646574"/>
    <w:rsid w:val="726C367A"/>
    <w:rsid w:val="727A0879"/>
    <w:rsid w:val="727D5888"/>
    <w:rsid w:val="72824C4C"/>
    <w:rsid w:val="72930C07"/>
    <w:rsid w:val="7298446F"/>
    <w:rsid w:val="729D2814"/>
    <w:rsid w:val="72A746B3"/>
    <w:rsid w:val="72AB41A3"/>
    <w:rsid w:val="72C94629"/>
    <w:rsid w:val="72C963D7"/>
    <w:rsid w:val="72CC4119"/>
    <w:rsid w:val="72D07765"/>
    <w:rsid w:val="72DB435C"/>
    <w:rsid w:val="72EB459F"/>
    <w:rsid w:val="72F83160"/>
    <w:rsid w:val="73010267"/>
    <w:rsid w:val="730D09BA"/>
    <w:rsid w:val="730E028E"/>
    <w:rsid w:val="73124222"/>
    <w:rsid w:val="73125FD0"/>
    <w:rsid w:val="7318735E"/>
    <w:rsid w:val="73216213"/>
    <w:rsid w:val="732950C8"/>
    <w:rsid w:val="733A1083"/>
    <w:rsid w:val="733E6DC5"/>
    <w:rsid w:val="73467A28"/>
    <w:rsid w:val="734F0FD2"/>
    <w:rsid w:val="73532145"/>
    <w:rsid w:val="73571C35"/>
    <w:rsid w:val="73577E87"/>
    <w:rsid w:val="735859AD"/>
    <w:rsid w:val="7363682B"/>
    <w:rsid w:val="73695125"/>
    <w:rsid w:val="7386076C"/>
    <w:rsid w:val="73886292"/>
    <w:rsid w:val="73893DB8"/>
    <w:rsid w:val="73AA26AC"/>
    <w:rsid w:val="73AF1A71"/>
    <w:rsid w:val="73AF7CC3"/>
    <w:rsid w:val="73B057E9"/>
    <w:rsid w:val="73BB0416"/>
    <w:rsid w:val="73C117A4"/>
    <w:rsid w:val="73C848E1"/>
    <w:rsid w:val="73D6524F"/>
    <w:rsid w:val="73D9089C"/>
    <w:rsid w:val="73DC213A"/>
    <w:rsid w:val="73E21E46"/>
    <w:rsid w:val="73E334C8"/>
    <w:rsid w:val="73EA4857"/>
    <w:rsid w:val="73F2195D"/>
    <w:rsid w:val="73F6144E"/>
    <w:rsid w:val="73FB6A64"/>
    <w:rsid w:val="73FC27DC"/>
    <w:rsid w:val="74033B6B"/>
    <w:rsid w:val="741D2E7E"/>
    <w:rsid w:val="74257F85"/>
    <w:rsid w:val="742C1313"/>
    <w:rsid w:val="743326A2"/>
    <w:rsid w:val="74373814"/>
    <w:rsid w:val="74463A57"/>
    <w:rsid w:val="744C5512"/>
    <w:rsid w:val="744E128A"/>
    <w:rsid w:val="744F0B5E"/>
    <w:rsid w:val="74512B28"/>
    <w:rsid w:val="74566390"/>
    <w:rsid w:val="745D14CD"/>
    <w:rsid w:val="74600FBD"/>
    <w:rsid w:val="746A1E3C"/>
    <w:rsid w:val="746C5BB4"/>
    <w:rsid w:val="74716D26"/>
    <w:rsid w:val="74736F42"/>
    <w:rsid w:val="748527D2"/>
    <w:rsid w:val="74881FC6"/>
    <w:rsid w:val="748A7DE8"/>
    <w:rsid w:val="748F3650"/>
    <w:rsid w:val="749B1FF5"/>
    <w:rsid w:val="749D5D6D"/>
    <w:rsid w:val="749F1AE5"/>
    <w:rsid w:val="74A52E74"/>
    <w:rsid w:val="74AC5FB0"/>
    <w:rsid w:val="74B80DF9"/>
    <w:rsid w:val="74C94DB4"/>
    <w:rsid w:val="74CB0B2C"/>
    <w:rsid w:val="74D774D1"/>
    <w:rsid w:val="74E7348C"/>
    <w:rsid w:val="74F17E67"/>
    <w:rsid w:val="75045DEC"/>
    <w:rsid w:val="75071439"/>
    <w:rsid w:val="75093403"/>
    <w:rsid w:val="75104791"/>
    <w:rsid w:val="75120509"/>
    <w:rsid w:val="752032F1"/>
    <w:rsid w:val="7528540D"/>
    <w:rsid w:val="752C70F1"/>
    <w:rsid w:val="75466405"/>
    <w:rsid w:val="75524DAA"/>
    <w:rsid w:val="75662603"/>
    <w:rsid w:val="75703482"/>
    <w:rsid w:val="758111EB"/>
    <w:rsid w:val="75862CA5"/>
    <w:rsid w:val="758B206A"/>
    <w:rsid w:val="758E3908"/>
    <w:rsid w:val="758E56B6"/>
    <w:rsid w:val="759233F8"/>
    <w:rsid w:val="75930F1E"/>
    <w:rsid w:val="75994786"/>
    <w:rsid w:val="75A650F5"/>
    <w:rsid w:val="75AF3FAA"/>
    <w:rsid w:val="75BE41ED"/>
    <w:rsid w:val="75CA0DE4"/>
    <w:rsid w:val="75E1612D"/>
    <w:rsid w:val="75E55C1E"/>
    <w:rsid w:val="75EB0D5A"/>
    <w:rsid w:val="75EB2B08"/>
    <w:rsid w:val="76004806"/>
    <w:rsid w:val="760B4F58"/>
    <w:rsid w:val="762322A2"/>
    <w:rsid w:val="7625601A"/>
    <w:rsid w:val="76257DC8"/>
    <w:rsid w:val="762A1882"/>
    <w:rsid w:val="762A53DF"/>
    <w:rsid w:val="762F0C47"/>
    <w:rsid w:val="76360227"/>
    <w:rsid w:val="763B3A90"/>
    <w:rsid w:val="763E0E8A"/>
    <w:rsid w:val="764741E2"/>
    <w:rsid w:val="764D37C3"/>
    <w:rsid w:val="765E777E"/>
    <w:rsid w:val="76636B42"/>
    <w:rsid w:val="76676633"/>
    <w:rsid w:val="76740D50"/>
    <w:rsid w:val="768865A9"/>
    <w:rsid w:val="7693567A"/>
    <w:rsid w:val="76966F18"/>
    <w:rsid w:val="76B455F0"/>
    <w:rsid w:val="76BB24DB"/>
    <w:rsid w:val="76C23869"/>
    <w:rsid w:val="76C45833"/>
    <w:rsid w:val="76C770D1"/>
    <w:rsid w:val="76CA6401"/>
    <w:rsid w:val="76CA6BC2"/>
    <w:rsid w:val="76CE0460"/>
    <w:rsid w:val="76D161A2"/>
    <w:rsid w:val="76EA2DC0"/>
    <w:rsid w:val="76F65C09"/>
    <w:rsid w:val="76FF686B"/>
    <w:rsid w:val="7702635B"/>
    <w:rsid w:val="77183DD1"/>
    <w:rsid w:val="771F6F0D"/>
    <w:rsid w:val="772067E2"/>
    <w:rsid w:val="773D3837"/>
    <w:rsid w:val="77471FC0"/>
    <w:rsid w:val="774921DC"/>
    <w:rsid w:val="774E334F"/>
    <w:rsid w:val="774E77F3"/>
    <w:rsid w:val="77550B81"/>
    <w:rsid w:val="7762504C"/>
    <w:rsid w:val="776B3F01"/>
    <w:rsid w:val="776E39F1"/>
    <w:rsid w:val="77756B2D"/>
    <w:rsid w:val="7789082B"/>
    <w:rsid w:val="77901BB9"/>
    <w:rsid w:val="77903967"/>
    <w:rsid w:val="779A2A38"/>
    <w:rsid w:val="77B91110"/>
    <w:rsid w:val="77BE6726"/>
    <w:rsid w:val="77C6382D"/>
    <w:rsid w:val="77C74EAF"/>
    <w:rsid w:val="77C875A5"/>
    <w:rsid w:val="77CB499F"/>
    <w:rsid w:val="77D45F4A"/>
    <w:rsid w:val="77ED0DBA"/>
    <w:rsid w:val="77FF289B"/>
    <w:rsid w:val="780B56E4"/>
    <w:rsid w:val="7820118F"/>
    <w:rsid w:val="78397B5B"/>
    <w:rsid w:val="78484242"/>
    <w:rsid w:val="78570929"/>
    <w:rsid w:val="785E3A65"/>
    <w:rsid w:val="786848E4"/>
    <w:rsid w:val="786B1CDE"/>
    <w:rsid w:val="7879089F"/>
    <w:rsid w:val="787E7C64"/>
    <w:rsid w:val="7883527A"/>
    <w:rsid w:val="788D7EA7"/>
    <w:rsid w:val="78964FAD"/>
    <w:rsid w:val="78986F77"/>
    <w:rsid w:val="78A3591C"/>
    <w:rsid w:val="78A6518B"/>
    <w:rsid w:val="78B74F24"/>
    <w:rsid w:val="78D83818"/>
    <w:rsid w:val="78E0447A"/>
    <w:rsid w:val="78F148D9"/>
    <w:rsid w:val="78F921D5"/>
    <w:rsid w:val="78FD6DDA"/>
    <w:rsid w:val="79050385"/>
    <w:rsid w:val="790A599B"/>
    <w:rsid w:val="79102FB2"/>
    <w:rsid w:val="792720A9"/>
    <w:rsid w:val="794C5FB4"/>
    <w:rsid w:val="794D439D"/>
    <w:rsid w:val="795135CA"/>
    <w:rsid w:val="795310F0"/>
    <w:rsid w:val="795804B5"/>
    <w:rsid w:val="795D1F6F"/>
    <w:rsid w:val="796706F8"/>
    <w:rsid w:val="797C23F5"/>
    <w:rsid w:val="798B6ADC"/>
    <w:rsid w:val="798C63B0"/>
    <w:rsid w:val="798D4602"/>
    <w:rsid w:val="7997722F"/>
    <w:rsid w:val="799C4845"/>
    <w:rsid w:val="79A100AE"/>
    <w:rsid w:val="79A25BD4"/>
    <w:rsid w:val="79A454A8"/>
    <w:rsid w:val="79AB2CDA"/>
    <w:rsid w:val="79AB4A88"/>
    <w:rsid w:val="79B31B8F"/>
    <w:rsid w:val="79B871A5"/>
    <w:rsid w:val="79BA2F1D"/>
    <w:rsid w:val="79BC0A44"/>
    <w:rsid w:val="79BD656A"/>
    <w:rsid w:val="79C36276"/>
    <w:rsid w:val="79D02741"/>
    <w:rsid w:val="79D815F5"/>
    <w:rsid w:val="79D833A4"/>
    <w:rsid w:val="79ED50A1"/>
    <w:rsid w:val="79F71A7C"/>
    <w:rsid w:val="79FA5A10"/>
    <w:rsid w:val="79FC7092"/>
    <w:rsid w:val="7A0128FA"/>
    <w:rsid w:val="7A067F11"/>
    <w:rsid w:val="7A0F3269"/>
    <w:rsid w:val="7A173ECC"/>
    <w:rsid w:val="7A195E96"/>
    <w:rsid w:val="7A1A39BC"/>
    <w:rsid w:val="7A1B7E60"/>
    <w:rsid w:val="7A1E525A"/>
    <w:rsid w:val="7A28257D"/>
    <w:rsid w:val="7A304F8E"/>
    <w:rsid w:val="7A396538"/>
    <w:rsid w:val="7A5C2227"/>
    <w:rsid w:val="7A682979"/>
    <w:rsid w:val="7A6B246A"/>
    <w:rsid w:val="7A7C4677"/>
    <w:rsid w:val="7A8C48BA"/>
    <w:rsid w:val="7A94376E"/>
    <w:rsid w:val="7A996FD7"/>
    <w:rsid w:val="7A9B68AB"/>
    <w:rsid w:val="7A9D6AC7"/>
    <w:rsid w:val="7A9E639B"/>
    <w:rsid w:val="7AA8546C"/>
    <w:rsid w:val="7AB43E11"/>
    <w:rsid w:val="7AC53928"/>
    <w:rsid w:val="7AC758F2"/>
    <w:rsid w:val="7ACC115A"/>
    <w:rsid w:val="7ACF29F8"/>
    <w:rsid w:val="7AD16771"/>
    <w:rsid w:val="7AE04C06"/>
    <w:rsid w:val="7AF406B1"/>
    <w:rsid w:val="7AF83CFD"/>
    <w:rsid w:val="7AFD57B8"/>
    <w:rsid w:val="7B016AEC"/>
    <w:rsid w:val="7B1211B1"/>
    <w:rsid w:val="7B136D89"/>
    <w:rsid w:val="7B152B01"/>
    <w:rsid w:val="7B203254"/>
    <w:rsid w:val="7B22521E"/>
    <w:rsid w:val="7B272834"/>
    <w:rsid w:val="7B2A5E81"/>
    <w:rsid w:val="7B2D5DB9"/>
    <w:rsid w:val="7B310FBD"/>
    <w:rsid w:val="7B315461"/>
    <w:rsid w:val="7B446F42"/>
    <w:rsid w:val="7B486307"/>
    <w:rsid w:val="7B5D0004"/>
    <w:rsid w:val="7B5F5B2A"/>
    <w:rsid w:val="7B6475E5"/>
    <w:rsid w:val="7B6B5AAA"/>
    <w:rsid w:val="7B6C46EB"/>
    <w:rsid w:val="7B7F441F"/>
    <w:rsid w:val="7B86755B"/>
    <w:rsid w:val="7B8B4B71"/>
    <w:rsid w:val="7B931C78"/>
    <w:rsid w:val="7B9A4DB4"/>
    <w:rsid w:val="7BA07EF1"/>
    <w:rsid w:val="7BAC4AE8"/>
    <w:rsid w:val="7BB0282A"/>
    <w:rsid w:val="7BB37C24"/>
    <w:rsid w:val="7BBD0AA3"/>
    <w:rsid w:val="7BBE69EA"/>
    <w:rsid w:val="7BC02341"/>
    <w:rsid w:val="7BC260B9"/>
    <w:rsid w:val="7BC57958"/>
    <w:rsid w:val="7BD209F2"/>
    <w:rsid w:val="7BDC53CD"/>
    <w:rsid w:val="7BF72207"/>
    <w:rsid w:val="7BFC781D"/>
    <w:rsid w:val="7C122B9D"/>
    <w:rsid w:val="7C1A4147"/>
    <w:rsid w:val="7C1C3A1B"/>
    <w:rsid w:val="7C280612"/>
    <w:rsid w:val="7C3F770A"/>
    <w:rsid w:val="7C4371FA"/>
    <w:rsid w:val="7C44176E"/>
    <w:rsid w:val="7C482A62"/>
    <w:rsid w:val="7C4A67DB"/>
    <w:rsid w:val="7C501917"/>
    <w:rsid w:val="7C572CA5"/>
    <w:rsid w:val="7C5A4544"/>
    <w:rsid w:val="7C5E2286"/>
    <w:rsid w:val="7C635AEE"/>
    <w:rsid w:val="7C684EB3"/>
    <w:rsid w:val="7C6B04FF"/>
    <w:rsid w:val="7C6F6241"/>
    <w:rsid w:val="7C9E2682"/>
    <w:rsid w:val="7C9F6D33"/>
    <w:rsid w:val="7CB00608"/>
    <w:rsid w:val="7CB24380"/>
    <w:rsid w:val="7CB63E70"/>
    <w:rsid w:val="7CC16371"/>
    <w:rsid w:val="7CC77E2B"/>
    <w:rsid w:val="7CCA791B"/>
    <w:rsid w:val="7CCF6CE0"/>
    <w:rsid w:val="7CD73DE6"/>
    <w:rsid w:val="7CD82038"/>
    <w:rsid w:val="7CE704CD"/>
    <w:rsid w:val="7CEA1D6C"/>
    <w:rsid w:val="7CF44998"/>
    <w:rsid w:val="7CFC4559"/>
    <w:rsid w:val="7D1172F8"/>
    <w:rsid w:val="7D140B97"/>
    <w:rsid w:val="7D162B61"/>
    <w:rsid w:val="7D1E1A15"/>
    <w:rsid w:val="7D2C4132"/>
    <w:rsid w:val="7D425704"/>
    <w:rsid w:val="7D474AC8"/>
    <w:rsid w:val="7D480840"/>
    <w:rsid w:val="7D603DDC"/>
    <w:rsid w:val="7D6A4C5A"/>
    <w:rsid w:val="7D715FE9"/>
    <w:rsid w:val="7D7653AD"/>
    <w:rsid w:val="7D8555F0"/>
    <w:rsid w:val="7DAC5273"/>
    <w:rsid w:val="7DAE4B47"/>
    <w:rsid w:val="7DCC1471"/>
    <w:rsid w:val="7DD55A70"/>
    <w:rsid w:val="7DD56578"/>
    <w:rsid w:val="7DE44A0D"/>
    <w:rsid w:val="7DF804B8"/>
    <w:rsid w:val="7DFF35F5"/>
    <w:rsid w:val="7E002EC9"/>
    <w:rsid w:val="7E10135E"/>
    <w:rsid w:val="7E192908"/>
    <w:rsid w:val="7E1A3F8B"/>
    <w:rsid w:val="7E235535"/>
    <w:rsid w:val="7E2766A8"/>
    <w:rsid w:val="7E292420"/>
    <w:rsid w:val="7E2968C4"/>
    <w:rsid w:val="7E3A462D"/>
    <w:rsid w:val="7E3D5ECB"/>
    <w:rsid w:val="7E4D25B2"/>
    <w:rsid w:val="7E527BC8"/>
    <w:rsid w:val="7E582D05"/>
    <w:rsid w:val="7E5F5E41"/>
    <w:rsid w:val="7E631DD5"/>
    <w:rsid w:val="7E867872"/>
    <w:rsid w:val="7E8B6C36"/>
    <w:rsid w:val="7E9F0934"/>
    <w:rsid w:val="7EC14D4E"/>
    <w:rsid w:val="7EC860DC"/>
    <w:rsid w:val="7ECA59B1"/>
    <w:rsid w:val="7ED06D3F"/>
    <w:rsid w:val="7ED607F9"/>
    <w:rsid w:val="7ED76320"/>
    <w:rsid w:val="7EE36A72"/>
    <w:rsid w:val="7EED169F"/>
    <w:rsid w:val="7EED78F1"/>
    <w:rsid w:val="7EEF5417"/>
    <w:rsid w:val="7EEF71C5"/>
    <w:rsid w:val="7EF173E1"/>
    <w:rsid w:val="7EFB5F52"/>
    <w:rsid w:val="7F005876"/>
    <w:rsid w:val="7F016EF9"/>
    <w:rsid w:val="7F032C71"/>
    <w:rsid w:val="7F0864D9"/>
    <w:rsid w:val="7F0B7D77"/>
    <w:rsid w:val="7F144E7E"/>
    <w:rsid w:val="7F166E48"/>
    <w:rsid w:val="7F286B7B"/>
    <w:rsid w:val="7F2F7F0A"/>
    <w:rsid w:val="7F376DBE"/>
    <w:rsid w:val="7F3B065C"/>
    <w:rsid w:val="7F3B68AE"/>
    <w:rsid w:val="7F453289"/>
    <w:rsid w:val="7F4F4108"/>
    <w:rsid w:val="7F511C2E"/>
    <w:rsid w:val="7F5259A6"/>
    <w:rsid w:val="7F572FBC"/>
    <w:rsid w:val="7F637BB3"/>
    <w:rsid w:val="7F7818B1"/>
    <w:rsid w:val="7F855D7C"/>
    <w:rsid w:val="7F8C710A"/>
    <w:rsid w:val="7F9935D5"/>
    <w:rsid w:val="7F9D30C5"/>
    <w:rsid w:val="7F9E0BEB"/>
    <w:rsid w:val="7FA02BB5"/>
    <w:rsid w:val="7FA134B1"/>
    <w:rsid w:val="7FE231CE"/>
    <w:rsid w:val="7FE44850"/>
    <w:rsid w:val="7FF64583"/>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ascii="仿宋_GB2312" w:hAnsi="Calibri" w:eastAsia="仿宋_GB2312" w:cs="黑体"/>
      <w:bCs/>
      <w:kern w:val="2"/>
      <w:sz w:val="28"/>
      <w:szCs w:val="28"/>
      <w:lang w:val="en-US" w:eastAsia="zh-CN" w:bidi="ar-SA"/>
    </w:rPr>
  </w:style>
  <w:style w:type="paragraph" w:styleId="2">
    <w:name w:val="heading 1"/>
    <w:basedOn w:val="1"/>
    <w:next w:val="1"/>
    <w:link w:val="29"/>
    <w:autoRedefine/>
    <w:qFormat/>
    <w:uiPriority w:val="9"/>
    <w:pPr>
      <w:keepNext/>
      <w:keepLines/>
      <w:spacing w:before="340" w:after="330" w:line="578" w:lineRule="auto"/>
      <w:outlineLvl w:val="0"/>
    </w:pPr>
    <w:rPr>
      <w:b/>
      <w:bCs w:val="0"/>
      <w:kern w:val="44"/>
      <w:sz w:val="44"/>
      <w:szCs w:val="44"/>
    </w:rPr>
  </w:style>
  <w:style w:type="paragraph" w:styleId="3">
    <w:name w:val="heading 2"/>
    <w:basedOn w:val="1"/>
    <w:next w:val="1"/>
    <w:link w:val="25"/>
    <w:autoRedefine/>
    <w:unhideWhenUsed/>
    <w:qFormat/>
    <w:uiPriority w:val="9"/>
    <w:pPr>
      <w:keepNext/>
      <w:keepLines/>
      <w:spacing w:before="260" w:after="260" w:line="416" w:lineRule="auto"/>
      <w:outlineLvl w:val="1"/>
    </w:pPr>
    <w:rPr>
      <w:rFonts w:asciiTheme="majorHAnsi" w:hAnsiTheme="majorHAnsi" w:eastAsiaTheme="majorEastAsia" w:cstheme="majorBidi"/>
      <w:b/>
      <w:bCs w:val="0"/>
      <w:sz w:val="32"/>
      <w:szCs w:val="32"/>
    </w:rPr>
  </w:style>
  <w:style w:type="paragraph" w:styleId="4">
    <w:name w:val="heading 3"/>
    <w:basedOn w:val="1"/>
    <w:next w:val="1"/>
    <w:link w:val="34"/>
    <w:autoRedefine/>
    <w:unhideWhenUsed/>
    <w:qFormat/>
    <w:uiPriority w:val="9"/>
    <w:pPr>
      <w:keepNext/>
      <w:keepLines/>
      <w:spacing w:before="260" w:after="260" w:line="416" w:lineRule="auto"/>
      <w:outlineLvl w:val="2"/>
    </w:pPr>
    <w:rPr>
      <w:b/>
      <w:bCs w:val="0"/>
      <w:sz w:val="32"/>
      <w:szCs w:val="32"/>
    </w:rPr>
  </w:style>
  <w:style w:type="paragraph" w:styleId="5">
    <w:name w:val="heading 4"/>
    <w:basedOn w:val="1"/>
    <w:next w:val="1"/>
    <w:autoRedefine/>
    <w:unhideWhenUsed/>
    <w:qFormat/>
    <w:uiPriority w:val="9"/>
    <w:pPr>
      <w:spacing w:beforeAutospacing="1" w:afterAutospacing="1"/>
      <w:jc w:val="left"/>
      <w:outlineLvl w:val="3"/>
    </w:pPr>
    <w:rPr>
      <w:rFonts w:hint="eastAsia" w:ascii="宋体" w:hAnsi="宋体" w:eastAsia="宋体" w:cs="Times New Roman"/>
      <w:b/>
      <w:bCs w:val="0"/>
      <w:kern w:val="0"/>
      <w:sz w:val="24"/>
      <w:szCs w:val="24"/>
    </w:rPr>
  </w:style>
  <w:style w:type="character" w:default="1" w:styleId="18">
    <w:name w:val="Default Paragraph Font"/>
    <w:autoRedefine/>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31"/>
    <w:autoRedefine/>
    <w:unhideWhenUsed/>
    <w:qFormat/>
    <w:uiPriority w:val="99"/>
    <w:pPr>
      <w:jc w:val="left"/>
    </w:pPr>
  </w:style>
  <w:style w:type="paragraph" w:styleId="7">
    <w:name w:val="toc 3"/>
    <w:basedOn w:val="1"/>
    <w:next w:val="1"/>
    <w:autoRedefine/>
    <w:unhideWhenUsed/>
    <w:qFormat/>
    <w:uiPriority w:val="39"/>
    <w:pPr>
      <w:ind w:left="840" w:leftChars="400"/>
    </w:pPr>
  </w:style>
  <w:style w:type="paragraph" w:styleId="8">
    <w:name w:val="Date"/>
    <w:basedOn w:val="1"/>
    <w:next w:val="1"/>
    <w:link w:val="24"/>
    <w:autoRedefine/>
    <w:semiHidden/>
    <w:unhideWhenUsed/>
    <w:qFormat/>
    <w:uiPriority w:val="99"/>
    <w:pPr>
      <w:ind w:left="100" w:leftChars="2500"/>
    </w:pPr>
  </w:style>
  <w:style w:type="paragraph" w:styleId="9">
    <w:name w:val="Balloon Text"/>
    <w:basedOn w:val="1"/>
    <w:link w:val="33"/>
    <w:autoRedefine/>
    <w:semiHidden/>
    <w:unhideWhenUsed/>
    <w:qFormat/>
    <w:uiPriority w:val="99"/>
    <w:rPr>
      <w:sz w:val="18"/>
      <w:szCs w:val="18"/>
    </w:rPr>
  </w:style>
  <w:style w:type="paragraph" w:styleId="10">
    <w:name w:val="footer"/>
    <w:basedOn w:val="1"/>
    <w:link w:val="23"/>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2"/>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2">
    <w:name w:val="toc 1"/>
    <w:basedOn w:val="1"/>
    <w:next w:val="1"/>
    <w:autoRedefine/>
    <w:unhideWhenUsed/>
    <w:qFormat/>
    <w:uiPriority w:val="39"/>
  </w:style>
  <w:style w:type="paragraph" w:styleId="13">
    <w:name w:val="footnote text"/>
    <w:basedOn w:val="1"/>
    <w:link w:val="26"/>
    <w:autoRedefine/>
    <w:semiHidden/>
    <w:unhideWhenUsed/>
    <w:qFormat/>
    <w:uiPriority w:val="99"/>
    <w:pPr>
      <w:snapToGrid w:val="0"/>
      <w:jc w:val="left"/>
    </w:pPr>
    <w:rPr>
      <w:sz w:val="18"/>
      <w:szCs w:val="18"/>
    </w:rPr>
  </w:style>
  <w:style w:type="paragraph" w:styleId="14">
    <w:name w:val="toc 2"/>
    <w:basedOn w:val="1"/>
    <w:next w:val="1"/>
    <w:autoRedefine/>
    <w:unhideWhenUsed/>
    <w:qFormat/>
    <w:uiPriority w:val="39"/>
    <w:pPr>
      <w:ind w:left="420" w:leftChars="200"/>
    </w:pPr>
  </w:style>
  <w:style w:type="paragraph" w:styleId="15">
    <w:name w:val="annotation subject"/>
    <w:basedOn w:val="6"/>
    <w:next w:val="6"/>
    <w:link w:val="32"/>
    <w:autoRedefine/>
    <w:semiHidden/>
    <w:unhideWhenUsed/>
    <w:qFormat/>
    <w:uiPriority w:val="99"/>
    <w:rPr>
      <w:b/>
      <w:bCs w:val="0"/>
    </w:rPr>
  </w:style>
  <w:style w:type="table" w:styleId="17">
    <w:name w:val="Table Grid"/>
    <w:basedOn w:val="1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Hyperlink"/>
    <w:basedOn w:val="18"/>
    <w:autoRedefine/>
    <w:unhideWhenUsed/>
    <w:qFormat/>
    <w:uiPriority w:val="99"/>
    <w:rPr>
      <w:color w:val="0563C1" w:themeColor="hyperlink"/>
      <w:u w:val="single"/>
    </w:rPr>
  </w:style>
  <w:style w:type="character" w:styleId="20">
    <w:name w:val="annotation reference"/>
    <w:basedOn w:val="18"/>
    <w:autoRedefine/>
    <w:semiHidden/>
    <w:unhideWhenUsed/>
    <w:qFormat/>
    <w:uiPriority w:val="99"/>
    <w:rPr>
      <w:sz w:val="21"/>
      <w:szCs w:val="21"/>
    </w:rPr>
  </w:style>
  <w:style w:type="character" w:styleId="21">
    <w:name w:val="footnote reference"/>
    <w:basedOn w:val="18"/>
    <w:autoRedefine/>
    <w:semiHidden/>
    <w:unhideWhenUsed/>
    <w:qFormat/>
    <w:uiPriority w:val="99"/>
    <w:rPr>
      <w:vertAlign w:val="superscript"/>
    </w:rPr>
  </w:style>
  <w:style w:type="character" w:customStyle="1" w:styleId="22">
    <w:name w:val="页眉 Char"/>
    <w:basedOn w:val="18"/>
    <w:link w:val="11"/>
    <w:autoRedefine/>
    <w:qFormat/>
    <w:uiPriority w:val="99"/>
    <w:rPr>
      <w:sz w:val="18"/>
      <w:szCs w:val="18"/>
    </w:rPr>
  </w:style>
  <w:style w:type="character" w:customStyle="1" w:styleId="23">
    <w:name w:val="页脚 Char"/>
    <w:basedOn w:val="18"/>
    <w:link w:val="10"/>
    <w:autoRedefine/>
    <w:qFormat/>
    <w:uiPriority w:val="99"/>
    <w:rPr>
      <w:sz w:val="18"/>
      <w:szCs w:val="18"/>
    </w:rPr>
  </w:style>
  <w:style w:type="character" w:customStyle="1" w:styleId="24">
    <w:name w:val="日期 Char"/>
    <w:basedOn w:val="18"/>
    <w:link w:val="8"/>
    <w:autoRedefine/>
    <w:semiHidden/>
    <w:qFormat/>
    <w:uiPriority w:val="99"/>
    <w:rPr>
      <w:rFonts w:ascii="Calibri" w:hAnsi="Calibri" w:eastAsia="仿宋_GB2312" w:cs="黑体"/>
      <w:sz w:val="28"/>
    </w:rPr>
  </w:style>
  <w:style w:type="character" w:customStyle="1" w:styleId="25">
    <w:name w:val="标题 2 Char"/>
    <w:basedOn w:val="18"/>
    <w:link w:val="3"/>
    <w:autoRedefine/>
    <w:qFormat/>
    <w:uiPriority w:val="9"/>
    <w:rPr>
      <w:rFonts w:asciiTheme="majorHAnsi" w:hAnsiTheme="majorHAnsi" w:eastAsiaTheme="majorEastAsia" w:cstheme="majorBidi"/>
      <w:b/>
      <w:bCs/>
      <w:sz w:val="32"/>
      <w:szCs w:val="32"/>
    </w:rPr>
  </w:style>
  <w:style w:type="character" w:customStyle="1" w:styleId="26">
    <w:name w:val="脚注文本 Char"/>
    <w:basedOn w:val="18"/>
    <w:link w:val="13"/>
    <w:autoRedefine/>
    <w:semiHidden/>
    <w:qFormat/>
    <w:uiPriority w:val="99"/>
    <w:rPr>
      <w:rFonts w:ascii="Calibri" w:hAnsi="Calibri" w:eastAsia="仿宋_GB2312" w:cs="黑体"/>
      <w:sz w:val="18"/>
      <w:szCs w:val="18"/>
    </w:rPr>
  </w:style>
  <w:style w:type="paragraph" w:styleId="27">
    <w:name w:val="List Paragraph"/>
    <w:basedOn w:val="1"/>
    <w:autoRedefine/>
    <w:qFormat/>
    <w:uiPriority w:val="34"/>
    <w:pPr>
      <w:ind w:firstLine="420"/>
    </w:pPr>
  </w:style>
  <w:style w:type="table" w:customStyle="1" w:styleId="28">
    <w:name w:val="网格型1"/>
    <w:basedOn w:val="1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
    <w:name w:val="标题 1 Char"/>
    <w:basedOn w:val="18"/>
    <w:link w:val="2"/>
    <w:autoRedefine/>
    <w:qFormat/>
    <w:uiPriority w:val="9"/>
    <w:rPr>
      <w:rFonts w:ascii="Calibri" w:hAnsi="Calibri" w:eastAsia="仿宋_GB2312" w:cs="黑体"/>
      <w:b/>
      <w:bCs/>
      <w:kern w:val="44"/>
      <w:sz w:val="44"/>
      <w:szCs w:val="44"/>
    </w:rPr>
  </w:style>
  <w:style w:type="paragraph" w:customStyle="1" w:styleId="30">
    <w:name w:val="TOC 标题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color w:val="2F5496" w:themeColor="accent1" w:themeShade="BF"/>
      <w:kern w:val="0"/>
      <w:sz w:val="32"/>
      <w:szCs w:val="32"/>
    </w:rPr>
  </w:style>
  <w:style w:type="character" w:customStyle="1" w:styleId="31">
    <w:name w:val="批注文字 Char"/>
    <w:basedOn w:val="18"/>
    <w:link w:val="6"/>
    <w:autoRedefine/>
    <w:qFormat/>
    <w:uiPriority w:val="99"/>
    <w:rPr>
      <w:rFonts w:ascii="Calibri" w:hAnsi="Calibri" w:eastAsia="仿宋_GB2312" w:cs="黑体"/>
      <w:sz w:val="28"/>
    </w:rPr>
  </w:style>
  <w:style w:type="character" w:customStyle="1" w:styleId="32">
    <w:name w:val="批注主题 Char"/>
    <w:basedOn w:val="31"/>
    <w:link w:val="15"/>
    <w:autoRedefine/>
    <w:semiHidden/>
    <w:qFormat/>
    <w:uiPriority w:val="99"/>
    <w:rPr>
      <w:rFonts w:ascii="Calibri" w:hAnsi="Calibri" w:eastAsia="仿宋_GB2312" w:cs="黑体"/>
      <w:b/>
      <w:bCs/>
      <w:sz w:val="28"/>
    </w:rPr>
  </w:style>
  <w:style w:type="character" w:customStyle="1" w:styleId="33">
    <w:name w:val="批注框文本 Char"/>
    <w:basedOn w:val="18"/>
    <w:link w:val="9"/>
    <w:autoRedefine/>
    <w:semiHidden/>
    <w:qFormat/>
    <w:uiPriority w:val="99"/>
    <w:rPr>
      <w:rFonts w:ascii="Calibri" w:hAnsi="Calibri" w:eastAsia="仿宋_GB2312" w:cs="黑体"/>
      <w:sz w:val="18"/>
      <w:szCs w:val="18"/>
    </w:rPr>
  </w:style>
  <w:style w:type="character" w:customStyle="1" w:styleId="34">
    <w:name w:val="标题 3 Char"/>
    <w:basedOn w:val="18"/>
    <w:link w:val="4"/>
    <w:autoRedefine/>
    <w:qFormat/>
    <w:uiPriority w:val="9"/>
    <w:rPr>
      <w:rFonts w:ascii="Calibri" w:hAnsi="Calibri" w:eastAsia="仿宋_GB2312" w:cs="黑体"/>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DF00A-D28B-4901-9EF8-32D24F60E424}">
  <ds:schemaRefs/>
</ds:datastoreItem>
</file>

<file path=docProps/app.xml><?xml version="1.0" encoding="utf-8"?>
<Properties xmlns="http://schemas.openxmlformats.org/officeDocument/2006/extended-properties" xmlns:vt="http://schemas.openxmlformats.org/officeDocument/2006/docPropsVTypes">
  <Template>Normal</Template>
  <Pages>39</Pages>
  <Words>2727</Words>
  <Characters>15544</Characters>
  <Lines>129</Lines>
  <Paragraphs>36</Paragraphs>
  <TotalTime>6</TotalTime>
  <ScaleCrop>false</ScaleCrop>
  <LinksUpToDate>false</LinksUpToDate>
  <CharactersWithSpaces>18235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2024-04-12T07:46:00Z</dcterms:created>
  <dc:creator>张 宇</dc:creator>
  <cp:lastModifiedBy>刘素娟</cp:lastModifiedBy>
  <cp:lastPrinted>2023-04-11T02:57:00Z</cp:lastPrinted>
  <dcterms:modified xsi:type="dcterms:W3CDTF">2024-05-16T08:22:34Z</dcterms:modified>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7E1974AFE9FE4F7C9477F2D8FE29A520_12</vt:lpwstr>
  </property>
</Properties>
</file>