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shd w:val="clear" w:color="auto" w:fill="auto"/>
        </w:rPr>
      </w:pPr>
    </w:p>
    <w:tbl>
      <w:tblPr>
        <w:tblStyle w:val="6"/>
        <w:tblW w:w="930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6"/>
        <w:gridCol w:w="651"/>
        <w:gridCol w:w="1016"/>
        <w:gridCol w:w="1020"/>
        <w:gridCol w:w="945"/>
        <w:gridCol w:w="598"/>
        <w:gridCol w:w="706"/>
        <w:gridCol w:w="760"/>
        <w:gridCol w:w="236"/>
        <w:gridCol w:w="470"/>
        <w:gridCol w:w="851"/>
        <w:gridCol w:w="43"/>
        <w:gridCol w:w="9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300"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300"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763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教学竞赛展示经费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2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乌鲁木齐市职业教育中心</w:t>
            </w:r>
          </w:p>
        </w:tc>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3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乌鲁木齐市职业教育中心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6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预算数</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预算数</w:t>
            </w:r>
          </w:p>
        </w:tc>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执行数</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6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3.52</w:t>
            </w:r>
          </w:p>
        </w:tc>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3.52</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6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3.52</w:t>
            </w:r>
          </w:p>
        </w:tc>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3.52</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6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6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9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3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主要是及时足额支付承办各级各类赛事费用，乌鲁木齐市职业院校技能大赛、教学能力大赛、班主任能力大赛和文明风采大赛，全市8所职业学校、近40个专业项目耗材及各类赛事及承办方各项赛事办公耗材、用具等补助费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以及劳务费用，主要用于乌鲁木齐市职业院校技能大赛、教学能力大赛、班主任能力大赛和文明风采大赛等各类赛事参加组织工作人员劳务费用；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还有，赛事活动用车1辆的燃油及车辆运营费用以及各级各类赛事学生的奖励金支付。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全面提高职业学校教育教学质量，加强学生职业素养和专业技能的培养，实现以赛促学、以赛促教、以赛促建的目标，加快培养我区经济社会发展需要的高素质劳动者和技术技能人才,提高职业教育社会关注度,营造崇尚劳动、重技能的社会氛围，确保各项活动有序有效开展。</w:t>
            </w:r>
          </w:p>
        </w:tc>
        <w:tc>
          <w:tcPr>
            <w:tcW w:w="33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乌鲁木齐市职业院校技能大赛、教学能力大赛、班主任能力大赛和文明风采大赛赛前培训讲课劳务费及耗材费用。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16" w:type="dxa"/>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563" w:type="dxa"/>
            <w:gridSpan w:val="3"/>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7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7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06" w:type="dxa"/>
            <w:gridSpan w:val="2"/>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51" w:type="dxa"/>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031" w:type="dxa"/>
            <w:gridSpan w:val="2"/>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承办、协办学校（单）数</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6"/>
                <w:szCs w:val="16"/>
                <w:u w:val="none"/>
                <w:lang w:val="en-US" w:eastAsia="zh-CN" w:bidi="ar"/>
              </w:rPr>
              <w:t>=9个</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6"/>
                <w:szCs w:val="16"/>
                <w:u w:val="none"/>
                <w:lang w:val="en-US" w:eastAsia="zh-CN" w:bidi="ar"/>
              </w:rPr>
              <w:t>9个</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参与赛事人次</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6"/>
                <w:szCs w:val="16"/>
                <w:u w:val="none"/>
                <w:lang w:val="en-US" w:eastAsia="zh-CN" w:bidi="ar"/>
              </w:rPr>
              <w:t>&gt;=150人次</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6"/>
                <w:szCs w:val="16"/>
                <w:u w:val="none"/>
                <w:lang w:val="en-US" w:eastAsia="zh-CN" w:bidi="ar"/>
              </w:rPr>
              <w:t>90人次</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赛事活动用车数量</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=1辆</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1辆</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获奖学生数</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&gt;=500人次</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0人次</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毕业生就业率</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各类大赛完成时限</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2022年11月底</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2022年7月底</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协办、承办学校（单位）补助费用标准</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&lt;=3.89万元/所</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0万元/所</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工作人员人均补助标准</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&lt;=500元/人</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0元/人</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赛事活动用车燃油及其他运行费用</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=2万元</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1万元</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学生人均奖励金</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&lt;=110元</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0元</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对职业教育的认可度</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20"/>
                <w:szCs w:val="20"/>
                <w:u w:val="none"/>
                <w:lang w:val="en-US" w:eastAsia="zh-CN" w:bidi="ar"/>
              </w:rPr>
              <w:t>持续提升</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20"/>
                <w:szCs w:val="20"/>
                <w:u w:val="none"/>
                <w:lang w:val="en-US" w:eastAsia="zh-CN" w:bidi="ar"/>
              </w:rPr>
              <w:t>部分达到预期效果</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持续提高职业教育教学水平</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稳步提升</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完全达到预期效果</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4"/>
                <w:szCs w:val="14"/>
                <w:u w:val="none"/>
                <w:lang w:val="en-US" w:eastAsia="zh-CN" w:bidi="ar"/>
              </w:rPr>
              <w:t>因</w:t>
            </w:r>
            <w:r>
              <w:rPr>
                <w:rFonts w:hint="eastAsia" w:ascii="宋体" w:hAnsi="宋体" w:cs="宋体"/>
                <w:i w:val="0"/>
                <w:iCs w:val="0"/>
                <w:color w:val="000000"/>
                <w:kern w:val="0"/>
                <w:sz w:val="14"/>
                <w:szCs w:val="14"/>
                <w:u w:val="none"/>
                <w:lang w:val="en-US" w:eastAsia="zh-CN" w:bidi="ar"/>
              </w:rPr>
              <w:t>不可抗力</w:t>
            </w:r>
            <w:r>
              <w:rPr>
                <w:rFonts w:hint="eastAsia" w:ascii="宋体" w:hAnsi="宋体" w:eastAsia="宋体" w:cs="宋体"/>
                <w:i w:val="0"/>
                <w:iCs w:val="0"/>
                <w:color w:val="000000"/>
                <w:kern w:val="0"/>
                <w:sz w:val="14"/>
                <w:szCs w:val="14"/>
                <w:u w:val="none"/>
                <w:lang w:val="en-US" w:eastAsia="zh-CN" w:bidi="ar"/>
              </w:rPr>
              <w:t>原因，学生技能大赛未开展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25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参加活动人员满意度</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7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68.50分</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yellow"/>
          <w:shd w:val="clear" w:color="auto" w:fill="auto"/>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bookmarkStart w:id="0" w:name="_Toc24143"/>
      <w:bookmarkStart w:id="1" w:name="_Toc32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tbl>
      <w:tblPr>
        <w:tblStyle w:val="6"/>
        <w:tblpPr w:leftFromText="180" w:rightFromText="180" w:vertAnchor="text" w:horzAnchor="page" w:tblpX="1887" w:tblpY="371"/>
        <w:tblOverlap w:val="never"/>
        <w:tblW w:w="8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8"/>
        <w:gridCol w:w="677"/>
        <w:gridCol w:w="1037"/>
        <w:gridCol w:w="679"/>
        <w:gridCol w:w="1132"/>
        <w:gridCol w:w="596"/>
        <w:gridCol w:w="737"/>
        <w:gridCol w:w="564"/>
        <w:gridCol w:w="545"/>
        <w:gridCol w:w="464"/>
        <w:gridCol w:w="648"/>
        <w:gridCol w:w="323"/>
        <w:gridCol w:w="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7" w:hRule="atLeast"/>
        </w:trPr>
        <w:tc>
          <w:tcPr>
            <w:tcW w:w="8720"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4" w:hRule="atLeast"/>
        </w:trPr>
        <w:tc>
          <w:tcPr>
            <w:tcW w:w="8720"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7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教学质量提升经费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41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乌鲁木齐市职业教育中心</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22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乌鲁木齐市职业教育中心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trPr>
        <w:tc>
          <w:tcPr>
            <w:tcW w:w="12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全年预算数</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trPr>
        <w:tc>
          <w:tcPr>
            <w:tcW w:w="12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38.75</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14.24</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14.24</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12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其中：当年财政拨款</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5.49</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5.49</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12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上年结转资金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8.75</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8.75</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8.75</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12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其他资金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5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年度总体目标</w:t>
            </w:r>
          </w:p>
        </w:tc>
        <w:tc>
          <w:tcPr>
            <w:tcW w:w="48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33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61"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8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依据教育部、自治区教育厅相关文件规定，制定2022年乌鲁木齐市职业教育教研工作要点，形成和完善各学校教育质量评价制度。新建1门课程题库和测试体系，在全市6所以上的中职学校开展职业学校学业测试工作，完成2022年质量年度报告编写工作，完成名师工作室、名班主任工作室建设验收，完成教学管理干部、专业带头人骨干教师、德育工作者、兼职教师、中心教研员等师资队伍建设及培训工作。促进我市职业院校教学质量的稳步提高。 </w:t>
            </w:r>
          </w:p>
        </w:tc>
        <w:tc>
          <w:tcPr>
            <w:tcW w:w="33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完成中职学校开展职业学校学业测试工作，完成2022年质量年度报告编写工作，完成名师工作室、名班主任工作室建设验收工作。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5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240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10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0"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0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5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年度绩效指标完成情况</w:t>
            </w: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培训覆盖学校（单位）数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=9所</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9所</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培训参加人次</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&gt;=500人次</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300人次</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因</w:t>
            </w:r>
            <w:r>
              <w:rPr>
                <w:rFonts w:hint="eastAsia" w:ascii="宋体" w:hAnsi="宋体" w:cs="宋体"/>
                <w:i w:val="0"/>
                <w:iCs w:val="0"/>
                <w:color w:val="000000"/>
                <w:kern w:val="0"/>
                <w:sz w:val="12"/>
                <w:szCs w:val="12"/>
                <w:u w:val="none"/>
                <w:lang w:val="en-US" w:eastAsia="zh-CN" w:bidi="ar"/>
              </w:rPr>
              <w:t>不可抗力</w:t>
            </w:r>
            <w:r>
              <w:rPr>
                <w:rFonts w:hint="eastAsia" w:ascii="宋体" w:hAnsi="宋体" w:eastAsia="宋体" w:cs="宋体"/>
                <w:i w:val="0"/>
                <w:iCs w:val="0"/>
                <w:color w:val="000000"/>
                <w:kern w:val="0"/>
                <w:sz w:val="12"/>
                <w:szCs w:val="12"/>
                <w:u w:val="none"/>
                <w:lang w:val="en-US" w:eastAsia="zh-CN" w:bidi="ar"/>
              </w:rPr>
              <w:t>原因，部分培训项目未开展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市级名师、名班主任工作室建设数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=3个</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3个</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学业水平测试平台数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=1个</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1个</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数字教育资源平台绑定账号数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=100个</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100个</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因</w:t>
            </w:r>
            <w:r>
              <w:rPr>
                <w:rFonts w:hint="eastAsia" w:ascii="宋体" w:hAnsi="宋体" w:cs="宋体"/>
                <w:i w:val="0"/>
                <w:iCs w:val="0"/>
                <w:color w:val="000000"/>
                <w:kern w:val="0"/>
                <w:sz w:val="12"/>
                <w:szCs w:val="12"/>
                <w:u w:val="none"/>
                <w:lang w:val="en-US" w:eastAsia="zh-CN" w:bidi="ar"/>
              </w:rPr>
              <w:t>不可抗力</w:t>
            </w:r>
            <w:r>
              <w:rPr>
                <w:rFonts w:hint="eastAsia" w:ascii="宋体" w:hAnsi="宋体" w:eastAsia="宋体" w:cs="宋体"/>
                <w:i w:val="0"/>
                <w:iCs w:val="0"/>
                <w:color w:val="000000"/>
                <w:kern w:val="0"/>
                <w:sz w:val="12"/>
                <w:szCs w:val="12"/>
                <w:u w:val="none"/>
                <w:lang w:val="en-US" w:eastAsia="zh-CN" w:bidi="ar"/>
              </w:rPr>
              <w:t>原因，部分培训项目未开展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培训合格率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数字平台利用率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因</w:t>
            </w:r>
            <w:r>
              <w:rPr>
                <w:rFonts w:hint="eastAsia" w:ascii="宋体" w:hAnsi="宋体" w:cs="宋体"/>
                <w:i w:val="0"/>
                <w:iCs w:val="0"/>
                <w:color w:val="000000"/>
                <w:kern w:val="0"/>
                <w:sz w:val="12"/>
                <w:szCs w:val="12"/>
                <w:u w:val="none"/>
                <w:lang w:val="en-US" w:eastAsia="zh-CN" w:bidi="ar"/>
              </w:rPr>
              <w:t>不可抗力</w:t>
            </w:r>
            <w:r>
              <w:rPr>
                <w:rFonts w:hint="eastAsia" w:ascii="宋体" w:hAnsi="宋体" w:eastAsia="宋体" w:cs="宋体"/>
                <w:i w:val="0"/>
                <w:iCs w:val="0"/>
                <w:color w:val="000000"/>
                <w:kern w:val="0"/>
                <w:sz w:val="12"/>
                <w:szCs w:val="12"/>
                <w:u w:val="none"/>
                <w:lang w:val="en-US" w:eastAsia="zh-CN" w:bidi="ar"/>
              </w:rPr>
              <w:t>原因，部分培训项目未开展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培训结业率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3"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8"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培训人均成本</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&lt;=360元</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200元</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因</w:t>
            </w:r>
            <w:r>
              <w:rPr>
                <w:rFonts w:hint="eastAsia" w:ascii="宋体" w:hAnsi="宋体" w:cs="宋体"/>
                <w:i w:val="0"/>
                <w:iCs w:val="0"/>
                <w:color w:val="000000"/>
                <w:kern w:val="0"/>
                <w:sz w:val="12"/>
                <w:szCs w:val="12"/>
                <w:u w:val="none"/>
                <w:lang w:val="en-US" w:eastAsia="zh-CN" w:bidi="ar"/>
              </w:rPr>
              <w:t>不可抗力</w:t>
            </w:r>
            <w:r>
              <w:rPr>
                <w:rFonts w:hint="eastAsia" w:ascii="宋体" w:hAnsi="宋体" w:eastAsia="宋体" w:cs="宋体"/>
                <w:i w:val="0"/>
                <w:iCs w:val="0"/>
                <w:color w:val="000000"/>
                <w:kern w:val="0"/>
                <w:sz w:val="12"/>
                <w:szCs w:val="12"/>
                <w:u w:val="none"/>
                <w:lang w:val="en-US" w:eastAsia="zh-CN" w:bidi="ar"/>
              </w:rPr>
              <w:t>原因，部分培训项目未开展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工作室建设成本</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&lt;=1.33万元/个</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1.33万元/个</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学业测试平台使用成本</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=4万元/年</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4万元/年</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数字教育资源平台年使用成本</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=400元/个</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400元/个</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因</w:t>
            </w:r>
            <w:r>
              <w:rPr>
                <w:rFonts w:hint="eastAsia" w:ascii="宋体" w:hAnsi="宋体" w:cs="宋体"/>
                <w:i w:val="0"/>
                <w:iCs w:val="0"/>
                <w:color w:val="000000"/>
                <w:kern w:val="0"/>
                <w:sz w:val="12"/>
                <w:szCs w:val="12"/>
                <w:u w:val="none"/>
                <w:lang w:val="en-US" w:eastAsia="zh-CN" w:bidi="ar"/>
              </w:rPr>
              <w:t>不可抗力</w:t>
            </w:r>
            <w:r>
              <w:rPr>
                <w:rFonts w:hint="eastAsia" w:ascii="宋体" w:hAnsi="宋体" w:eastAsia="宋体" w:cs="宋体"/>
                <w:i w:val="0"/>
                <w:iCs w:val="0"/>
                <w:color w:val="000000"/>
                <w:kern w:val="0"/>
                <w:sz w:val="12"/>
                <w:szCs w:val="12"/>
                <w:u w:val="none"/>
                <w:lang w:val="en-US" w:eastAsia="zh-CN" w:bidi="ar"/>
              </w:rPr>
              <w:t>原因，部分培训项目未开展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8"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5"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职业教育教学质量</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有效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提高</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完全达到预期效果</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25.5</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因</w:t>
            </w:r>
            <w:r>
              <w:rPr>
                <w:rFonts w:hint="eastAsia" w:ascii="宋体" w:hAnsi="宋体" w:cs="宋体"/>
                <w:i w:val="0"/>
                <w:iCs w:val="0"/>
                <w:color w:val="000000"/>
                <w:kern w:val="0"/>
                <w:sz w:val="12"/>
                <w:szCs w:val="12"/>
                <w:u w:val="none"/>
                <w:lang w:val="en-US" w:eastAsia="zh-CN" w:bidi="ar"/>
              </w:rPr>
              <w:t>不可抗力</w:t>
            </w:r>
            <w:r>
              <w:rPr>
                <w:rFonts w:hint="eastAsia" w:ascii="宋体" w:hAnsi="宋体" w:eastAsia="宋体" w:cs="宋体"/>
                <w:i w:val="0"/>
                <w:iCs w:val="0"/>
                <w:color w:val="000000"/>
                <w:kern w:val="0"/>
                <w:sz w:val="12"/>
                <w:szCs w:val="12"/>
                <w:u w:val="none"/>
                <w:lang w:val="en-US" w:eastAsia="zh-CN" w:bidi="ar"/>
              </w:rPr>
              <w:t>原因，部分培训项目未开展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8"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8"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75"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满意度</w:t>
            </w:r>
          </w:p>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w:t>
            </w:r>
          </w:p>
        </w:tc>
        <w:tc>
          <w:tcPr>
            <w:tcW w:w="24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参加培训人员满意度</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5" w:hRule="atLeast"/>
        </w:trPr>
        <w:tc>
          <w:tcPr>
            <w:tcW w:w="597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90.50分</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shd w:val="clear" w:color="auto" w:fill="auto"/>
        </w:rPr>
      </w:pPr>
    </w:p>
    <w:tbl>
      <w:tblPr>
        <w:tblStyle w:val="6"/>
        <w:tblW w:w="903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7"/>
        <w:gridCol w:w="154"/>
        <w:gridCol w:w="542"/>
        <w:gridCol w:w="241"/>
        <w:gridCol w:w="684"/>
        <w:gridCol w:w="85"/>
        <w:gridCol w:w="175"/>
        <w:gridCol w:w="541"/>
        <w:gridCol w:w="311"/>
        <w:gridCol w:w="150"/>
        <w:gridCol w:w="497"/>
        <w:gridCol w:w="424"/>
        <w:gridCol w:w="229"/>
        <w:gridCol w:w="7"/>
        <w:gridCol w:w="81"/>
        <w:gridCol w:w="1375"/>
        <w:gridCol w:w="7"/>
        <w:gridCol w:w="255"/>
        <w:gridCol w:w="263"/>
        <w:gridCol w:w="89"/>
        <w:gridCol w:w="7"/>
        <w:gridCol w:w="90"/>
        <w:gridCol w:w="277"/>
        <w:gridCol w:w="137"/>
        <w:gridCol w:w="443"/>
        <w:gridCol w:w="7"/>
        <w:gridCol w:w="237"/>
        <w:gridCol w:w="61"/>
        <w:gridCol w:w="17"/>
        <w:gridCol w:w="922"/>
        <w:gridCol w:w="7"/>
        <w:gridCol w:w="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2"/>
          <w:wAfter w:w="63" w:type="dxa"/>
          <w:trHeight w:val="554" w:hRule="atLeast"/>
        </w:trPr>
        <w:tc>
          <w:tcPr>
            <w:tcW w:w="8975" w:type="dxa"/>
            <w:gridSpan w:val="3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277" w:hRule="atLeast"/>
        </w:trPr>
        <w:tc>
          <w:tcPr>
            <w:tcW w:w="8975" w:type="dxa"/>
            <w:gridSpan w:val="3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503" w:hRule="atLeast"/>
        </w:trPr>
        <w:tc>
          <w:tcPr>
            <w:tcW w:w="13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761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2021年度“忠诚干净担当好班子”奖金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563" w:hRule="atLeast"/>
        </w:trPr>
        <w:tc>
          <w:tcPr>
            <w:tcW w:w="13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3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乌鲁木齐市职业教育中心</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281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乌鲁木齐市职业教育中心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423" w:hRule="atLeast"/>
        </w:trPr>
        <w:tc>
          <w:tcPr>
            <w:tcW w:w="136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1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12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全年</w:t>
            </w:r>
          </w:p>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预算数</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11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1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706" w:hRule="atLeast"/>
        </w:trPr>
        <w:tc>
          <w:tcPr>
            <w:tcW w:w="136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11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2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w:t>
            </w:r>
          </w:p>
        </w:tc>
        <w:tc>
          <w:tcPr>
            <w:tcW w:w="11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1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563" w:hRule="atLeast"/>
        </w:trPr>
        <w:tc>
          <w:tcPr>
            <w:tcW w:w="136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bookmarkStart w:id="2" w:name="_GoBack" w:colFirst="3" w:colLast="5"/>
          </w:p>
        </w:tc>
        <w:tc>
          <w:tcPr>
            <w:tcW w:w="1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其中：当年财政拨款</w:t>
            </w:r>
          </w:p>
        </w:tc>
        <w:tc>
          <w:tcPr>
            <w:tcW w:w="11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2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w:t>
            </w:r>
          </w:p>
        </w:tc>
        <w:tc>
          <w:tcPr>
            <w:tcW w:w="11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bookmarkEnd w:id="2"/>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563" w:hRule="atLeast"/>
        </w:trPr>
        <w:tc>
          <w:tcPr>
            <w:tcW w:w="136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上年结转资金</w:t>
            </w:r>
          </w:p>
        </w:tc>
        <w:tc>
          <w:tcPr>
            <w:tcW w:w="11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1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286" w:hRule="atLeast"/>
        </w:trPr>
        <w:tc>
          <w:tcPr>
            <w:tcW w:w="136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其他资金</w:t>
            </w:r>
          </w:p>
        </w:tc>
        <w:tc>
          <w:tcPr>
            <w:tcW w:w="11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1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286" w:hRule="atLeast"/>
        </w:trPr>
        <w:tc>
          <w:tcPr>
            <w:tcW w:w="8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目标</w:t>
            </w:r>
          </w:p>
        </w:tc>
        <w:tc>
          <w:tcPr>
            <w:tcW w:w="387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427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499"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87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通过开展2022年度民族团结一家亲和联谊主题活动、关爱帮扶、活动室续建、宣传教育等，促进中心各族群众交流、交往、交融，大团结。</w:t>
            </w:r>
          </w:p>
        </w:tc>
        <w:tc>
          <w:tcPr>
            <w:tcW w:w="427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2022年，中心结合工作实际和全年重点工作要求，通过组织开展民族团结一家亲和民族团结联谊主题活动，推进中心各族群众进一步交流、交往，取得了预期的活动效果。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312" w:hRule="atLeast"/>
        </w:trPr>
        <w:tc>
          <w:tcPr>
            <w:tcW w:w="8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11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130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146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5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136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652"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0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6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393" w:hRule="atLeast"/>
        </w:trPr>
        <w:tc>
          <w:tcPr>
            <w:tcW w:w="8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年度绩效指标完成情况</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活动主题数</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&gt;=5个</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3个</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w:t>
            </w:r>
            <w:r>
              <w:rPr>
                <w:rFonts w:hint="eastAsia" w:ascii="宋体" w:hAnsi="宋体" w:cs="宋体"/>
                <w:i w:val="0"/>
                <w:iCs w:val="0"/>
                <w:color w:val="000000"/>
                <w:kern w:val="0"/>
                <w:sz w:val="16"/>
                <w:szCs w:val="16"/>
                <w:u w:val="none"/>
                <w:lang w:val="en-US" w:eastAsia="zh-CN" w:bidi="ar"/>
              </w:rPr>
              <w:t>不可抗力</w:t>
            </w:r>
            <w:r>
              <w:rPr>
                <w:rFonts w:hint="eastAsia" w:ascii="宋体" w:hAnsi="宋体" w:eastAsia="宋体" w:cs="宋体"/>
                <w:i w:val="0"/>
                <w:iCs w:val="0"/>
                <w:color w:val="000000"/>
                <w:kern w:val="0"/>
                <w:sz w:val="16"/>
                <w:szCs w:val="16"/>
                <w:u w:val="none"/>
                <w:lang w:val="en-US" w:eastAsia="zh-CN" w:bidi="ar"/>
              </w:rPr>
              <w:t>影响，部分主题活动未开展。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427"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活动参加人次</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&gt;=120人次</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120人次</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471"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开展活动覆盖率</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&gt;=90%</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913"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活动按时完成率</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w:t>
            </w:r>
            <w:r>
              <w:rPr>
                <w:rFonts w:hint="eastAsia" w:ascii="宋体" w:hAnsi="宋体" w:cs="宋体"/>
                <w:i w:val="0"/>
                <w:iCs w:val="0"/>
                <w:color w:val="000000"/>
                <w:kern w:val="0"/>
                <w:sz w:val="16"/>
                <w:szCs w:val="16"/>
                <w:u w:val="none"/>
                <w:lang w:val="en-US" w:eastAsia="zh-CN" w:bidi="ar"/>
              </w:rPr>
              <w:t>不可抗力</w:t>
            </w:r>
            <w:r>
              <w:rPr>
                <w:rFonts w:hint="eastAsia" w:ascii="宋体" w:hAnsi="宋体" w:eastAsia="宋体" w:cs="宋体"/>
                <w:i w:val="0"/>
                <w:iCs w:val="0"/>
                <w:color w:val="000000"/>
                <w:kern w:val="0"/>
                <w:sz w:val="16"/>
                <w:szCs w:val="16"/>
                <w:u w:val="none"/>
                <w:lang w:val="en-US" w:eastAsia="zh-CN" w:bidi="ar"/>
              </w:rPr>
              <w:t>影响，部分活动未按期完成。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100"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活动经费支出标准</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=10万元</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5万元</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w:t>
            </w:r>
            <w:r>
              <w:rPr>
                <w:rFonts w:hint="eastAsia" w:ascii="宋体" w:hAnsi="宋体" w:cs="宋体"/>
                <w:i w:val="0"/>
                <w:iCs w:val="0"/>
                <w:color w:val="000000"/>
                <w:kern w:val="0"/>
                <w:sz w:val="16"/>
                <w:szCs w:val="16"/>
                <w:u w:val="none"/>
                <w:lang w:val="en-US" w:eastAsia="zh-CN" w:bidi="ar"/>
              </w:rPr>
              <w:t>不可抗力</w:t>
            </w:r>
            <w:r>
              <w:rPr>
                <w:rFonts w:hint="eastAsia" w:ascii="宋体" w:hAnsi="宋体" w:eastAsia="宋体" w:cs="宋体"/>
                <w:i w:val="0"/>
                <w:iCs w:val="0"/>
                <w:color w:val="000000"/>
                <w:kern w:val="0"/>
                <w:sz w:val="16"/>
                <w:szCs w:val="16"/>
                <w:u w:val="none"/>
                <w:lang w:val="en-US" w:eastAsia="zh-CN" w:bidi="ar"/>
              </w:rPr>
              <w:t>影响，部分活动未开展，活动经费未支出。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801"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238"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通过开展民族团结一家亲和联谊活动，促进中心各族群众融合团结</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有效促进</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积极促进</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100"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生态</w:t>
            </w:r>
          </w:p>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tabs>
                <w:tab w:val="left" w:pos="3892"/>
              </w:tabs>
              <w:bidi w:val="0"/>
              <w:jc w:val="left"/>
              <w:rPr>
                <w:rFonts w:hint="eastAsia"/>
                <w:lang w:val="en-US" w:eastAsia="zh-CN"/>
              </w:rPr>
            </w:pPr>
            <w:r>
              <w:rPr>
                <w:rFonts w:hint="eastAsia"/>
                <w:lang w:val="en-US" w:eastAsia="zh-CN"/>
              </w:rPr>
              <w:tab/>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725"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980" w:hRule="atLeast"/>
        </w:trPr>
        <w:tc>
          <w:tcPr>
            <w:tcW w:w="8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参加活动人员的满意度</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572" w:hRule="atLeast"/>
        </w:trPr>
        <w:tc>
          <w:tcPr>
            <w:tcW w:w="61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3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70.00分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trPr>
        <w:tc>
          <w:tcPr>
            <w:tcW w:w="9038" w:type="dxa"/>
            <w:gridSpan w:val="3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2" w:hRule="atLeast"/>
        </w:trPr>
        <w:tc>
          <w:tcPr>
            <w:tcW w:w="9038" w:type="dxa"/>
            <w:gridSpan w:val="3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7" w:hRule="atLeast"/>
        </w:trPr>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7434"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教育系统安保服务费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7" w:hRule="atLeast"/>
        </w:trPr>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30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乌鲁木齐市职业教育中心</w:t>
            </w:r>
          </w:p>
        </w:tc>
        <w:tc>
          <w:tcPr>
            <w:tcW w:w="17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261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乌鲁木齐市职业教育中心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9" w:hRule="atLeast"/>
        </w:trPr>
        <w:tc>
          <w:tcPr>
            <w:tcW w:w="160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1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6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全年预算数</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9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8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10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9" w:hRule="atLeast"/>
        </w:trPr>
        <w:tc>
          <w:tcPr>
            <w:tcW w:w="16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12.00</w:t>
            </w:r>
          </w:p>
        </w:tc>
        <w:tc>
          <w:tcPr>
            <w:tcW w:w="6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12.00</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12.00</w:t>
            </w:r>
          </w:p>
        </w:tc>
        <w:tc>
          <w:tcPr>
            <w:tcW w:w="9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10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9" w:hRule="atLeast"/>
        </w:trPr>
        <w:tc>
          <w:tcPr>
            <w:tcW w:w="16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其中：当年财政拨款</w:t>
            </w: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12.00</w:t>
            </w:r>
          </w:p>
        </w:tc>
        <w:tc>
          <w:tcPr>
            <w:tcW w:w="6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12.00</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12.00</w:t>
            </w:r>
          </w:p>
        </w:tc>
        <w:tc>
          <w:tcPr>
            <w:tcW w:w="9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309" w:hRule="atLeast"/>
        </w:trPr>
        <w:tc>
          <w:tcPr>
            <w:tcW w:w="16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上年结转资金</w:t>
            </w: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9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57" w:hRule="atLeast"/>
        </w:trPr>
        <w:tc>
          <w:tcPr>
            <w:tcW w:w="16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其他资金</w:t>
            </w: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9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57"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年度总体目标</w:t>
            </w:r>
          </w:p>
        </w:tc>
        <w:tc>
          <w:tcPr>
            <w:tcW w:w="403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427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370"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3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为全面贯彻落实社会稳定和长治久安总目标，确保“三不出”，根据市委对安全稳定工作常态化管理要求， 聘请保安人员协助我单位完成综合办公楼的安全保卫工作，并且能够保质保量按照政府相关部门要求进行安全保卫工作任务，确保中心各项工作顺利开展。</w:t>
            </w:r>
          </w:p>
        </w:tc>
        <w:tc>
          <w:tcPr>
            <w:tcW w:w="427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市委市政府、市教育局关于平安建设和安全稳定相关工作要求，结合中心工作实际，配备4名专职安保人员，落实综合办公楼安全保卫工作各项任务，做好办公场所值守、办公设施和人员的安全保卫工作，定期开展安全隐患排查和整治。较好完成了综合办公楼的安全保卫工作，并且能够保质保量按照政府和相关部门要求进行安全保卫工作任务，全年未发生安全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312"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94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92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2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146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61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95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124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312"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2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157"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年度绩效指标完成情况</w:t>
            </w:r>
          </w:p>
        </w:tc>
        <w:tc>
          <w:tcPr>
            <w:tcW w:w="93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9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92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安保服务人数</w:t>
            </w: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=4人</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4人</w:t>
            </w: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30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1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安保人员每日在岗时间</w:t>
            </w: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=24小时</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24小时</w:t>
            </w: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157"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21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保安持证上岗率</w:t>
            </w: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157"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21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资金发放及时率</w:t>
            </w: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30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1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月人均工资标准</w:t>
            </w: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&lt;=2500元</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2500元</w:t>
            </w: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30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21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612"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218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保障全校师生安全，促进教育教学工作正常开展</w:t>
            </w: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持续保障</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完全达到预期效果 </w:t>
            </w: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28.5</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56" w:type="dxa"/>
          <w:trHeight w:val="30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21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30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30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1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师生满意度</w:t>
            </w:r>
          </w:p>
        </w:tc>
        <w:tc>
          <w:tcPr>
            <w:tcW w:w="1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1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7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57" w:hRule="atLeast"/>
        </w:trPr>
        <w:tc>
          <w:tcPr>
            <w:tcW w:w="61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7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98.00分</w:t>
            </w:r>
          </w:p>
        </w:tc>
        <w:tc>
          <w:tcPr>
            <w:tcW w:w="12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309" w:hRule="atLeast"/>
        </w:trPr>
        <w:tc>
          <w:tcPr>
            <w:tcW w:w="8975" w:type="dxa"/>
            <w:gridSpan w:val="3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2"/>
          <w:wAfter w:w="63" w:type="dxa"/>
          <w:trHeight w:val="152" w:hRule="atLeast"/>
        </w:trPr>
        <w:tc>
          <w:tcPr>
            <w:tcW w:w="8975" w:type="dxa"/>
            <w:gridSpan w:val="3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bookmarkEnd w:id="0"/>
      <w:bookmarkEnd w:id="1"/>
    </w:tbl>
    <w:p>
      <w:pPr>
        <w:rPr>
          <w:shd w:val="clear" w:color="auto" w:fill="auto"/>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MTk2M2ZkYzFjZDdkZWQ2N2Q2M2JmOGJmODU5ZWQifQ=="/>
  </w:docVars>
  <w:rsids>
    <w:rsidRoot w:val="7138118D"/>
    <w:rsid w:val="03767D6A"/>
    <w:rsid w:val="08095A4E"/>
    <w:rsid w:val="0CBB3069"/>
    <w:rsid w:val="1995473A"/>
    <w:rsid w:val="2915294F"/>
    <w:rsid w:val="2AE85388"/>
    <w:rsid w:val="2EB737E2"/>
    <w:rsid w:val="32E731BE"/>
    <w:rsid w:val="3AB512CF"/>
    <w:rsid w:val="3F002001"/>
    <w:rsid w:val="453D237C"/>
    <w:rsid w:val="5FAD6A3B"/>
    <w:rsid w:val="676554CB"/>
    <w:rsid w:val="695262ED"/>
    <w:rsid w:val="7138118D"/>
    <w:rsid w:val="721A6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0"/>
  </w:style>
  <w:style w:type="paragraph" w:styleId="5">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4475</Words>
  <Characters>4854</Characters>
  <Lines>0</Lines>
  <Paragraphs>0</Paragraphs>
  <TotalTime>0</TotalTime>
  <ScaleCrop>false</ScaleCrop>
  <LinksUpToDate>false</LinksUpToDate>
  <CharactersWithSpaces>4868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2023-08-22T09:50:00Z</dcterms:created>
  <dc:creator>lenovo</dc:creator>
  <cp:lastModifiedBy>WJ</cp:lastModifiedBy>
  <dcterms:modified xsi:type="dcterms:W3CDTF">2024-02-06T05:14:56Z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804E4EC41E4B45FAA486C4499EA5C8AE_12</vt:lpwstr>
  </property>
</Properties>
</file>