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00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851"/>
        <w:gridCol w:w="1465"/>
        <w:gridCol w:w="1210"/>
        <w:gridCol w:w="1578"/>
        <w:gridCol w:w="1275"/>
        <w:gridCol w:w="971"/>
        <w:gridCol w:w="976"/>
        <w:gridCol w:w="9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bookmarkStart w:id="0" w:name="_Toc3250"/>
            <w:bookmarkStart w:id="1" w:name="_Toc24143"/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4"/>
                <w:lang w:bidi="ar"/>
              </w:rPr>
              <w:t>项  目  支  出  绩  效  自  评  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(2022年度)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84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2021年度“忠诚干净担当好班子”奖金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0.00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10.00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10.00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10.00分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  上年结转资金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其他资金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年度总体目标</w:t>
            </w: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“中华民族一家亲，同心共筑中国梦”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“中华民族一家亲，同心共筑中国梦”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一级指标</w:t>
            </w:r>
          </w:p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二级指标</w:t>
            </w:r>
          </w:p>
        </w:tc>
        <w:tc>
          <w:tcPr>
            <w:tcW w:w="12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9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年度绩效指标完成情况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产出指标</w:t>
            </w:r>
          </w:p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数量指标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参加活动人数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&gt;=577人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769人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联谊活动次数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&gt;=5次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5次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开展活动覆盖率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&gt;=90百分比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90百分比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活动按时完成率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&gt;=90百分比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90百分比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年度活动成本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&lt;=10万元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10万元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效益指标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促进各民族大融合、大团结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有效促进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完全达到预期效果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因不可抗力因素、寒暑假原因，活动开展、上传不及时。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参加活动人员满意度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&gt;=90百分比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90百分比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100.00分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tbl>
      <w:tblPr>
        <w:tblStyle w:val="9"/>
        <w:tblW w:w="100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851"/>
        <w:gridCol w:w="1465"/>
        <w:gridCol w:w="1210"/>
        <w:gridCol w:w="1578"/>
        <w:gridCol w:w="1275"/>
        <w:gridCol w:w="971"/>
        <w:gridCol w:w="976"/>
        <w:gridCol w:w="9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4"/>
                <w:lang w:bidi="ar"/>
              </w:rPr>
              <w:t>项  目  支  出  绩  效  自  评  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(2022年度)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84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2022年中小学和幼儿园自聘教师补助资金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0.00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26.00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26.00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10.00分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  上年结转资金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其他资金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年度总体目标</w:t>
            </w: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确保自聘教师待遇落实到位，保障正常的教育教学秩序。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确保自聘教师待遇落实到位，保障正常的教育教学秩序。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一级指标</w:t>
            </w:r>
          </w:p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二级指标</w:t>
            </w:r>
          </w:p>
        </w:tc>
        <w:tc>
          <w:tcPr>
            <w:tcW w:w="12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9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年度绩效指标完成情况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产出指标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享受教师人数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&gt;=5人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8人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申请人员资格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到位资金发放率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自聘教师提高薪酬标准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&lt;=3.47万元/人/年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3.25万元/人/年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效益指标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提高自聘教师薪酬水平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有效提高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完全达到预期效果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保障教师队伍的稳定性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有效保障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完全达到预期效果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&gt;=80%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依据幼儿管理相关规定,幼儿园需要自聘教师较多,该项补助资金未能全部满足实际自聘幼儿教师需要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100.00分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tbl>
      <w:tblPr>
        <w:tblStyle w:val="9"/>
        <w:tblW w:w="100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851"/>
        <w:gridCol w:w="1465"/>
        <w:gridCol w:w="1210"/>
        <w:gridCol w:w="1578"/>
        <w:gridCol w:w="1275"/>
        <w:gridCol w:w="971"/>
        <w:gridCol w:w="976"/>
        <w:gridCol w:w="9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4"/>
                <w:lang w:bidi="ar"/>
              </w:rPr>
              <w:t>项  目  支  出  绩  效  自  评  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(2022年度)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84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2022年公办义务教育阶段学校班主任津贴补助资金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6.12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6.12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6.12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10.00分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6.12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6.12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6.12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  上年结转资金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其他资金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年度总体目标</w:t>
            </w: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按照项目的总目标进行绩效考核，绩效考核依据设定的相关考核指标，力争年度内基本完成各项指标值。1.预期顺利实现项目的总目标，保质保量的100%完成班主任津贴的补助实施。2.学生和家长对班主任的工作充分认可，满意率达到90%以上。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已完成1.实现项目的总目标，保质保量的100%完成班主任津贴的补助实施。2.学生和家长对班主任的工作充分认可，满意率达到90%以上。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实际完成目标：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一级指标</w:t>
            </w:r>
          </w:p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二级指标</w:t>
            </w:r>
          </w:p>
        </w:tc>
        <w:tc>
          <w:tcPr>
            <w:tcW w:w="12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9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年度绩效指标完成情况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产出指标</w:t>
            </w:r>
          </w:p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数量指标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补助班主任数量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&gt;=51人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51人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班主任津贴补助月份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=10个月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10个月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补贴班主任覆盖率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资金发放及时率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班主任津贴补助标准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=120元/月/人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120元/月/人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效益指标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提高班主任的工积极性作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有效提升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完全达到预期效果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受益班主任满意度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由于社会对教师尤其是班主任有越来越多的期望和要求,班主任长期承担繁重的青少年管理、教育工作，现有班主任津贴存在低报酬、高付出现象。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100.00分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tbl>
      <w:tblPr>
        <w:tblStyle w:val="9"/>
        <w:tblW w:w="100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851"/>
        <w:gridCol w:w="1465"/>
        <w:gridCol w:w="1210"/>
        <w:gridCol w:w="1578"/>
        <w:gridCol w:w="1275"/>
        <w:gridCol w:w="971"/>
        <w:gridCol w:w="976"/>
        <w:gridCol w:w="9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4"/>
                <w:lang w:bidi="ar"/>
              </w:rPr>
              <w:t>项  目  支  出  绩  效  自  评  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(2022年度)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84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2022年城乡义务教育经费补助-家庭经济困难学生生活费（市级配套）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2.99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0.79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0.79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10.00分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2.99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0.79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0.79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  上年结转资金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其他资金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年度总体目标</w:t>
            </w: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依据新财规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〔2020〕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号“关于修订《新疆维吾尔自治区城乡义务教育“两免一补”资金管理办法》，本年度计划服务人数为40人/学期，按规定达到补助条件的学生按照375元/生/学期及时发放执行（由于春节和秋季补助的学生是不同，因此该指标按照学期设定）。我校该项目资金2.99万元全部用于补助家庭经济困难学生，减轻家庭经济困难学生的经济负担，实现城乡义务教育在更高层次的均衡发展，促进教育公平、提高教育质量。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依据新财规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〔2020〕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10号“关于修订《新疆维吾尔自治区城乡义务教育“两免一补”资金管理办法》，本年度实际服务人数为21人/次，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一级指标</w:t>
            </w:r>
          </w:p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二级指标</w:t>
            </w:r>
          </w:p>
        </w:tc>
        <w:tc>
          <w:tcPr>
            <w:tcW w:w="12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9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年度绩效指标完成情况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产出指标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初中非寄宿生应补助人数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&gt;=60人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21人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大部分学生家庭条件较好，相比较其他学校的贫困学生，我们学校的学生贫困的程度不够深。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应享受补助学生覆盖率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资金发放及时率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&gt;=100%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初中非寄宿生困难家庭补助标准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=750元/人/年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750元/人/年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效益指标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减轻困难家庭经济负担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有效减轻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基本达到预期效果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11.25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大部分学生家庭条件较好，相比较其他学校的贫困学生，我们学校的学生贫困的程度不够深。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促进教育公平提高教育经费使用效益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有效促进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基本达到预期效果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11.25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大部分学生家庭条件较好，相比较其他学校的贫困学生，我们学校的学生贫困的程度不够深。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受益学生和家长满意度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100.00分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tbl>
      <w:tblPr>
        <w:tblStyle w:val="9"/>
        <w:tblW w:w="100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851"/>
        <w:gridCol w:w="1465"/>
        <w:gridCol w:w="1210"/>
        <w:gridCol w:w="1578"/>
        <w:gridCol w:w="1275"/>
        <w:gridCol w:w="971"/>
        <w:gridCol w:w="976"/>
        <w:gridCol w:w="9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4"/>
                <w:lang w:bidi="ar"/>
              </w:rPr>
              <w:t>项  目  支  出  绩  效  自  评  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(2022年度)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84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2022年城乡义务教育补助公用经费（直达资金）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265.65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265.65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265.65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10.00分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265.65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265.65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265.65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  上年结转资金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其他资金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年度总体目标</w:t>
            </w: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服务学生人数为2658人，合理合规完成当年资金的全额支出，有效保障学校正常运转，完成教育教学活动和其他日常工作任务等。预计用于支出水费10.33万元，办公费支出43.75万元，维护（修）费51.05万元，专用材料费23.71万元，物业管理费17.38万元，其他交通费4.12万元，办公设备购置16.47万元，专用设备购置18.19万元，大型修缮12.76万元，信息网络及软件购置更新4.3万元，其他商品服务支出33.39万元。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支出水费15.97万元，电费4.17万元，维护（修）费9.53万元，专用材料费28.86万元，办公费85.74万元，公务用车运行维护费1.27万元，其他交通费用1.81万元，其他商品服务支出0.91万元，办公设备购置100.46万元，专用设备购置16.94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一级指标</w:t>
            </w:r>
          </w:p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二级指标</w:t>
            </w:r>
          </w:p>
        </w:tc>
        <w:tc>
          <w:tcPr>
            <w:tcW w:w="12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9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年度绩效指标完成情况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产出指标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补助学生人数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&gt;=2658人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3157人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公用经费使用合规率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截止2022年12月资金执行率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初中生均公用经费基准定额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=850元/生/年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850元/生/年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效益指标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提高学校教学水平、改善办学条件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显著提高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完全达到预期效果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13.5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由于疫情影响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保障学校正常运转、完成教育教学活动和其他日常工作任务。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有效保障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完全达到预期效果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13.5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受不可抗力因素影响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学生满意度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受不可抗力因素影响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100.00分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tbl>
      <w:tblPr>
        <w:tblStyle w:val="9"/>
        <w:tblW w:w="100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851"/>
        <w:gridCol w:w="1465"/>
        <w:gridCol w:w="1210"/>
        <w:gridCol w:w="1578"/>
        <w:gridCol w:w="1275"/>
        <w:gridCol w:w="971"/>
        <w:gridCol w:w="976"/>
        <w:gridCol w:w="9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4"/>
                <w:lang w:bidi="ar"/>
              </w:rPr>
              <w:t>项  目  支  出  绩  效  自  评  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(2022年度)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84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中小学布局规划-河马泉校区设备购置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400.00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284.54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284.54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10.00分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284.54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284.54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  上年结转资金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其他资金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年度总体目标</w:t>
            </w: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合理合规的完成相关设备采购及安装调试，确保正常教育教学。主要为6个项目明细，年度计划完成1、天文馆设备90万元；2、小学、初中科学实验室相关设备10万元；3、体育教学器材90万元；4、办公家具145万元；5、学生课桌椅45万元；6、生物智慧实验室相关设备20万元。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合理合规的完成相关设备采购及安装调试，确保正常教育教学。主要为6个项目明细，年度计划完成1、天文馆设备90万元；2、小学、初中科学实验室相关设备10万元；3、体育教学器材90万元；4、办公家具145万元；5、学生课桌椅45万元；6、生物智慧实验室相关设备20万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一级指标</w:t>
            </w:r>
          </w:p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二级指标</w:t>
            </w:r>
          </w:p>
        </w:tc>
        <w:tc>
          <w:tcPr>
            <w:tcW w:w="12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9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年度绩效指标完成情况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产出指标</w:t>
            </w:r>
          </w:p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数量指标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学生课桌椅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&gt;=500套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500套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办公桌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&gt;=80人位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80人位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钢制文件柜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&gt;=110套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110套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电动液压篮球架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&gt;=2副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2副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设备质量合格率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&gt;=100%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设备采购执行及时率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&gt;=100%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受不可抗力因素影响,未能按计划完成.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成本指标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学生课桌椅单位成本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&lt;=900元/套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860元/套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办公桌单位成本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&lt;=1895元/人位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1996元/人位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制作预算进行询价时部分设备单价过高，委托乌鲁木齐市公共资源交易中心完成招投标。造成中标价格与预算价格差距较大。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钢制文件柜单位成本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&lt;=1478元/套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1186元/套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电动液压篮球架单位成本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&lt;=260750元/套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128126元/套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效益指标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提高学校教学水平、改善办学条件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显著提高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基本达到预期效果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11.25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受不可抗力因素影响未能按计划完成.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保障学校正常运转、完成正常教育教学活动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有效保障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基本达到预期效果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11.25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受不可抗力因素影响,未能按计划完成.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使用人员满意度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&gt;=95%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受不可抗力因素影响未能按计划完成.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100.00分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tbl>
      <w:tblPr>
        <w:tblStyle w:val="9"/>
        <w:tblW w:w="100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851"/>
        <w:gridCol w:w="1465"/>
        <w:gridCol w:w="1210"/>
        <w:gridCol w:w="1578"/>
        <w:gridCol w:w="1275"/>
        <w:gridCol w:w="971"/>
        <w:gridCol w:w="976"/>
        <w:gridCol w:w="9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4"/>
                <w:lang w:bidi="ar"/>
              </w:rPr>
              <w:t>项  目  支  出  绩  效  自  评  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(2022年度)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84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义务教育薄弱环节改善与能力提升补助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0.00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363.00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363.00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10.00分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363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363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  上年结转资金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其他资金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年度总体目标</w:t>
            </w: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合理合规的完成相关设备采购及安装调试，确保正常教育教学。具体完成以下四个明细项目：1、初中生物智慧实验室设备采购：完成校级平台（实验教学、考评系统校级办公设备）1套、一体化考试终端及实验操作考试管理软件（考试端）各28套、考场桌椅及其配套设备28套；2、小学、初中科学实验室设备采购：完成教师演示讲台及电源各一套、小学、初中六边形学生桌及其配套各9套、小学基础实验箱（1-6年级36个单元）各10套、初中创新实验箱11部分各10套；3、体育设备采购：完成身高、肺活量、坐位体前屈、立定跳远等测试仪共10套、电动液压篮球及显示器2套、自行走升降作业平台1台、全能训练器、蹬腿/提重训练器各一台；4、天文馆设备采购：完成激光高清投影机4台、框架球幕系统一套。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初中生物智慧实验室设备采购：完成校级平台（实验教学、考评系统校级办公设备）1套、一体化考试终端及实验操作考试管理软件（考试端）各28套、考场桌椅及其配套设备28套；2、小学、初中科学实验室设备采购：完成教师演示讲台及电源各一套、小学、初中六边形学生桌及其配套各9套、小学基础实验箱（1-6年级36个单元）各10套、初中创新实验箱11部分各10套；3、体育设备采购：完成身高、肺活量、坐位体前屈、立定跳远等测试仪共10套、电动液压篮球及显示器2套、自行走升降作业平台1台、全能训练器、蹬腿/提重训练器各一台；4、天文馆设备采购：完成激光高清投影机4台、框架球幕系统一套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一级指标</w:t>
            </w:r>
          </w:p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二级指标</w:t>
            </w:r>
          </w:p>
        </w:tc>
        <w:tc>
          <w:tcPr>
            <w:tcW w:w="12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9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年度绩效指标完成情况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产出指标</w:t>
            </w:r>
          </w:p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数量指标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一体化考试终端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&gt;=28套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28套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投影机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=4台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4台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天文台框架球幕系统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=1套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1套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小学基础实验箱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&gt;=360箱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360箱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初中创新实验箱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&gt;=110箱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110箱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设备验收合格率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设备安装时间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&gt;=90天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90天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成本指标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一体化考试终端平均成本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&lt;=0.92万元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0.84万元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小学基础实验箱平均成本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&lt;=0.12万元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0.08万元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初中创新实验箱平均成本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&lt;=0.23万元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0.08万元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投影机平均成本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&lt;=14.96万元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8.5万元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天文台框架球幕系统成本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&lt;=65.7万元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62万元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效益指标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提高学校教学水平、改善</w:t>
            </w:r>
            <w:bookmarkStart w:id="2" w:name="_GoBack"/>
            <w:bookmarkEnd w:id="2"/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办学条件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显著提高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基本达到预期效果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11.25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由于不可抗力因素,采购未能按计划进行,校区未能如期使用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保障学校正常运转、完成教育教学活动和其他日常工作任务。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有效保障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基本达到预期效果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11.25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由于不可抗力因素,采购未能按计划进行,校区未能如期使用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教师满意度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&gt;=95%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9.5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由于不可抗力因素,采购未能按计划进行,校区未能如期使用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100.00分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tbl>
      <w:tblPr>
        <w:tblStyle w:val="9"/>
        <w:tblW w:w="100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851"/>
        <w:gridCol w:w="1465"/>
        <w:gridCol w:w="1210"/>
        <w:gridCol w:w="1578"/>
        <w:gridCol w:w="1275"/>
        <w:gridCol w:w="971"/>
        <w:gridCol w:w="976"/>
        <w:gridCol w:w="9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4"/>
                <w:lang w:bidi="ar"/>
              </w:rPr>
              <w:t>项  目  支  出  绩  效  自  评  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(2022年度)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84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市级学校体育和传统文化特色学校补助资金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4.00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4.00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4.00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10.00分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  上年结转资金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其他资金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年度总体目标</w:t>
            </w: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购买书法相关物品，毛笔1000支，墨汁500瓶，毛边纸2000刀，宣纸50刀，用以达到以下目标：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1.培养学生良好的书写习惯，教给学生正确的写字姿势，执笔姿势，具备熟练的写字技能，具有初步的书法欣赏能力。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 通过练字，能使每位学生都能写一手正确规范优美的汉字，增强他们对祖国语言文字的热爱和文化的理解。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3. 通过坚持不懈的练字，陶冶学生的性情，锻炼学生的意志，提高他们自身的涵养，使学生受到美的感染与熏陶。提升审美能力、观察能力、分析实物的综合能力。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4. 通过一系列的活动，了解中国书法悠久的历史，激发学生练字的兴趣，增进学识修养，培养他们搜集处理信息的能力社会交往能力、合作探究能力。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我校结合实际情况开设书法特色课每周一节，含硬笔书法（八年级）与软笔课程（7年级）。广泛开展特色书法活动，参加特色项目活动学生人数占全校学生总数97％以上。通过调查对特色课程开展的满意率为95%。在调查问卷中，学生希望增加课时需求最高的是书法社团，可以看出我校学生对书法的浓厚兴趣。每月举办1—2次培训讲座，采取分散、集中相结合的办法，聘请书法家主讲，重点学习书法教育理论、进行书法技艺指导、教材分析、教法研究、现场观摩等，较好的完成年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一级指标</w:t>
            </w:r>
          </w:p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二级指标</w:t>
            </w:r>
          </w:p>
        </w:tc>
        <w:tc>
          <w:tcPr>
            <w:tcW w:w="12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9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年度绩效指标完成情况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产出指标</w:t>
            </w:r>
          </w:p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数量指标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购入毛笔数量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&gt;=1000支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1000支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购入毛边纸数量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&gt;=2000刀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2000刀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购入墨汁瓶数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&gt;=500瓶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500瓶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购入宣纸数量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&gt;=50刀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50刀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采购产品质量合格率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&gt;=100%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到位资金及时支付率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&gt;=100%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成本指标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购入毛笔成本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&lt;=6000元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6000元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购入毛边纸成本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&lt;=20000元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20000元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购入墨汁成本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&lt;=6000元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6000元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购入宣纸成本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&lt;=8000元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8000元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效益指标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提高学生的汉字书写和书法欣赏能力、审美情趣、文化素养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有效提高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完全达到预期效果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受不可抗力因素影响,未能全部达到预期效果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受益学生满意度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&gt;=95%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受不可抗力因素影响,未能完全达到预期效果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100.00分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黑体" w:hAnsi="黑体" w:eastAsia="黑体"/>
          <w:sz w:val="32"/>
          <w:szCs w:val="32"/>
        </w:rPr>
      </w:pPr>
    </w:p>
    <w:tbl>
      <w:tblPr>
        <w:tblStyle w:val="9"/>
        <w:tblW w:w="100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851"/>
        <w:gridCol w:w="1465"/>
        <w:gridCol w:w="1210"/>
        <w:gridCol w:w="1578"/>
        <w:gridCol w:w="1275"/>
        <w:gridCol w:w="971"/>
        <w:gridCol w:w="976"/>
        <w:gridCol w:w="9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4"/>
                <w:lang w:bidi="ar"/>
              </w:rPr>
              <w:t>项  目  支  出  绩  效  自  评  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(2022年度)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84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护眼灯项目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46.00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45.68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45.68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10.00分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45.68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45.68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  上年结转资金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其他资金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年度总体目标</w:t>
            </w: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对学校普通教室、主楼特殊教室、幼儿园教室、机房、实验室、阅览室安装护眼灯，共计575盏，改进学校学生上课环境降低学生用眼疲劳感保护视力，减轻青少年近视发病率。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对学校普通教室、主楼特殊教室、幼儿园教室、机房、实验室、阅览室安装护眼灯，共计575盏，改进学校学生上课环境降低学生用眼疲劳感保护视力，减轻青少年近视发病率。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一级指标</w:t>
            </w:r>
          </w:p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二级指标</w:t>
            </w:r>
          </w:p>
        </w:tc>
        <w:tc>
          <w:tcPr>
            <w:tcW w:w="12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9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年度绩效指标完成情况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产出指标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护眼灯安装教室数量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&gt;=575盏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673盏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产品质量合格率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&gt;=100%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到位资金支付及时率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&gt;=100%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受不可抗力因素影响,未能按计划进行.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每盏灯具平均成本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&lt;=800元/盏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545.5元/盏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效益指标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提升学生视力健康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有效提升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完全达到预期效果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13.5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受不可抗力因素影响,未能按计划进行.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设备使用年限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&gt;=3年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3年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受益学生满意度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&gt;=95%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9.47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受不可抗力因素影响,未能按计划进行.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100.00分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tbl>
      <w:tblPr>
        <w:tblStyle w:val="9"/>
        <w:tblW w:w="100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851"/>
        <w:gridCol w:w="1465"/>
        <w:gridCol w:w="1210"/>
        <w:gridCol w:w="1578"/>
        <w:gridCol w:w="1275"/>
        <w:gridCol w:w="971"/>
        <w:gridCol w:w="976"/>
        <w:gridCol w:w="9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4"/>
                <w:lang w:bidi="ar"/>
              </w:rPr>
              <w:t>项  目  支  出  绩  效  自  评  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(2022年度)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84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教育系统安保服务费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150.00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139.44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139.44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10.00分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139.44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139.44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  上年结转资金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其他资金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年度总体目标</w:t>
            </w: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按照项目的总目标进行绩效考核，绩效考核依据设定的相关考核指标。1.对安保服务项目进行考核，在本年度内顺利完成项目的总体目标，完成率100%。2.安保人员工作认真负责，受到广大师生的好评，满意率可以达到90%以上。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按照项目的总目标进行绩效考核，绩效考核依据设定的相关考核指标。1.对安保服务项目进行考核，在本年度内顺利完成项目的总体目标，完成率100%。2.安保人员工作认真负责，受到广大师生的好评，满意率可以达到90%以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一级指标</w:t>
            </w:r>
          </w:p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二级指标</w:t>
            </w:r>
          </w:p>
        </w:tc>
        <w:tc>
          <w:tcPr>
            <w:tcW w:w="12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9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年度绩效指标完成情况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产出指标</w:t>
            </w:r>
          </w:p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数量指标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保安数量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&gt;=50人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50人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保安每日服务时间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=24小时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24小时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保安持证上岗率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资金发放及时率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保安工资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&lt;=2500元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2500元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效益指标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保障校园师生安全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有效保障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完全达到预期效果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28.5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受不可抗力因素影响，河马泉校区的保安未能全部按计划上岗（主体工程完工后，按要求上岗部分安保人员）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师生满意度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受不可抗力因素影响，河马泉校区的保安未能全部按计划上岗（主体工程完工后，按要求上岗部分安保人员）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100.00分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tbl>
      <w:tblPr>
        <w:tblStyle w:val="9"/>
        <w:tblW w:w="100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851"/>
        <w:gridCol w:w="1465"/>
        <w:gridCol w:w="1210"/>
        <w:gridCol w:w="1578"/>
        <w:gridCol w:w="1275"/>
        <w:gridCol w:w="971"/>
        <w:gridCol w:w="976"/>
        <w:gridCol w:w="9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4"/>
                <w:lang w:bidi="ar"/>
              </w:rPr>
              <w:t>项  目  支  出  绩  效  自  评  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(2022年度)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84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新建市第十三中学校区（九年一贯制学校）建设项目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0.00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871.88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871.88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10.00分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871.88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871.88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  上年结转资金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其他资金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年度总体目标</w:t>
            </w: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确保2022年9月该项目顺利交付使用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2022年9月已达可使用状态,由于疫情影响未正式使用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一级指标</w:t>
            </w:r>
          </w:p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二级指标</w:t>
            </w:r>
          </w:p>
        </w:tc>
        <w:tc>
          <w:tcPr>
            <w:tcW w:w="12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9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年度绩效指标完成情况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产出指标</w:t>
            </w:r>
          </w:p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数量指标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主体完成工程量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&gt;=1291平方米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1291平方米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铺设母线槽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&gt;=94米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94米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工艺安装管道流量计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&gt;=2套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2套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项目验收合格率（%）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&gt;=95%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项目计划完成率（%）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成本指标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主体工程量单位成本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&lt;=4426元/平方米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4426元/平方米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铺设母线槽单位成本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&lt;=6685.88元/米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6685.88元/米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工艺安装管道流量计单位成本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&lt;=37620元/套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37620元/套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效益指标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促进教育均衡化发展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有效促进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完全达到预期效果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受不可抗力因素影响,该项目未能如期投入使用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师生满意度（%）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受不可抗力因素影响,该项目未能如期投入使用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100.00分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tbl>
      <w:tblPr>
        <w:tblStyle w:val="9"/>
        <w:tblW w:w="100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851"/>
        <w:gridCol w:w="1465"/>
        <w:gridCol w:w="1210"/>
        <w:gridCol w:w="1578"/>
        <w:gridCol w:w="1275"/>
        <w:gridCol w:w="971"/>
        <w:gridCol w:w="976"/>
        <w:gridCol w:w="9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4"/>
                <w:lang w:bidi="ar"/>
              </w:rPr>
              <w:t>项  目  支  出  绩  效  自  评  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(2022年度)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84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维修和校园文化建设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乌鲁木齐市第十三中学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63.90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38.40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38.40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10.00分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63.9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38.4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38.4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  上年结转资金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其他资金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年度总体目标</w:t>
            </w: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我校拥有师生3000多人，人员密集，确保师生校园的安全。通过维修改造保障消防水泵不间断供水，高压或临时高压消防给水等保证学校的消防泵房能够正常使用。通过本次维修改造，未来几年消防泵房不会进行大的维修，做到定期检测。确保校园消防安全，保障师生的生命财产安全。</w:t>
            </w:r>
          </w:p>
        </w:tc>
        <w:tc>
          <w:tcPr>
            <w:tcW w:w="4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我校拥有师生3000多人，人员密集，确保师生校园的安全。通过维修改造保障消防水泵不间断供水，高压或临时高压消防给水等保证学校的消防泵房能够正常使用。通过本次维修改造，未来几年消防泵房不会进行大的维修，做到定期检测。确保校园消防安全，保障师生的生命财产安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一级指标</w:t>
            </w:r>
          </w:p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二级指标</w:t>
            </w:r>
          </w:p>
        </w:tc>
        <w:tc>
          <w:tcPr>
            <w:tcW w:w="12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9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年度绩效指标完成情况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产出指标</w:t>
            </w:r>
          </w:p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数量指标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消防泵房维修改造工程量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&gt;=270平方米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270平方米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支付质保金工程数量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&gt;=2个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2个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竣工验收合格率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项目按时完工率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受不可抗力因素影响,未能按计划完成.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成本指标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消防泵房维修改造成本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&lt;=49.2万元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46.88万元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该项目已结算评审，评审价与预算价有差额。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2021年校园环境改造质保金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&lt;=3.17万元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3.17万元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2019年篮球地面硬化改造工程质保金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&lt;=11.53万元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11.53万元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20"/>
              </w:rPr>
              <w:t>效益指标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提升校园消防安全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有效提升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完全达到预期效果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受不可抗力因素影响,秋季校内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改善学校基础设施建设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有效改善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完全达到预期效果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受不可抗力因素影响,未能按计划完成.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师生满意度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&gt;=90%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受不可抗力因素影响,未能完全体现师生满意度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100.00分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bookmarkEnd w:id="0"/>
      <w:bookmarkEnd w:id="1"/>
    </w:tbl>
    <w:p>
      <w:pPr>
        <w:widowControl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lang w:bidi="ug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OqXm5zwAAAAUBAAAPAAAAAAAAAAEAIAAAACIAAABk&#10;cnMvZG93bnJldi54bWxQSwECFAAUAAAACACHTuJA6rY5ptYBAACyAwAADgAAAAAAAAABACAAAAAe&#10;AQAAZHJzL2Uyb0RvYy54bWxQSwUGAAAAAAYABgBZAQAAZ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RjMTk2M2ZkYzFjZDdkZWQ2N2Q2M2JmOGJmODU5ZWQifQ=="/>
  </w:docVars>
  <w:rsids>
    <w:rsidRoot w:val="00312C27"/>
    <w:rsid w:val="00012F23"/>
    <w:rsid w:val="00021E76"/>
    <w:rsid w:val="000229DC"/>
    <w:rsid w:val="0002765D"/>
    <w:rsid w:val="0003297B"/>
    <w:rsid w:val="00036AC5"/>
    <w:rsid w:val="0005626F"/>
    <w:rsid w:val="00090520"/>
    <w:rsid w:val="000A0B31"/>
    <w:rsid w:val="000E7B17"/>
    <w:rsid w:val="00135BB7"/>
    <w:rsid w:val="0016194B"/>
    <w:rsid w:val="001762A3"/>
    <w:rsid w:val="001C3354"/>
    <w:rsid w:val="001E2E2D"/>
    <w:rsid w:val="00215836"/>
    <w:rsid w:val="00221441"/>
    <w:rsid w:val="00224B57"/>
    <w:rsid w:val="00240AA1"/>
    <w:rsid w:val="00271C68"/>
    <w:rsid w:val="00294495"/>
    <w:rsid w:val="0029483B"/>
    <w:rsid w:val="002A2698"/>
    <w:rsid w:val="002D1584"/>
    <w:rsid w:val="003048E9"/>
    <w:rsid w:val="00312C27"/>
    <w:rsid w:val="00366326"/>
    <w:rsid w:val="003A21C7"/>
    <w:rsid w:val="003B1B1F"/>
    <w:rsid w:val="003C2E0F"/>
    <w:rsid w:val="003F1325"/>
    <w:rsid w:val="003F3219"/>
    <w:rsid w:val="00436039"/>
    <w:rsid w:val="00484954"/>
    <w:rsid w:val="004C4A14"/>
    <w:rsid w:val="004D41E0"/>
    <w:rsid w:val="00517943"/>
    <w:rsid w:val="00531F92"/>
    <w:rsid w:val="00556D35"/>
    <w:rsid w:val="00561710"/>
    <w:rsid w:val="00571ACE"/>
    <w:rsid w:val="00572CBD"/>
    <w:rsid w:val="005A07B6"/>
    <w:rsid w:val="005A161C"/>
    <w:rsid w:val="005B643B"/>
    <w:rsid w:val="005D0AD9"/>
    <w:rsid w:val="005D1C2D"/>
    <w:rsid w:val="005E3B4A"/>
    <w:rsid w:val="0060159A"/>
    <w:rsid w:val="00656E06"/>
    <w:rsid w:val="00665BE8"/>
    <w:rsid w:val="006B52D5"/>
    <w:rsid w:val="006C27D5"/>
    <w:rsid w:val="006C2D78"/>
    <w:rsid w:val="006D1EE8"/>
    <w:rsid w:val="006E797E"/>
    <w:rsid w:val="006F4050"/>
    <w:rsid w:val="006F66CC"/>
    <w:rsid w:val="00752DF5"/>
    <w:rsid w:val="00753B65"/>
    <w:rsid w:val="007649BA"/>
    <w:rsid w:val="007A247A"/>
    <w:rsid w:val="007A31DF"/>
    <w:rsid w:val="007B559C"/>
    <w:rsid w:val="007D31C5"/>
    <w:rsid w:val="007D49F4"/>
    <w:rsid w:val="007F2258"/>
    <w:rsid w:val="0081064F"/>
    <w:rsid w:val="0084474D"/>
    <w:rsid w:val="0089722A"/>
    <w:rsid w:val="008A0B2C"/>
    <w:rsid w:val="008A44AF"/>
    <w:rsid w:val="008B33C8"/>
    <w:rsid w:val="00926C84"/>
    <w:rsid w:val="00927CCC"/>
    <w:rsid w:val="00955F5A"/>
    <w:rsid w:val="00986787"/>
    <w:rsid w:val="00A22AE4"/>
    <w:rsid w:val="00A3556A"/>
    <w:rsid w:val="00A87103"/>
    <w:rsid w:val="00AE6EE9"/>
    <w:rsid w:val="00B33BF0"/>
    <w:rsid w:val="00B4517D"/>
    <w:rsid w:val="00B92C80"/>
    <w:rsid w:val="00BA3B30"/>
    <w:rsid w:val="00BD5200"/>
    <w:rsid w:val="00BE4763"/>
    <w:rsid w:val="00BF7AA6"/>
    <w:rsid w:val="00C0408D"/>
    <w:rsid w:val="00C65103"/>
    <w:rsid w:val="00C72285"/>
    <w:rsid w:val="00C770FB"/>
    <w:rsid w:val="00C77B7E"/>
    <w:rsid w:val="00C90C12"/>
    <w:rsid w:val="00CA6634"/>
    <w:rsid w:val="00CB036E"/>
    <w:rsid w:val="00CD09F6"/>
    <w:rsid w:val="00CD3225"/>
    <w:rsid w:val="00CF7E34"/>
    <w:rsid w:val="00D020FB"/>
    <w:rsid w:val="00D41FF8"/>
    <w:rsid w:val="00D6267B"/>
    <w:rsid w:val="00D76208"/>
    <w:rsid w:val="00E04D53"/>
    <w:rsid w:val="00E2268A"/>
    <w:rsid w:val="00E25E17"/>
    <w:rsid w:val="00E3623A"/>
    <w:rsid w:val="00E45222"/>
    <w:rsid w:val="00EB34D7"/>
    <w:rsid w:val="00EC60C6"/>
    <w:rsid w:val="00EE4EA5"/>
    <w:rsid w:val="00F20986"/>
    <w:rsid w:val="00F20EB6"/>
    <w:rsid w:val="00F26856"/>
    <w:rsid w:val="00F30DDE"/>
    <w:rsid w:val="00F66B7F"/>
    <w:rsid w:val="00F8314A"/>
    <w:rsid w:val="034D4FEF"/>
    <w:rsid w:val="043E5B56"/>
    <w:rsid w:val="06792773"/>
    <w:rsid w:val="0A7B4867"/>
    <w:rsid w:val="0AE83DE6"/>
    <w:rsid w:val="0B8C3ECC"/>
    <w:rsid w:val="0BBA0A81"/>
    <w:rsid w:val="0C7227A7"/>
    <w:rsid w:val="0F3317C1"/>
    <w:rsid w:val="12386E6F"/>
    <w:rsid w:val="14155180"/>
    <w:rsid w:val="15F06E99"/>
    <w:rsid w:val="1C7A04C1"/>
    <w:rsid w:val="1DAF458D"/>
    <w:rsid w:val="20DD6197"/>
    <w:rsid w:val="21A91B81"/>
    <w:rsid w:val="222A65E3"/>
    <w:rsid w:val="23BC04D2"/>
    <w:rsid w:val="23FB0802"/>
    <w:rsid w:val="277F0ACA"/>
    <w:rsid w:val="27CF2642"/>
    <w:rsid w:val="28810E2C"/>
    <w:rsid w:val="2A053397"/>
    <w:rsid w:val="2D1136DF"/>
    <w:rsid w:val="2DD47676"/>
    <w:rsid w:val="2E743C6A"/>
    <w:rsid w:val="2F916B46"/>
    <w:rsid w:val="2FD27414"/>
    <w:rsid w:val="2FD45ADE"/>
    <w:rsid w:val="31C63837"/>
    <w:rsid w:val="35FB19DD"/>
    <w:rsid w:val="3914510A"/>
    <w:rsid w:val="3B12207E"/>
    <w:rsid w:val="3B3C07D5"/>
    <w:rsid w:val="3D2A665C"/>
    <w:rsid w:val="3D5275AC"/>
    <w:rsid w:val="40834692"/>
    <w:rsid w:val="41A84A67"/>
    <w:rsid w:val="448437A4"/>
    <w:rsid w:val="44F4368F"/>
    <w:rsid w:val="454126C2"/>
    <w:rsid w:val="45E16709"/>
    <w:rsid w:val="46901EEE"/>
    <w:rsid w:val="469C74D2"/>
    <w:rsid w:val="471F62C3"/>
    <w:rsid w:val="47A53BB1"/>
    <w:rsid w:val="49B933AA"/>
    <w:rsid w:val="4A0D48D9"/>
    <w:rsid w:val="4A6B0F8B"/>
    <w:rsid w:val="4B4C0111"/>
    <w:rsid w:val="50DB5F45"/>
    <w:rsid w:val="52F92565"/>
    <w:rsid w:val="55CE6BE9"/>
    <w:rsid w:val="57E43B01"/>
    <w:rsid w:val="583059FA"/>
    <w:rsid w:val="5ABB586A"/>
    <w:rsid w:val="5FA17648"/>
    <w:rsid w:val="61A46A97"/>
    <w:rsid w:val="62DD7D21"/>
    <w:rsid w:val="65D97752"/>
    <w:rsid w:val="68416268"/>
    <w:rsid w:val="68DB0208"/>
    <w:rsid w:val="69AD798C"/>
    <w:rsid w:val="6B68175F"/>
    <w:rsid w:val="6E0F7A08"/>
    <w:rsid w:val="71473612"/>
    <w:rsid w:val="718F7F65"/>
    <w:rsid w:val="73F7554E"/>
    <w:rsid w:val="73FB6630"/>
    <w:rsid w:val="74E76DCD"/>
    <w:rsid w:val="77ED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toc 3"/>
    <w:basedOn w:val="1"/>
    <w:next w:val="1"/>
    <w:qFormat/>
    <w:uiPriority w:val="0"/>
    <w:pPr>
      <w:ind w:left="840" w:leftChars="400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toc 2"/>
    <w:basedOn w:val="1"/>
    <w:next w:val="1"/>
    <w:qFormat/>
    <w:uiPriority w:val="0"/>
    <w:pPr>
      <w:ind w:left="420" w:leftChars="200"/>
    </w:p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paragraph" w:customStyle="1" w:styleId="12">
    <w:name w:val="WPSOffice手动目录 3"/>
    <w:qFormat/>
    <w:uiPriority w:val="0"/>
    <w:pPr>
      <w:ind w:left="400" w:leftChars="400"/>
    </w:pPr>
    <w:rPr>
      <w:rFonts w:ascii="Times New Roman" w:hAnsi="Times New Roman" w:eastAsia="宋体" w:cs="Times New Roman"/>
      <w:lang w:val="en-US" w:eastAsia="zh-CN" w:bidi="ug-CN"/>
    </w:rPr>
  </w:style>
  <w:style w:type="paragraph" w:customStyle="1" w:styleId="13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ug-CN"/>
    </w:rPr>
  </w:style>
  <w:style w:type="paragraph" w:customStyle="1" w:styleId="14">
    <w:name w:val="WPSOffice手动目录 1"/>
    <w:qFormat/>
    <w:uiPriority w:val="0"/>
    <w:rPr>
      <w:rFonts w:ascii="Times New Roman" w:hAnsi="Times New Roman" w:eastAsia="宋体" w:cs="Times New Roman"/>
      <w:lang w:val="en-US" w:eastAsia="zh-CN" w:bidi="ug-CN"/>
    </w:rPr>
  </w:style>
  <w:style w:type="character" w:customStyle="1" w:styleId="15">
    <w:name w:val="批注框文本 字符"/>
    <w:basedOn w:val="10"/>
    <w:link w:val="4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07355D-8A2E-46FF-ACBA-83C875E28B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43</Pages>
  <Words>3014</Words>
  <Characters>17181</Characters>
  <Lines>143</Lines>
  <Paragraphs>40</Paragraphs>
  <TotalTime>9</TotalTime>
  <ScaleCrop>false</ScaleCrop>
  <LinksUpToDate>false</LinksUpToDate>
  <CharactersWithSpaces>20155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2023-08-31T04:29:00Z</dcterms:created>
  <dc:creator>GXR</dc:creator>
  <cp:lastModifiedBy>Administrator</cp:lastModifiedBy>
  <dcterms:modified xsi:type="dcterms:W3CDTF">2024-03-22T05:24:35Z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450F969ACD1B426EA23123C3601580AE_13</vt:lpwstr>
  </property>
</Properties>
</file>