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0" w:lineRule="exact"/>
        <w:jc w:val="left"/>
        <w:rPr>
          <w:rFonts w:ascii="仿宋" w:hAnsi="仿宋" w:eastAsia="仿宋" w:cs="宋体"/>
          <w:kern w:val="0"/>
          <w:sz w:val="32"/>
          <w:szCs w:val="32"/>
        </w:rPr>
      </w:pPr>
      <w:bookmarkStart w:id="0" w:name="_GoBack"/>
      <w:bookmarkEnd w:id="0"/>
      <w:r>
        <w:rPr>
          <w:rFonts w:hint="eastAsia" w:ascii="仿宋" w:hAnsi="仿宋" w:eastAsia="仿宋" w:cs="宋体"/>
          <w:kern w:val="0"/>
          <w:sz w:val="32"/>
          <w:szCs w:val="32"/>
        </w:rPr>
        <w:t>附件</w:t>
      </w:r>
      <w:r>
        <w:rPr>
          <w:rFonts w:eastAsia="仿宋"/>
          <w:kern w:val="0"/>
          <w:sz w:val="32"/>
          <w:szCs w:val="32"/>
        </w:rPr>
        <w:t>2</w:t>
      </w:r>
      <w:r>
        <w:rPr>
          <w:rFonts w:hint="eastAsia" w:ascii="仿宋" w:hAnsi="仿宋" w:eastAsia="仿宋" w:cs="宋体"/>
          <w:kern w:val="0"/>
          <w:sz w:val="32"/>
          <w:szCs w:val="32"/>
        </w:rPr>
        <w:t>：</w:t>
      </w: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40" w:lineRule="exact"/>
        <w:jc w:val="center"/>
        <w:rPr>
          <w:rFonts w:ascii="华文中宋" w:hAnsi="华文中宋" w:eastAsia="华文中宋" w:cs="宋体"/>
          <w:b/>
          <w:kern w:val="0"/>
          <w:sz w:val="52"/>
          <w:szCs w:val="52"/>
        </w:rPr>
      </w:pPr>
    </w:p>
    <w:p>
      <w:pPr>
        <w:spacing w:line="560" w:lineRule="exact"/>
        <w:jc w:val="center"/>
        <w:rPr>
          <w:rFonts w:ascii="方正小标宋_GBK" w:hAnsi="华文中宋" w:eastAsia="方正小标宋_GBK" w:cs="宋体"/>
          <w:b/>
          <w:kern w:val="0"/>
          <w:sz w:val="52"/>
          <w:szCs w:val="52"/>
        </w:rPr>
      </w:pPr>
      <w:r>
        <w:rPr>
          <w:rFonts w:hint="eastAsia" w:ascii="方正小标宋_GBK" w:hAnsi="华文中宋" w:eastAsia="方正小标宋_GBK" w:cs="宋体"/>
          <w:b/>
          <w:kern w:val="0"/>
          <w:sz w:val="52"/>
          <w:szCs w:val="52"/>
        </w:rPr>
        <w:t>项目支出绩效自评报告</w:t>
      </w:r>
    </w:p>
    <w:p>
      <w:pPr>
        <w:spacing w:line="540" w:lineRule="exact"/>
        <w:jc w:val="center"/>
        <w:rPr>
          <w:rFonts w:ascii="华文中宋" w:hAnsi="华文中宋" w:eastAsia="华文中宋" w:cs="宋体"/>
          <w:b/>
          <w:kern w:val="0"/>
          <w:sz w:val="52"/>
          <w:szCs w:val="52"/>
        </w:rPr>
      </w:pPr>
    </w:p>
    <w:p>
      <w:pPr>
        <w:spacing w:line="540" w:lineRule="exact"/>
        <w:jc w:val="center"/>
        <w:rPr>
          <w:rFonts w:hAnsi="宋体" w:eastAsia="仿宋_GB2312" w:cs="宋体"/>
          <w:kern w:val="0"/>
          <w:sz w:val="36"/>
          <w:szCs w:val="36"/>
        </w:rPr>
      </w:pPr>
      <w:r>
        <w:rPr>
          <w:rFonts w:hint="eastAsia" w:hAnsi="宋体" w:eastAsia="仿宋_GB2312" w:cs="宋体"/>
          <w:kern w:val="0"/>
          <w:sz w:val="36"/>
          <w:szCs w:val="36"/>
        </w:rPr>
        <w:t xml:space="preserve">（   </w:t>
      </w:r>
      <w:r>
        <w:rPr>
          <w:rStyle w:val="18"/>
          <w:rFonts w:eastAsia="楷体"/>
          <w:spacing w:val="-4"/>
          <w:sz w:val="32"/>
          <w:szCs w:val="32"/>
        </w:rPr>
        <w:t>2025</w:t>
      </w:r>
      <w:r>
        <w:rPr>
          <w:rFonts w:hint="eastAsia" w:hAnsi="宋体" w:eastAsia="仿宋_GB2312" w:cs="宋体"/>
          <w:kern w:val="0"/>
          <w:sz w:val="36"/>
          <w:szCs w:val="36"/>
        </w:rPr>
        <w:t xml:space="preserve">  年度）</w:t>
      </w: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jc w:val="center"/>
        <w:rPr>
          <w:rFonts w:hAnsi="宋体" w:eastAsia="仿宋_GB2312" w:cs="宋体"/>
          <w:kern w:val="0"/>
          <w:sz w:val="30"/>
          <w:szCs w:val="30"/>
        </w:rPr>
      </w:pPr>
    </w:p>
    <w:p>
      <w:pPr>
        <w:spacing w:line="540" w:lineRule="exact"/>
        <w:rPr>
          <w:rFonts w:hAnsi="宋体" w:eastAsia="仿宋_GB2312" w:cs="宋体"/>
          <w:kern w:val="0"/>
          <w:sz w:val="30"/>
          <w:szCs w:val="30"/>
        </w:rPr>
      </w:pPr>
    </w:p>
    <w:p>
      <w:pPr>
        <w:spacing w:line="700" w:lineRule="exact"/>
        <w:jc w:val="left"/>
        <w:rPr>
          <w:rFonts w:hAnsi="宋体" w:eastAsia="仿宋_GB2312" w:cs="宋体"/>
          <w:kern w:val="0"/>
          <w:sz w:val="36"/>
          <w:szCs w:val="36"/>
        </w:rPr>
      </w:pPr>
      <w:r>
        <w:rPr>
          <w:rFonts w:hint="eastAsia" w:hAnsi="宋体" w:eastAsia="仿宋_GB2312" w:cs="宋体"/>
          <w:kern w:val="0"/>
          <w:sz w:val="36"/>
          <w:szCs w:val="36"/>
        </w:rPr>
        <w:t xml:space="preserve">     </w:t>
      </w:r>
    </w:p>
    <w:p>
      <w:pPr>
        <w:spacing w:line="700" w:lineRule="exact"/>
        <w:ind w:firstLine="900" w:firstLineChars="250"/>
        <w:jc w:val="left"/>
        <w:rPr>
          <w:rFonts w:hAnsi="宋体" w:eastAsia="仿宋_GB2312" w:cs="宋体"/>
          <w:kern w:val="0"/>
          <w:sz w:val="36"/>
          <w:szCs w:val="36"/>
        </w:rPr>
      </w:pPr>
      <w:r>
        <w:rPr>
          <w:rFonts w:hint="eastAsia" w:hAnsi="宋体" w:eastAsia="仿宋_GB2312" w:cs="宋体"/>
          <w:kern w:val="0"/>
          <w:sz w:val="36"/>
          <w:szCs w:val="36"/>
        </w:rPr>
        <w:t>项目名称：</w:t>
      </w:r>
      <w:r>
        <w:rPr>
          <w:rStyle w:val="18"/>
          <w:rFonts w:hint="eastAsia" w:ascii="楷体" w:hAnsi="楷体" w:eastAsia="楷体"/>
          <w:spacing w:val="-4"/>
          <w:sz w:val="32"/>
          <w:szCs w:val="32"/>
        </w:rPr>
        <w:t>运维保障经费</w:t>
      </w:r>
    </w:p>
    <w:p>
      <w:pPr>
        <w:spacing w:line="540" w:lineRule="exact"/>
        <w:ind w:firstLine="567"/>
        <w:rPr>
          <w:rFonts w:ascii="楷体" w:hAnsi="楷体" w:eastAsia="楷体"/>
          <w:b/>
          <w:bCs/>
          <w:spacing w:val="-4"/>
          <w:sz w:val="32"/>
          <w:szCs w:val="32"/>
        </w:rPr>
      </w:pPr>
      <w:r>
        <w:rPr>
          <w:rFonts w:hint="eastAsia" w:hAnsi="宋体" w:eastAsia="仿宋_GB2312" w:cs="宋体"/>
          <w:kern w:val="0"/>
          <w:sz w:val="36"/>
          <w:szCs w:val="36"/>
        </w:rPr>
        <w:t xml:space="preserve">  实施单位（公章）：</w:t>
      </w:r>
      <w:r>
        <w:rPr>
          <w:rStyle w:val="18"/>
          <w:rFonts w:hint="eastAsia" w:ascii="楷体" w:hAnsi="楷体" w:eastAsia="楷体"/>
          <w:spacing w:val="-4"/>
          <w:sz w:val="28"/>
          <w:szCs w:val="28"/>
        </w:rPr>
        <w:t>乌鲁木齐市人民政府办公室</w:t>
      </w:r>
    </w:p>
    <w:p>
      <w:pPr>
        <w:spacing w:line="540" w:lineRule="exact"/>
        <w:ind w:firstLine="900" w:firstLineChars="250"/>
        <w:rPr>
          <w:rFonts w:ascii="楷体" w:hAnsi="楷体" w:eastAsia="楷体"/>
          <w:b/>
          <w:bCs/>
          <w:spacing w:val="-4"/>
          <w:sz w:val="28"/>
          <w:szCs w:val="28"/>
        </w:rPr>
      </w:pPr>
      <w:r>
        <w:rPr>
          <w:rFonts w:hint="eastAsia" w:hAnsi="宋体" w:eastAsia="仿宋_GB2312" w:cs="宋体"/>
          <w:kern w:val="0"/>
          <w:sz w:val="36"/>
          <w:szCs w:val="36"/>
        </w:rPr>
        <w:t>主管部门（公章）：</w:t>
      </w:r>
      <w:r>
        <w:rPr>
          <w:rStyle w:val="18"/>
          <w:rFonts w:hint="eastAsia" w:ascii="楷体" w:hAnsi="楷体" w:eastAsia="楷体"/>
          <w:spacing w:val="-4"/>
          <w:sz w:val="28"/>
          <w:szCs w:val="28"/>
        </w:rPr>
        <w:t>乌鲁木齐市人民政府办公室</w:t>
      </w:r>
    </w:p>
    <w:p>
      <w:pPr>
        <w:spacing w:line="540" w:lineRule="exact"/>
        <w:ind w:firstLine="900" w:firstLineChars="250"/>
        <w:rPr>
          <w:rFonts w:ascii="楷体" w:hAnsi="楷体" w:eastAsia="楷体"/>
          <w:b/>
          <w:bCs/>
          <w:spacing w:val="-4"/>
          <w:sz w:val="32"/>
          <w:szCs w:val="32"/>
        </w:rPr>
      </w:pPr>
      <w:r>
        <w:rPr>
          <w:rFonts w:hint="eastAsia" w:hAnsi="宋体" w:eastAsia="仿宋_GB2312" w:cs="宋体"/>
          <w:kern w:val="0"/>
          <w:sz w:val="36"/>
          <w:szCs w:val="36"/>
        </w:rPr>
        <w:t>项目负责人（签章）：</w:t>
      </w:r>
      <w:r>
        <w:rPr>
          <w:rStyle w:val="18"/>
          <w:rFonts w:hint="eastAsia" w:ascii="楷体" w:hAnsi="楷体" w:eastAsia="楷体"/>
          <w:spacing w:val="-4"/>
          <w:sz w:val="32"/>
          <w:szCs w:val="32"/>
        </w:rPr>
        <w:t>白明 、秦毅</w:t>
      </w:r>
    </w:p>
    <w:p>
      <w:pPr>
        <w:spacing w:line="540" w:lineRule="exact"/>
        <w:ind w:left="273" w:firstLine="567"/>
        <w:rPr>
          <w:rStyle w:val="18"/>
          <w:rFonts w:ascii="楷体" w:hAnsi="楷体" w:eastAsia="楷体"/>
          <w:spacing w:val="-4"/>
          <w:sz w:val="32"/>
          <w:szCs w:val="32"/>
        </w:rPr>
      </w:pPr>
      <w:r>
        <w:rPr>
          <w:rFonts w:hint="eastAsia" w:hAnsi="宋体" w:eastAsia="仿宋_GB2312" w:cs="宋体"/>
          <w:kern w:val="0"/>
          <w:sz w:val="36"/>
          <w:szCs w:val="36"/>
        </w:rPr>
        <w:t>填报时间：</w:t>
      </w:r>
      <w:r>
        <w:rPr>
          <w:rStyle w:val="18"/>
          <w:rFonts w:eastAsia="楷体"/>
          <w:spacing w:val="-4"/>
          <w:sz w:val="32"/>
          <w:szCs w:val="32"/>
        </w:rPr>
        <w:t>2026年04月22日</w:t>
      </w:r>
    </w:p>
    <w:p>
      <w:pPr>
        <w:spacing w:line="700" w:lineRule="exact"/>
        <w:ind w:firstLine="708" w:firstLineChars="236"/>
        <w:jc w:val="left"/>
        <w:rPr>
          <w:rFonts w:hAnsi="宋体" w:eastAsia="仿宋_GB2312" w:cs="宋体"/>
          <w:kern w:val="0"/>
          <w:sz w:val="30"/>
          <w:szCs w:val="30"/>
        </w:rPr>
      </w:pPr>
    </w:p>
    <w:p>
      <w:pPr>
        <w:spacing w:line="540" w:lineRule="exact"/>
        <w:rPr>
          <w:rStyle w:val="18"/>
          <w:rFonts w:ascii="黑体" w:hAnsi="黑体" w:eastAsia="黑体"/>
          <w:b w:val="0"/>
          <w:spacing w:val="-4"/>
          <w:sz w:val="32"/>
          <w:szCs w:val="32"/>
        </w:rPr>
      </w:pP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一、基本情况</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（一）项目概况</w:t>
      </w:r>
    </w:p>
    <w:p>
      <w:pPr>
        <w:spacing w:line="540" w:lineRule="exact"/>
        <w:ind w:firstLine="624" w:firstLineChars="200"/>
        <w:rPr>
          <w:rStyle w:val="18"/>
          <w:rFonts w:eastAsia="楷体"/>
          <w:b w:val="0"/>
          <w:bCs w:val="0"/>
          <w:spacing w:val="-4"/>
          <w:sz w:val="32"/>
          <w:szCs w:val="32"/>
        </w:rPr>
      </w:pPr>
      <w:r>
        <w:rPr>
          <w:rStyle w:val="18"/>
          <w:rFonts w:eastAsia="楷体"/>
          <w:b w:val="0"/>
          <w:bCs w:val="0"/>
          <w:spacing w:val="-4"/>
          <w:sz w:val="32"/>
          <w:szCs w:val="32"/>
        </w:rPr>
        <w:t>1. 项目背景</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市政府中心机房建于2008年，是我市电子政务工作的核心基础设施，也是上连自治区、下达各区（县）及各部门的重要网络枢纽，承载着乌鲁木齐市人民政府门户网站群平台、乌鲁木齐市政府协同办公平台、乌鲁木齐市应急管理平台等多个重要应用系统。随着网络安全形势日益严峻，机房软硬件方面暴露出较多安全风险，包括机房物理环境问题、网络安全问题、政府网站安全问题等。</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为保障市政府中心机房安全稳定运转、确保市人民政府门户网站全年正常运行，根据《国家政务信息化项目建设管理办法》（国办发〔2019〕57号）、《信息安全等级保护管理办法》（公通字〔2007〕43号）、《信息安全技术 网络安全等级保护基本要求》（GB/T 22239-2019）及《政务信息系统密码应用与安全性评估工作指南》（2020版）等规定，设立运维保障经费项目，用于市政府办公室总值班室办公设备采购维护及市人民政府网保障、市政府中心机房运行维护等支出，通过常态化运维保障和必要的设备更新升级，全面提升政府网站服务水平及应急指挥信息化保障能力。</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2.主要内容</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主要用于保障2025年度乌鲁木齐市人民政府办公室运维保障工作的顺利实施。资金支出范围主要包括以下两个方面：一是市政府办公室总值班室办公设备采购维护费用，主要用于视频终端设备采购、场地维修、线路整改等支出；二是市人民政府网保障和市政府中心机房运行维护经费，主要用于政府门户网站运维服务、网络等级保护测评服务、网站群与政务新媒体常态化检测、系统漏洞扫描修复等运维服务支出。</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3.实施情况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实施主体：乌鲁木齐市人民政府办公室。</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实施时间：本项目实施时间为2025年01月—2025年12月。</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实施情况：本项目严格对标年度工作部署，紧扣财政预算管理相关规定规范组织实施。项目前期筹备阶段，严格依据《项目申报书》明确的建设内容与测算标准，结合上年度合同履约成效及本年度实际运维工作需求，科学精准编制各项经费预算；预算方案经党组会集体研究、集中审议通过后，按程序上报财政部门审核批复。</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实施期间，多措并举筑牢运维安全防线。政府门户网站运维全面落实网络安全防护举措，常态化开展漏洞扫描、渗透测试等安全检测，配齐部署防火墙、入侵检测、安全审计等防护设备，切实防范化解网络安全风险，有效抵御各类网络攻击。中心机房维保严格落实等级保护测评要求，常态化开展巡检养护，保障硬件设备平稳运行、长效可靠。同步按既定计划完成视频会议系统、总值班室配套设备的采购与维保工作，夯实政务运行基础保障。项目资金全程实行闭环管理，严格遵照预算批复指标及单位财务管理制度规范列支，专款专用、依规使用，全面保障资金支出合法合规、管理安全规范、使用高效集约。</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4.项目实施主体</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单位情况：本项目实施单位为乌鲁木齐市人民政府办公室，是市人民政府的工作部门，承担着市人民政府日常工作的综合协调、公文处理、会议组织、督促检查、政务公开、电子政务及政府门户网站建设管理等重要职能。其主要职责包括但不限于：负责市人民政府日常文电处理，承担文件文稿的草拟、修改、审核和制发工作；负责市人民政府召开会议的筹备、组织和服务工作；负责市人民政府系统电子政务内网的统筹规划、运行管理及全市人民政府门户网站建设管理。本项目主要由总值班室、电子政务中心共同负责实施，总值班室负责相关办公设备采购维护费用的计划申报工作，综合三科（翻译科）负责市人民政府网保障和市政府中心机房运行维护经费的计划申报工作。</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项目管理架构：为确保项目顺利实施，为确保项目顺利实施，市政府办公室建立项目实施统筹协调机制，明确由项目负责人牵头统筹，总值班室、电子政务中心、综合三科（翻译科）、财务审计科分工协作、联动推进，形成业务实施、技术保障、预算管理、资金支付全流程协同工作格局。总值班室、电子政务中心具体承担机房运维、网站保障、设备采购维护等现场实施与技术保障工作，综合三科（翻译科）负责项目整体统筹、计划衔接、进度跟踪与绩效管控，各科室定期对接工作进展、协调解决实施堵点问题，保障项目运维保障、安全防护、设备更新等各项任务按计划规范推进。</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5.资金投入和使用情况</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（1）项目资金安排落实、总投入等情况分析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本项目预算安排总额为119.40万元，资金来源为本级部门预算，其中：财政资金119.40万元，其他资金0.00万元，2025年实际收到预算资金119.40万元，预算资金到位率为100%。</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（2）项目资金实际使用情况分析</w:t>
      </w:r>
      <w:r>
        <w:rPr>
          <w:rStyle w:val="18"/>
          <w:rFonts w:eastAsia="楷体"/>
          <w:b w:val="0"/>
          <w:bCs w:val="0"/>
          <w:spacing w:val="-4"/>
          <w:sz w:val="32"/>
          <w:szCs w:val="32"/>
        </w:rPr>
        <w:cr/>
      </w:r>
      <w:r>
        <w:rPr>
          <w:rStyle w:val="18"/>
          <w:rFonts w:eastAsia="楷体"/>
          <w:b w:val="0"/>
          <w:bCs w:val="0"/>
          <w:spacing w:val="-4"/>
          <w:sz w:val="32"/>
          <w:szCs w:val="32"/>
        </w:rPr>
        <w:br w:type="textWrapping"/>
      </w:r>
      <w:r>
        <w:rPr>
          <w:rStyle w:val="18"/>
          <w:rFonts w:eastAsia="楷体"/>
          <w:b w:val="0"/>
          <w:bCs w:val="0"/>
          <w:spacing w:val="-4"/>
          <w:sz w:val="32"/>
          <w:szCs w:val="32"/>
        </w:rPr>
        <w:t>本项目实际支付资金87.92万元，预算执行率73.63%，结余资金额度31.48万元。本项目资金主要用于支付委托业务费87.92万元。</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（二）项目绩效目标</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1.项目绩效总目标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运维保障经费的规范使用和有效管理，切实保障政府门户网站全年安全平稳运行，按要求开展网络等级保护测评，持续提升网站安全防护水平；保障中心机房设备稳定可靠，落实日常维护和应急保障措施；保障总值班室办公设备正常运行，满足应急指挥和日常值班需求。通过项目实施，有效降低网站及设备故障率，提升网络安全防护能力，为市政府办公室高效履职提供坚实的信息化保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2.年度目标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根据《中华人民共和国预算法》《财政支出绩效评价管理暂行办法》（财预〔2020〕10号）、《中共中央 国务院关于全面实施预算绩效管理的意见》（中发〔2018〕34号）、《自治区党委自治区人民政府关于全面实施预算绩效管理的实施意见》（新党发〔2018〕30号）、《自治区财政支出绩效评价管理暂行办法》（新财预〔2018〕189号）的规定，结合我单位的规章制度以及项目实施和财务相关资料，评价小组对项目绩效指标进行了进一步的完善，完善后绩效指标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（1）项目产出指标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①数量指标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“对市人民政府门户网站服务期”指标，预期指标值为“&gt;=360天”；</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“政府网站全年访问人次”指标，预期指标值为“&gt;=60万人次”；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“全年机房维保次数”指标，预期指标值为“&gt;=95次”；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“维护（或更换）会议视频终端”指标，预期指标值为“=1台”；</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②质量指标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“网站（系统）、（设备）故障率”指标，预期指标值为“&lt;=5%”；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③时效指标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（2）项目成本指标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③生态环境成本指标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（3）项目效益指标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①经济效益指标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②社会效益指标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“有效提高政府网站建设水平，提高为民办事效率”指标，预期指标值为“有效提高”；</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“有效提升市政府办公室总值班室办公效率”指标，预期指标值为“有效提升”；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③生态效益指标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（4）项目满意度指标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无此类指标。</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二、绩效评价工作开展情况</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（一）绩效评价目的、对象和范围</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绩效评价的目的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为全面实施预算绩效管理，建立科学、合理的项目支出绩效评价管理体系，提高财政资源配置效率和使用效益，根据财政部印发《项目支出绩效评价管理办法》（财预〔2020〕10号）、《关于印发〈中央部门项目支出核心绩效目标和指标设置及取值指引（试行）〉的通知》（财预〔2021〕101号）、《关于印发〈自治区项目支出绩效目标设置指引〉的通知》（新财预〔2022〕42号）、《自治区财政支出绩效评价管理暂行办法》（新财预〔2018〕189号）文件精神，开展本次部门项目支出绩效评价工作。通过绩效评价，促进本单位总结经验、发现问题、改进工作，旨在评价本项目前期审批、实施过程及实施效果，促进预算管理不断完善，加快绩效目标的实现，保证财政资金有效、合理使用，具体绩效评价的目的细分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通过部门项目支出绩效评价，进一步严格落实《中华人民共和国预算法》以及党中央、国务院关于加强预算绩效管理的指示精神，建立健全“花钱必问效、无效必问责”的绩效预算管理机制、提升财政资金的使用效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通过部门项目支出绩效评价，进一步完善绩效目标，根据项目绩效目标设立情况，细化形成多维度绩效指标，将绩效指标细化为数量指标、质量指标、时效指标、成本指标、经济效益指标、社会效益指标、可持续影响指标、服务对象满意度指标等内容，保证项目绩效指标设置科学、规范、合理、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通过部门项目支出绩效评价，进一步纠正对绩效管理理解上的偏差，建立更加全面科学的绩效指标体系，督促在预算编制中，将资金申请、绩效目标和具体指标统筹考虑，形成“花钱问效”的责任契约机制，进一步强化预算绩效管理的严肃性和约束力，推动绩效管理向全方位的绩效预算转变，逐步建立“以绩效目标为导向，以绩效评价为手段，以评价结果应用为保障，全方位、全覆盖、全过程”的绩效预算管理新体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通过部门项目支出绩效评价，从绩效的角度发现本项目在决策、实施和管理过程中存在的问题，寻求解决方案，为进一步深化项目管理工作提供依据，促进项目进一步的推进和后期项目维护和评价工作提供更深一步的理论和实际支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2.绩效评价对象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此次我单位根据《财政支出绩效评价管理暂行办法》（财预〔2020〕10号）文件要求实施评价工作，本次评价对象为运维保障经费，评价核心为项目资金、项目产出、项目效益。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3.绩效评价范围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本次评价范围涵盖项目总体绩效目标、各项绩效指标完成情况以及预算执行情况。覆盖项目预算资金支出的所有内容进行评价。包括项目决策、项目实施和项目成果验收流程等。</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（二）绩效评价原则、评价指标体系、评价方法、评价标准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绩效评价原则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依据《中华人民共和国预算法》《中共中央 国务院关于全面实施预算绩效管理的意见》（中发〔2018〕34号）、《项目支出绩效评价管理办法》（财预〔2020〕10号）、《自治区党委自治区人民政府关于全面实施预算绩效管理的实施意见》（新党发〔2018〕30号）、《自治区财政支出绩效评价管理暂行办法》（新财预〔2018〕189号）等要求，绩效评价应遵循如下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（1）科学公正。绩效评价应当运用科学合理的方法，按照规范的程序，对项目绩效进行客观、公正的反映。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统筹兼顾。单位自评、部门评价和财政评价应职责明确，各有侧重，相互衔接。单位自评应由项目单位自主实施，即“谁支出、谁自评”。部门评价和财政评价应在单位自评的基础上开展，必要时可委托第三方机构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（3）激励约束。绩效评价结果应与预算安排、政策调整、改进管理实质性挂钩，体现奖优罚劣和激励相容导向，有效要安排、低效要压减、无效要问责。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（4）公开透明。绩效评价结果应依法依规公开，并自觉接受社会监督。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根据以上原则，绩效评价应遵循如下要求: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（1）在数据采集时，采取客观数据，主管部门审查、社会中介组织复查，与问卷调查相结合的形式，以保证各项指标的真实性。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（2）保证评价结果的真实性、公正性，提高评价报告的公信力。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绩效评价报告应当简明扼要，除了对绩效评价的过程、结果描述外，还应总结经验，指出问题，并就共性问题提出可操作性改进建议。评价工作组本着科学规范、公平公正、绩效相关的原则，采用全面、重点、现场和非现场相结合的方式进行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通过实施资料研读及前期调研，结合项目的实际开展情况，按照《项目支出绩效评价管理办法》（财预〔2020〕10号）文件要求，结合项目特点，经与专家组充分协商，设置指标体系结构如下：设置一级指标共4个，包括：决策指标（21.00%）、过程指标（19.00%）、产出指标（32.00%）、效益指标（28.00%）四类指标。主要围绕资金使用、项目管理、资源配置等方面，客观分析项目的产出和效果，从而考察项目预算定额标准的合理性，进而提出完善意见。整个评价框架构成体现从投入、过程到产出、效果和影响的绩效逻辑路径。详细指标体系见附件1:运维保障经费支出绩效评价指标体系”。</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实际评价过程中根据实际完成情况，对照标准进行量化评分。最终根据总分（满分100分）确定绩效等级：90（含）-100分为“优”、80（含）-90分为“良”、70（含）-80分为“中”、70分以下为“差”。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3.评价方法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方法主要包括成本效益分析法、比较法、因素分析法、最低成本法、公众评判法、标杆管理法等。我单位根据本项目资金的性质和特点，选用比较法、因素分析法、成本效益分析法、实地勘察法以及文献法对项目进行评价，旨在通过综合分析影响绩效目标实现、实施效果的内外部因素，从而评价本项目绩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三级指标分析环节：总体采用比较法，同时辅以文献法、成本效益法以及因素分析法，根据不同三级指标类型进行逐项分析。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①定量指标分析环节：主要采用对比三级指标预期指标值和三级指标截至评价日的完成情况，综合分析绩效目标实现程度。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②定性指标分析环节：主要采用文献法，通过查阅项目实施方案、年度工作总结、相关数据文件等资料，综合评价本项目实施后所产生的社会效益。将结果按照《项目支出绩效评价管理办法》（财预〔2020〕10号）文件要求分为达成年度指标、部分达成年度指标并具有一定效果、未达成年度指标且效果较差三档，分别按照该指标对应分值区间100.00%-80.00%（含）、80.00%-60.00%（含）、60.00%-0.00%合理确定分值，详细评价方法的应用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立项依据充分性：比较法、文献法，查找法律法规政策以及规划，对比实际执行内容和政策支持内容是否匹配。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立项程序规范性：比较法、文献法，查找相关项目设立的政策和文件要求，对比分析实际执行程序是否按照政策及文件要求执行，分析立项程序的规范性。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绩效目标合理性：比较法，对比分析年初编制项目支出绩效目标表与项目内容的相关性、资金的匹配性等。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绩效指标明确性：比较法，比较分析年初编制项目支出绩效目标表是否符合双七原则，是否可衡量。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预算编制科学性：成本效益分析法</w:t>
      </w:r>
      <w:r>
        <w:rPr>
          <w:rStyle w:val="18"/>
          <w:rFonts w:hint="eastAsia" w:eastAsia="楷体"/>
          <w:b w:val="0"/>
          <w:bCs w:val="0"/>
          <w:spacing w:val="-4"/>
          <w:sz w:val="32"/>
          <w:szCs w:val="32"/>
        </w:rPr>
        <w:tab/>
        <w:t>分析在产出一定的情况下，成本取值是否有依据，是否经过询价，是否按照市场最低成本编制。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资金分配合理性：因素分析法，综合分析资金的分配依据是否充分，分配金额是否与项目实施单位需求金额一致，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资金到位率：比较法，资金到位率预期指标值应为100.00%，通过实际计算，分析实际完成值和预期指标值之间的差距和原因。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预算执行率：比较法，预算执行率预期指标值应为100.00%，通过实际计算，分析实际完成值和预期指标值之间的差距和原因。</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资金使用合规性：文献法、实地勘察法，一是查找资金管理办法，包括专项资金管理办法和单位自有资金管理办法；二是通过查账了解具体开支情况，是否专款专用，是否按照标准支出。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管理制度健全性：文献法、比较法，查阅项目实施人员提供的财务和业务管理制度，将已建立的制度与现行的法律法规和政策要求进行对比，分析项目制度的合法性、合规性、完整性。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制度执行有效性：比较法，结合项目实际实施过程性文件，根据已建设的财务管理制度和项目管理制度综合分析制度执行的有效性。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量指标：对市人民政府门户网站服务期、政府网站全年访问人次、全年机房维保次数、维护（或更换）会议视频终端、网站（系统）、（设备）故障率，使用比较法，将实际完成值与年初指标值相比，完成指标值该指标赋全部分值；对完成值高于指标值较多的，要分析原因，如果是由于年初指标值设定明显偏低造成的，要按照偏离度适度调减分值；未完成指标值的，按照完成值与指标值的比例计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定性指标：有效提高政府网站建设水平，提高为民办事效率、有效提升市政府办公室总值班室办公效率，使用文献法，通过查阅项目实施方案、年度工作总结、相关数据文件等资料，综合评价本项目实施后所产生的社会效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4.评价标准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绩效评价标准通常包括计划标准、行业标准、历史标准等。本次绩效评价采用计划标准，以预先制定的目标、计划、预算、定额等作为评价标准，对比分析项目产出、效益的完成情况。定量指标：通过公式等方式予以量化，可以准确衡量，并设定目标值的考核指标；定性指标：通过问卷调查及访谈方式，采集相关数据，运用等级描述法，设置分级标准，体现该指标认可程度的差异。</w:t>
      </w:r>
    </w:p>
    <w:p>
      <w:pPr>
        <w:spacing w:line="540" w:lineRule="exact"/>
        <w:ind w:firstLine="627" w:firstLineChars="200"/>
        <w:rPr>
          <w:rStyle w:val="18"/>
          <w:rFonts w:ascii="楷体" w:hAnsi="楷体" w:eastAsia="楷体"/>
          <w:spacing w:val="-4"/>
          <w:sz w:val="32"/>
          <w:szCs w:val="32"/>
        </w:rPr>
      </w:pPr>
      <w:r>
        <w:rPr>
          <w:rStyle w:val="18"/>
          <w:rFonts w:hint="eastAsia" w:ascii="楷体" w:hAnsi="楷体" w:eastAsia="楷体"/>
          <w:spacing w:val="-4"/>
          <w:sz w:val="32"/>
          <w:szCs w:val="32"/>
        </w:rPr>
        <w:t>（三）绩效评价工作过程</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1. 前期准备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于2026年4月1日，确定绩效评价工作小组，正式开始前期准备工作，通过对评价对象前期调研，确定了评价的目的、方法以及评价的原则，根据项目的内容和特征制定了评价指标体系及评价标准。绩效评价工作小组人员名单及分工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塔依尔·阿布都克热木（评价小组组长）：主要负责绩效评价工作的全面统筹与组织协调，审定评价方案及指标体系，审核评价报告，对评价结论负总责；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游佳 刘慧敏（评价小组组员）：主要负责收集、整理项目相关资料，开展现场调研与数据采集，数据分析与核验，组织实施指标打分，撰写评价报告等。</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6日—4月9日，评价工作进入实施阶段。在数据采集方面，评价小组整理单位前期提交的资料，与项目实施负责人沟通，了解资金的内容、操作流程、管理机制、资金使用方向等情况并采集信息，了解项目设置背景及资金使用等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3.分析评价</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2026年4月10日—4月17日，评价小组按照绩效评价的原则和规范，对取得的资料进行审查核实，对采集的数据进行分析，按照绩效评价指标评分表逐项进行打分、分析、汇总各方评价结果。</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4.撰写与提交评价报告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2026年4月19日—4月24日，评价小组撰写绩效评价报告，按照新疆维吾尔自治区财政绩效管理信息系统绩效评价模块中统一格式和文本框架撰写绩效评价报告并提交审核。</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5.问题整改</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审核通过后，由评价小组将报告推送至项目实施人员，由项目实施人员根据报告评价结论、存在的问题以及改进建议落实问题整改，并形成整改报告，由评价小组负责监督和核查整改落实情况，确保绩效评价落到实处。</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6.档案整理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建立和落实档案管理制度，将项目相关资料存档，包括但不限于：评价项目基本情况和相关文件、评价实施方案、项目支付资料等相关档案。</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三、综合评价情况及评价结论</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（一）综合评价情况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经评价，本项目较大程度达成年初设立的绩效目标，在实施过程中取得了良好的成效，具体表现在以下三方面：</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运维保障任务全面完成，全年完成政府门户网站常态化运维保障365天，网站安全平稳运行率100%；完成视频会议系统优化升级1台，保障各类重大视频会议召开；依托可视化调度系统实现对9个区（县）政府及辖区119个乡镇（街道）全覆盖值班检查共8次，对部分市政府组成部门、直属事业单位抽查180余次。各项工作任务均按计划顺利完成，有效保障了市政府门户网站、中心机房及视频会议系统的稳定运行。</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政府网站服务能力显著提升，群众访问需求得到有效满足。全年政府网站访问量达122.03万人次，网站日常运行平稳、响应及时，网站纳入自治区集约化平台统一管理后，运维保障水平进一步提升，网站影响力不断扩大，政务公开和便民服务效能持续增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运维管理规范有序，社会效益目标全面达成。资金使用合规率和资金支付及时率均达到较高水平，项目实施过程严格按照程序执行，确保了运维服务的质量和效率。通过项目实施，有效提高了政府网站建设水平和为民办事效率，有效提升了市政府办公室总值班室办公效率，为市政府办公室高效履职提供了坚实的技术支撑。</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（二）评价结论</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依据《中共中央国务院关于全面实施预算绩效管理的意见》《项目支出绩效评价管理办法》（财预〔2020〕10号）等文件，绩效评价总分设置为100分，划分为四档：90（含）-100分为“优”、80（含）-90分为“良”、70（含）-80分为“中”、70分以下为“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级绩效评价遵循科学规范、公开公正、绩效相关和问题导向的原则、重点评价项目的资金投入与财务管理、组织管理、产出与效益效果。在此基础上，以相关的项目数据为基础，综合运用不同的评价方法，结合评价标准和评分规则。经评价分析，项目总体实施情况较好，项目综合得分为98.68分，评价结果为优。实际已完成政府门户网站常态化运维保障365天；政府网站全年访问人次达122.03万人次；完成视频会议系统优化升级1台，保障各类重大视频会议召开；全年机房维修95次；网站（系统）、（设备）故障率1.2%，控制在5%以内。项目实际支出87.92万元，通过项目实施全面有效提高了政府网站建设水平，提高为民办事效率；有效提升了市政府办公室总值班室办公效率。具体得分情况如下：</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表3-1 部门单位项目支出绩效评价得分表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指标</w:t>
      </w:r>
      <w:r>
        <w:rPr>
          <w:rStyle w:val="18"/>
          <w:rFonts w:hint="eastAsia" w:eastAsia="楷体"/>
          <w:b w:val="0"/>
          <w:bCs w:val="0"/>
          <w:spacing w:val="-4"/>
          <w:sz w:val="32"/>
          <w:szCs w:val="32"/>
        </w:rPr>
        <w:tab/>
        <w:t>项目决策类</w:t>
      </w:r>
      <w:r>
        <w:rPr>
          <w:rStyle w:val="18"/>
          <w:rFonts w:hint="eastAsia" w:eastAsia="楷体"/>
          <w:b w:val="0"/>
          <w:bCs w:val="0"/>
          <w:spacing w:val="-4"/>
          <w:sz w:val="32"/>
          <w:szCs w:val="32"/>
        </w:rPr>
        <w:tab/>
        <w:t>过程管理类</w:t>
      </w:r>
      <w:r>
        <w:rPr>
          <w:rStyle w:val="18"/>
          <w:rFonts w:hint="eastAsia" w:eastAsia="楷体"/>
          <w:b w:val="0"/>
          <w:bCs w:val="0"/>
          <w:spacing w:val="-4"/>
          <w:sz w:val="32"/>
          <w:szCs w:val="32"/>
        </w:rPr>
        <w:tab/>
        <w:t>项目产出类</w:t>
      </w:r>
      <w:r>
        <w:rPr>
          <w:rStyle w:val="18"/>
          <w:rFonts w:hint="eastAsia" w:eastAsia="楷体"/>
          <w:b w:val="0"/>
          <w:bCs w:val="0"/>
          <w:spacing w:val="-4"/>
          <w:sz w:val="32"/>
          <w:szCs w:val="32"/>
        </w:rPr>
        <w:tab/>
        <w:t>项目效益类</w:t>
      </w:r>
      <w:r>
        <w:rPr>
          <w:rStyle w:val="18"/>
          <w:rFonts w:hint="eastAsia" w:eastAsia="楷体"/>
          <w:b w:val="0"/>
          <w:bCs w:val="0"/>
          <w:spacing w:val="-4"/>
          <w:sz w:val="32"/>
          <w:szCs w:val="32"/>
        </w:rPr>
        <w:tab/>
        <w:t>合计</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权重</w:t>
      </w:r>
      <w:r>
        <w:rPr>
          <w:rStyle w:val="18"/>
          <w:rFonts w:hint="eastAsia" w:eastAsia="楷体"/>
          <w:b w:val="0"/>
          <w:bCs w:val="0"/>
          <w:spacing w:val="-4"/>
          <w:sz w:val="32"/>
          <w:szCs w:val="32"/>
        </w:rPr>
        <w:tab/>
        <w:t>21.00</w:t>
      </w:r>
      <w:r>
        <w:rPr>
          <w:rStyle w:val="18"/>
          <w:rFonts w:hint="eastAsia" w:eastAsia="楷体"/>
          <w:b w:val="0"/>
          <w:bCs w:val="0"/>
          <w:spacing w:val="-4"/>
          <w:sz w:val="32"/>
          <w:szCs w:val="32"/>
        </w:rPr>
        <w:tab/>
        <w:t>19.00</w:t>
      </w:r>
      <w:r>
        <w:rPr>
          <w:rStyle w:val="18"/>
          <w:rFonts w:hint="eastAsia" w:eastAsia="楷体"/>
          <w:b w:val="0"/>
          <w:bCs w:val="0"/>
          <w:spacing w:val="-4"/>
          <w:sz w:val="32"/>
          <w:szCs w:val="32"/>
        </w:rPr>
        <w:tab/>
        <w:t>32.00</w:t>
      </w:r>
      <w:r>
        <w:rPr>
          <w:rStyle w:val="18"/>
          <w:rFonts w:hint="eastAsia" w:eastAsia="楷体"/>
          <w:b w:val="0"/>
          <w:bCs w:val="0"/>
          <w:spacing w:val="-4"/>
          <w:sz w:val="32"/>
          <w:szCs w:val="32"/>
        </w:rPr>
        <w:tab/>
        <w:t>28.00</w:t>
      </w:r>
      <w:r>
        <w:rPr>
          <w:rStyle w:val="18"/>
          <w:rFonts w:hint="eastAsia" w:eastAsia="楷体"/>
          <w:b w:val="0"/>
          <w:bCs w:val="0"/>
          <w:spacing w:val="-4"/>
          <w:sz w:val="32"/>
          <w:szCs w:val="32"/>
        </w:rPr>
        <w:tab/>
        <w:t>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w:t>
      </w:r>
      <w:r>
        <w:rPr>
          <w:rStyle w:val="18"/>
          <w:rFonts w:hint="eastAsia" w:eastAsia="楷体"/>
          <w:b w:val="0"/>
          <w:bCs w:val="0"/>
          <w:spacing w:val="-4"/>
          <w:sz w:val="32"/>
          <w:szCs w:val="32"/>
        </w:rPr>
        <w:tab/>
        <w:t>21.00</w:t>
      </w:r>
      <w:r>
        <w:rPr>
          <w:rStyle w:val="18"/>
          <w:rFonts w:hint="eastAsia" w:eastAsia="楷体"/>
          <w:b w:val="0"/>
          <w:bCs w:val="0"/>
          <w:spacing w:val="-4"/>
          <w:sz w:val="32"/>
          <w:szCs w:val="32"/>
        </w:rPr>
        <w:tab/>
        <w:t>17.68</w:t>
      </w:r>
      <w:r>
        <w:rPr>
          <w:rStyle w:val="18"/>
          <w:rFonts w:hint="eastAsia" w:eastAsia="楷体"/>
          <w:b w:val="0"/>
          <w:bCs w:val="0"/>
          <w:spacing w:val="-4"/>
          <w:sz w:val="32"/>
          <w:szCs w:val="32"/>
        </w:rPr>
        <w:tab/>
        <w:t>32.00</w:t>
      </w:r>
      <w:r>
        <w:rPr>
          <w:rStyle w:val="18"/>
          <w:rFonts w:hint="eastAsia" w:eastAsia="楷体"/>
          <w:b w:val="0"/>
          <w:bCs w:val="0"/>
          <w:spacing w:val="-4"/>
          <w:sz w:val="32"/>
          <w:szCs w:val="32"/>
        </w:rPr>
        <w:tab/>
        <w:t>28.00</w:t>
      </w:r>
      <w:r>
        <w:rPr>
          <w:rStyle w:val="18"/>
          <w:rFonts w:hint="eastAsia" w:eastAsia="楷体"/>
          <w:b w:val="0"/>
          <w:bCs w:val="0"/>
          <w:spacing w:val="-4"/>
          <w:sz w:val="32"/>
          <w:szCs w:val="32"/>
        </w:rPr>
        <w:tab/>
        <w:t>98.68</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得分率</w:t>
      </w:r>
      <w:r>
        <w:rPr>
          <w:rStyle w:val="18"/>
          <w:rFonts w:hint="eastAsia" w:eastAsia="楷体"/>
          <w:b w:val="0"/>
          <w:bCs w:val="0"/>
          <w:spacing w:val="-4"/>
          <w:sz w:val="32"/>
          <w:szCs w:val="32"/>
        </w:rPr>
        <w:tab/>
        <w:t>100.0%</w:t>
      </w:r>
      <w:r>
        <w:rPr>
          <w:rStyle w:val="18"/>
          <w:rFonts w:hint="eastAsia" w:eastAsia="楷体"/>
          <w:b w:val="0"/>
          <w:bCs w:val="0"/>
          <w:spacing w:val="-4"/>
          <w:sz w:val="32"/>
          <w:szCs w:val="32"/>
        </w:rPr>
        <w:tab/>
        <w:t>93.05%</w:t>
      </w:r>
      <w:r>
        <w:rPr>
          <w:rStyle w:val="18"/>
          <w:rFonts w:hint="eastAsia" w:eastAsia="楷体"/>
          <w:b w:val="0"/>
          <w:bCs w:val="0"/>
          <w:spacing w:val="-4"/>
          <w:sz w:val="32"/>
          <w:szCs w:val="32"/>
        </w:rPr>
        <w:tab/>
        <w:t>100.00%</w:t>
      </w:r>
      <w:r>
        <w:rPr>
          <w:rStyle w:val="18"/>
          <w:rFonts w:hint="eastAsia" w:eastAsia="楷体"/>
          <w:b w:val="0"/>
          <w:bCs w:val="0"/>
          <w:spacing w:val="-4"/>
          <w:sz w:val="32"/>
          <w:szCs w:val="32"/>
        </w:rPr>
        <w:tab/>
        <w:t>100.0%</w:t>
      </w:r>
      <w:r>
        <w:rPr>
          <w:rStyle w:val="18"/>
          <w:rFonts w:hint="eastAsia" w:eastAsia="楷体"/>
          <w:b w:val="0"/>
          <w:bCs w:val="0"/>
          <w:spacing w:val="-4"/>
          <w:sz w:val="32"/>
          <w:szCs w:val="32"/>
        </w:rPr>
        <w:tab/>
        <w:t>98.68%</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（三）预算执行进度与绩效指标偏差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年初预算资金总额为119.40万元，全年预算数为119.4万元，全年执行数为87.92万元，预算执行率为73.63%，运维保障经费支出绩效评价指标体系总体完成率为104.26%，项目预算执行率与运维保障经费支出绩效评价指标体系总体完成率之间的偏差为30.63%。</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造成偏差的主要原因是：预算编制时依据历年拨付金额及合同标准进行测算，实际执行中通过精细化管理和资源统筹，部分运维服务支出按合同约定及实际工作进度支付，导致预算执行率低于预期。</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一步改进措施是：下年度预算编制前，由信息科、总值班室等业务科室根据当年实际运维需求和合同履行计划，逐项测算资金需求，避免简单参照历史拨付金额。对按合同进度支付的运维服务费，合理安排支付节点，确保支出进度与合同履行同步。同时，建立预算执行定期分析机制，及时掌握支出进度，对执行中已明确无需支出的经费，及时按程序报请收回，避免资金沉淀。</w:t>
      </w:r>
    </w:p>
    <w:p>
      <w:pPr>
        <w:spacing w:line="540" w:lineRule="exact"/>
        <w:ind w:firstLine="624" w:firstLineChars="200"/>
        <w:rPr>
          <w:rStyle w:val="18"/>
          <w:rFonts w:ascii="黑体" w:hAnsi="黑体" w:eastAsia="黑体"/>
        </w:rPr>
      </w:pPr>
      <w:r>
        <w:rPr>
          <w:rStyle w:val="18"/>
          <w:rFonts w:hint="eastAsia" w:ascii="黑体" w:hAnsi="黑体" w:eastAsia="黑体"/>
          <w:b w:val="0"/>
          <w:spacing w:val="-4"/>
          <w:sz w:val="32"/>
          <w:szCs w:val="32"/>
        </w:rPr>
        <w:t>四、绩效评价指标分析</w:t>
      </w:r>
      <w:r>
        <w:rPr>
          <w:rStyle w:val="18"/>
          <w:rFonts w:hint="eastAsia" w:ascii="黑体" w:hAnsi="黑体" w:eastAsia="黑体"/>
        </w:rPr>
        <w:t xml:space="preserve"> </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（一）</w:t>
      </w:r>
      <w:r>
        <w:rPr>
          <w:rStyle w:val="18"/>
          <w:rFonts w:hint="eastAsia" w:ascii="楷体" w:hAnsi="楷体" w:eastAsia="楷体"/>
          <w:spacing w:val="-4"/>
          <w:sz w:val="32"/>
          <w:szCs w:val="32"/>
        </w:rPr>
        <w:t>项目决策情况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项目决策类指标由3个二级指标和6个三级指标构成，权重分21.00分，实际得分21.00分,得分率为100.00%。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1.项目立项情况分析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（1）立项依据充分性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中华人民共和国网络安全法》中关于关键信息基础设施安全保护的相关要求，符合国家关于加强网络安全防护的政策导向；本项目立项符合《关于解决市政府中心机房及网络安全经费的请示》中：“市政府中心机房是我市电子政务工作的核心基础设施，也是上连自治区、下达各区（县）、各部门的重要网络枢纽”“按照习近平总书记‘没有网络安全就没有国家安全’的要求，加强网络安全防护”等内容，符合行业发展规划和政策要求；</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立项符合《乌鲁木齐市人民政府办公室职能配置、内设机构和人员编制规定》中职责范围中的“负责市人民政府系统电子政务内网的统筹规划、运行管理等工作；负责全市人民政府门户网站建设管理”，属于我单位履职所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根据《财政资金直接支付申请书》，本项目资金性质为“公共财政预算”功能分类为“一般行政管理事务”，经济分类为“商品和服务支出（委托业务费）”属于公共财政支持范围，符合中央、地方事权支出责任划分原则；</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经检查我单位财政应用平台指标，本项目不存在重复。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综上所述，本指标满分为5分，根据评分标准得5分，本项目立项依据充分。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（2）立项程序规范性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为非基础建设类项目，不涉及发改立项批复流程，由我单位自行编制项目实施方案和项目预算申请计划，经过与市政府办公室党组集体研究同意预算方案。经查看，该项目申请设立过程产生的《项目申报书》，符合相关要求。本项目为非基础建设类项目，属于部门常规性运维保障专项经费，不涉及事前绩效评估、可行性研究以及风险评估，由我单位严格按照办公室党组“三重一大”制度和《市政府办公室预算业务管理制度》《市政府办公室经费支出管理制度（修订）》要求实施项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综上所述，本指标满分为3分，根据评分标准得3分，本项目立项程序规范。</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2.绩效目标情况分析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（1）绩效目标合理性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已设置年度绩效目标，具体内容为“1.做好乌鲁木齐市人民政府网的日常运维和安全保障；2.通过开展等级保护测评等安全措施，确保政府中心机房的整体安全运维，并执行政府中心机房运维服务；3.落实国家、自治区和我市政府网站信息内容监测的要求，配置所需的相关产品和服务”；本项目实际工作内容为：对市人民政府门户网站服务365天，政府网站全年访问量122.03万人次，全年机房维保95次，维护（或更换）会议视频终端1台，网站（系统）、（设备）故障率控制在1.2%；绩效目标与实际工作内容一致，两者具有相关性;本项目按照绩效目标完成了数量指标、质量指标、时效指标、成本指标，有效保障了市政府中心机房安全稳定运转和市人民政府门户网站全年正常运行，有效提升了市政府办公室总值班室办公效率，年度绩效目标完成，预期产出效益和效果符合正常的业绩水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综上所述，本指标满分为4分，根据评分标准得4分，本项目绩效目标设置合理。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（2）绩效指标明确性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检查我单位年初设置的《项目支出绩效目标表》，得出如下结论：本项目已将年度绩效目标进行细化为绩效指标体系，共设置一级指标2个，二级指标3个，三级指标7个，定量指标5个，定性指标2个，指标量化率为71.43%，量化率达70.00%以上。</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综上所述，本指标满分为3分，根据评分标准得3分，本项目所设置绩效指标明确。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3.资金投入情况分析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（1）预算编制科学性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编制依据《国家政务信息化项目建设管理办法》（国办发〔2019〕57号）等政策文件，结合本年度实际工作需求及已签订运维服务合同约定的年度支付金额进行测算。项目预算主要分为两类：一是市政府办公室总值班室办公设备采购维护费用13万元，依据场地维修、线路整改实际需求及视频终端设备采购市场询价结果进行测算；二是市人民政府网保障和市政府中心机房运行维护经费106.4万元，依据以前年度已签订的《乌鲁木齐市人民政府门户网站运维服务合同》《乌鲁木齐市人民政府门户网站、协同办公系统网络等级保护测评服务合同》《运维服务合同》《乌鲁木齐市人民政府网站群与政务新媒体群常态化检测项目采购合同》《Win7系统漏洞补丁专业扫描和修复服务合同》等合同中约定的年度服务费用进行测算，预算编制经过党组会集体论证，即预算编制较科学且经过论证；</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预算申请内容为运维保障经费，包括总值班室办公设备采购维护费用13万元、市人民政府网保障和市政府中心机房运行维护经费106.4万元。项目实际内容为政府门户网站运维保障、中心机房维保、视频会议系统运维及总值班室办公设备采购维护等，预算申请与《项目申报书》中涉及的项目内容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本项目预算申请资金119.40万元，我单位在预算申请中严格按照合同约定标准及实际需求进行核算，本项目预算额度测算依据充分，严格按照标准编制，预算确定资金量与实际工作任务相匹配；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综上所述，本指标满分为4分，根据评分标准4分，本项目预算编制科学。</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（2）资金分配合理性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分配资金以《项目申报书》和年度预算申请为依据进行资金分配，预算资金分配依据充分。根据《关于批复2025年部门预算的通知》（乌财行〔2025〕1号）文件显示，本项目实际到位资金119.40万元，实际分配资金与我单位提交申请的资金额度一致，资金分配额度合理，与我单位实际需求相适应。</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综上所述，本指标满分为2分，根据评分标准得2分，本项目资金分配合理。</w:t>
      </w:r>
      <w:r>
        <w:rPr>
          <w:rStyle w:val="18"/>
          <w:rFonts w:hint="eastAsia" w:eastAsia="楷体"/>
          <w:b w:val="0"/>
          <w:bCs w:val="0"/>
          <w:spacing w:val="-4"/>
          <w:sz w:val="32"/>
          <w:szCs w:val="32"/>
        </w:rPr>
        <w:tab/>
      </w:r>
    </w:p>
    <w:p>
      <w:pPr>
        <w:spacing w:line="540" w:lineRule="exact"/>
        <w:ind w:firstLine="627" w:firstLineChars="200"/>
        <w:rPr>
          <w:rStyle w:val="18"/>
          <w:rFonts w:ascii="楷体" w:hAnsi="楷体" w:eastAsia="楷体"/>
          <w:spacing w:val="-4"/>
          <w:sz w:val="32"/>
          <w:szCs w:val="32"/>
        </w:rPr>
      </w:pPr>
      <w:r>
        <w:rPr>
          <w:rFonts w:hint="eastAsia" w:ascii="楷体" w:hAnsi="楷体" w:eastAsia="楷体"/>
          <w:b/>
          <w:spacing w:val="-4"/>
          <w:sz w:val="32"/>
          <w:szCs w:val="32"/>
        </w:rPr>
        <w:t>（二）</w:t>
      </w:r>
      <w:r>
        <w:rPr>
          <w:rStyle w:val="18"/>
          <w:rFonts w:hint="eastAsia" w:ascii="楷体" w:hAnsi="楷体" w:eastAsia="楷体"/>
          <w:spacing w:val="-4"/>
          <w:sz w:val="32"/>
          <w:szCs w:val="32"/>
        </w:rPr>
        <w:t>项目过程情况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项目过程管理类指标由2个二级指标和5个三级指标构成，权重分19.00分，实际得分17.68分,得分率为93.05%。</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1.资金管理情况分析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（1）资金到位率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预算资金为119.40万元，其中：本级财政安排资金119.4万元，其他资金0.00万元，实际到位资金119.40万元，资金到位率=（实际到位资金/预算资金）×100.00%=（119.40/119.40）*100.00%=100.00%。得分=资金到位率*分值=100.00%*4=4.00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本项目实际支出资金87.92万元，预算执行率=（实际支出资金/实际到位资金）×100.00%=（87.92/119.40）*100.00%=73.63%。得分=预算执行率*分值=73.63%*5.00=3.68分。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综上所述，本指标满分为5分，根据评分标准得3.68分。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（3）资金使用合规性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通过检查本项目签订的合同、资金申请文件、发票等财务付款凭证，得出本项目资金支出符合国家财经法规、《政府会计制度》以及《市政府办公室预算业务管理制度》《市政府办公室经费支出管理制度（修订）》，资金的拨付有完整的审批程序和手续，资金实际使用方向与预算批复用途一致，不存在截留、挤占、挪用、虚列支出的情况。</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综上所述，本指标满分为4分，根据评分标准得4分，资金支出符合我单位财务管理制度规定。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2.组织实施情况分析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（1）管理制度健全性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我单位已制定《市政府办公室预算业务管理制度》《市政府办公室经费支出管理制度（修订）》《乌鲁木齐市人民政府办公室采购管理办法》《市政府办公室合同管理制度》《乌鲁木齐市人民政府网站信息审核发布管理制度》《乌鲁木齐市人民政府办公室政务新媒体运维管理制度》《市政府电子政务中心机房网络安全管理制度》，上述已建立的制度均符合行政事业单位内控管理要求，财务和业务管理制度合法、合规、完整，本项目执行符合上述制度规定。</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综上所述，本指标满分为2分，根据评分标准得2分，项目制度建设健全。</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（2）制度执行有效性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经对比分析本项目实际执行过程资料和已建立的项目管理制度和财务管理制度，得出本项目严格按照本单位已建立制度执行。项目资金支出严格按照自治区、地区、市以及本单位资金管理办法执行，项目启动实施后，总值班室、信息科（电子政务中心）按职责分工分别负责办公设备采购维护及市人民政府网保障、中心机房运行维护等工作的组织实施，综合三科（翻译科）负责预算编制、成本控制及财务报告，财务审计科负责资金支付。各环节均按照单位内控管理要求履行审批程序，相关合同、验收资料、支付凭证等过程性文件齐全，做到了程序规范、有据可查。</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综上所述，本指标满分为4分，根据评分标准得4分，本项目所建立制度执行有效。</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（三）</w:t>
      </w:r>
      <w:r>
        <w:rPr>
          <w:rStyle w:val="18"/>
          <w:rFonts w:hint="eastAsia" w:ascii="楷体" w:hAnsi="楷体" w:eastAsia="楷体"/>
          <w:spacing w:val="-4"/>
          <w:sz w:val="32"/>
          <w:szCs w:val="32"/>
        </w:rPr>
        <w:t>项目产出情况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项目产出类指标由2个二级指标和5个三级指标构成，权重分32.00分，实际得分32.00分，得分率为100.00%。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1.数量指标完成情况分析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“对市人民政府门户网站服务期”指标：预期指标值为大于等于360天，实际完成指标值为等于365天，指标完成率为100.0%。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政府网站全年访问人次”指标：预期指标值为大于等于60万人次，实际完成指标值为等于122.03万人次，指标完成率为203.0%。偏差率为-103%，偏差原因主要为：2025年乌鲁木齐市人民政府网站纳入自治区网站集约化平台统一管理，整体访问量随之增加，且2025年为自治区成立70周年，我市承担多项重要活动，加之我市今年大型活动开展较多，备受各界关注，网民访问、查询网站需求量从而增加；下一步整改措施：下年度将结合近三年实际访问量变化趋势，综合考虑网站集约化后流量增长规律及年度重大活动安排，科学合理设定绩效目标值，确保目标值与实际访问量增长趋势相匹配。</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“全年机房维保次数”指标：预期指标值为大于等于95次，实际完成指标值为等于95次，指标完成率为100.0%。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综上所述，本指标满分为7分，根据评分标准得7分。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“维护（或更换）会议视频终端”指标：预期指标值为等于1台，实际完成指标值为等于1台，指标完成率为100.0%。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综上所述，本指标满分为6分，根据评分标准得6分。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2.质量指标完成情况分析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“网站（系统）、（设备）故障率”指标：预期指标值为小于等于5%，实际完成指标值为等于1.2%，指标完成率为100.0%。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综上所述，本指标满分为5分，根据评分标准得5分。</w:t>
      </w:r>
    </w:p>
    <w:p>
      <w:pPr>
        <w:spacing w:line="540" w:lineRule="exact"/>
        <w:ind w:firstLine="627" w:firstLineChars="200"/>
        <w:rPr>
          <w:rFonts w:ascii="楷体" w:hAnsi="楷体" w:eastAsia="楷体"/>
          <w:b/>
          <w:spacing w:val="-4"/>
          <w:sz w:val="32"/>
          <w:szCs w:val="32"/>
        </w:rPr>
      </w:pPr>
      <w:r>
        <w:rPr>
          <w:rFonts w:hint="eastAsia" w:ascii="楷体" w:hAnsi="楷体" w:eastAsia="楷体"/>
          <w:b/>
          <w:spacing w:val="-4"/>
          <w:sz w:val="32"/>
          <w:szCs w:val="32"/>
        </w:rPr>
        <w:t>（四）</w:t>
      </w:r>
      <w:r>
        <w:rPr>
          <w:rStyle w:val="18"/>
          <w:rFonts w:hint="eastAsia" w:ascii="楷体" w:hAnsi="楷体" w:eastAsia="楷体"/>
          <w:spacing w:val="-4"/>
          <w:sz w:val="32"/>
          <w:szCs w:val="32"/>
        </w:rPr>
        <w:t>项目效益情况</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项目效益类指标由1个二级指标和2个三级指标构成，权重分28.00分，实际得分28.00分。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1.社会效益指标完成情况分析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“有效提高政府网站建设水平，提高为民办事效率”指标：预期指标值为有效提高，实际完成指标值为基本达成目标，指标完成率为100.0%。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综上所述，本指标满分为13分，根据评分标准得13分。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“有效提升市政府办公室总值班室办公效率”指标：预期指标值为有效提升，实际完成指标值为基本达成目标，指标完成率为100.0%。</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综上所述，本指标满分为15分，根据评分标准得15分。</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该项目未设置满意度指标。</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五、主要经验及做法、存在的问题及原因分析</w:t>
      </w:r>
    </w:p>
    <w:p>
      <w:pPr>
        <w:spacing w:line="540" w:lineRule="exact"/>
        <w:ind w:firstLine="624" w:firstLineChars="200"/>
        <w:rPr>
          <w:rStyle w:val="18"/>
          <w:rFonts w:eastAsia="楷体"/>
        </w:rPr>
      </w:pPr>
      <w:r>
        <w:rPr>
          <w:rStyle w:val="18"/>
          <w:rFonts w:hint="eastAsia" w:eastAsia="楷体"/>
          <w:b w:val="0"/>
          <w:bCs w:val="0"/>
          <w:spacing w:val="-4"/>
          <w:sz w:val="32"/>
          <w:szCs w:val="32"/>
        </w:rPr>
        <w:t>（一）主要经验及做法</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强化技术支撑，筑牢网络安全防线。定期开展漏洞扫描和渗透测试，在重大活动及节假日期间适时启动应急加强级保障，通过部署防火墙、网页防篡改等安全设备，有效抵御各类网络攻击，确保了政府门户网站全年安全平稳运行，未发生重大网络安全事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注重平战结合，提升应急指挥效能。坚持“日常运维+应急演练”相结合的模式，定期对视频会议系统和应急指挥设备进行巡检调试，在节假日及突发事件期间提前启动应急响应机制，利用可视化调度系统对区县进行实时点名和指挥调度，显著提升了上传下达的效率和应急处置能力。</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优化用户体验，打造服务型政府门户。坚持以用户需求为导向，持续优化门户网站栏目设置和功能设计，通过整合政务资源、简化办事流程、加强政策解读和回应关切，不断提升政府网站的便捷性和亲和力，使其成为政务公开和便民服务的重要窗口。</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是完善制度体系，规范运维管理。修订健全了《乌鲁木齐市人民政府网站信息审核发布管理制度》《市人民政府办公室政务新媒体运维管理制度》，严格落实信息“三审三校”制度，全年完成政府网站信息审核发布17238条，确保政务信息发布的准确性与时效性。以上经验做法为今后年度项目管理和运维保障提供了有益借鉴。</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（二）存在的问题及原因分析</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政务公开广度深度不足，网站功能与服务精准度有待提升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存在的主要问题：一是重点领域信息公开不够全面，政策解读形式较为单一、质量有待提升，与群众多元化需求存在差距；二是信息审核发布流程仍需细化规范，部分环节闭环管理不够严密；三是网站平台功能优化、政务新媒体服务精准度等方面仍有提升空间。产生上述问题的主要原因是：对标《政府网站检查指标》等上级要求的常态化监管机制还不够完善，对先进地区经验做法的学习借鉴不够充分，对群众服务需求的主动调研不够深入。</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 预算编制与实际需求衔接不够紧密，预算执行率偏低</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全年预算执行率为73.63%，预算执行率与绩效指标总体完成率之间存在一定偏差。存在的主要问题：一是预算编制时主要依据历年财政拨付金额及合同进行测算，未充分结合当年实际工作需求及近三年实际支出水平进行动态调整，导致预算额度与实际执行存在偏差；二是部分运维服务支出按合同约定进度支付，年底尚有部分款项未完成支付，影响了预算执行率的进一步提升。产生上述问题的主要原因是：预算编制过程中，业务科室与财务科室之间的沟通衔接还可以进一步加强，对合同履行进度与资金支付节奏的匹配度考虑不够细致；同时，预算编制时主要参考历年拨付金额，对当年实际需求的动态变化把握不够精准，导致预算额度与实际执行存在一定差距。</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 部分绩效指标目标值设定偏低，与实际完成情况偏差较大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本项目“政府网站全年访问人次”指标预期目标值为不低于60万人次，实际完成值为122.03万人次，完成率达203%，偏差幅度过大，反映出绩效目标值设定的科学性、精准性有待提高，绩效目标的引导和约束作用未能充分发挥。产生上述问题的主要原因是：年初设定绩效目标时，对年度内可能影响访问量的外部因素预判不足。2025年，市人民政府网站纳入自治区网站集约化平台统一管理，整体访问量随之增加；同时，恰逢自治区成立70周年，我市承担多项重大活动，社会各界关注度显著提升，网民访问、查询政府网站的需求量大幅增长。上述因素在年初未充分纳入考量，导致目标值明显偏低。</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（三）下一步改进措施</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1. 深化政务公开与网站功能建设，提升为民服务质效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年度将严格落实主管主办责任，压实信息审核发布各环节工作责任，健全“日监测、月核查”的常态化监管机制，确保发布内容权威规范。加强先进地区经验学习借鉴，主动调研群众服务需求，探索政务公开与政务服务创新路径，丰富政策解读形式，持续优化网站平台功能和政务新媒体服务精准度，不断提升工作质效。</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2.进一步优化预算编制和支出进度管理</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年度预算编制前，由信息科、总值班室等业务科室根据当年实际运维需求和合同履行计划，逐项测算资金需求，避免简单参照历史拨付金额。加强业务科室与财务科室的沟通协调，对按合同进度支付的运维服务费，合理安排支付节点，确保支出进度与合同履行同步。建立预算执行定期对账机制，及时掌握支出进度，对执行中出现的偏差及时分析原因并作出调整，不断提高预算编制的精准度和预算执行率。</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3. 科学合理设定绩效目标值，增强指标的前瞻性和准确性</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下年度绩效目标设定时，应充分梳理近三年各项指标实际完成情况，结合年度工作计划和外部环境变化趋势，综合考量可能影响指标达成的外部因素。对“政府网站全年访问人次”等易受政策调整、重大活动、平台整合等因素影响的指标，应在年初主动对接相关部门了解年度重大工作安排，合理预判年度增长趋势，确保目标值既体现工作导向，又符合实际情况，避免绩效目标引导作用弱化。</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六、有关建议</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为进一步提升运维保障经费项目管理水平，提高财政资金使用效益，结合本次绩效评价发现的问题，提出以下建议：</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一是完善运维服务商履约管理机制。建议建立运维服务商定期沟通和履约评价制度，每季度或每半年召开工作对接会，对服务响应时效、问题解决质量、技术保障能力等进行量化评估。评价结果作为下一年度合同续签、服务范围调整或采购询价的重要参考依据，推动服务商持续提升运维服务质量。</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是规范机房日常巡检和故障处理流程。建议统一机房巡检记录标准，明确巡检内容、巡检频次及异常情况处置流程，确保设备运行状态、温湿度环境、电源情况等关键信息记录完整。建立故障处理档案，对每次故障的发生时间、现象描述、处理过程及解决结果进行登记，便于后期统计分析问题规律，实现从被动应对向主动预防转变。</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是优化网站信息审核发布流程。建议在现有“三审三校”制度基础上，进一步明确各环节责任人员及审核时限要求，将审核发布流程固化形成操作规范或工作表单，减少口头衔接和环节遗漏。确保每一条发布信息均有据可查、责任到人，提升政务信息发布的规范性和安全性。</w:t>
      </w:r>
    </w:p>
    <w:p>
      <w:pPr>
        <w:spacing w:line="540" w:lineRule="exact"/>
        <w:ind w:firstLine="624" w:firstLineChars="200"/>
        <w:rPr>
          <w:rStyle w:val="18"/>
          <w:rFonts w:ascii="黑体" w:hAnsi="黑体" w:eastAsia="黑体"/>
          <w:b w:val="0"/>
          <w:spacing w:val="-4"/>
          <w:sz w:val="32"/>
          <w:szCs w:val="32"/>
        </w:rPr>
      </w:pPr>
      <w:r>
        <w:rPr>
          <w:rStyle w:val="18"/>
          <w:rFonts w:hint="eastAsia" w:ascii="黑体" w:hAnsi="黑体" w:eastAsia="黑体"/>
          <w:b w:val="0"/>
          <w:spacing w:val="-4"/>
          <w:sz w:val="32"/>
          <w:szCs w:val="32"/>
        </w:rPr>
        <w:t>七、其他需要说明的问题</w:t>
      </w:r>
    </w:p>
    <w:p>
      <w:pPr>
        <w:spacing w:line="540" w:lineRule="exact"/>
        <w:ind w:firstLine="624" w:firstLineChars="200"/>
        <w:rPr>
          <w:rStyle w:val="18"/>
          <w:rFonts w:eastAsia="楷体"/>
          <w:b w:val="0"/>
          <w:bCs w:val="0"/>
          <w:spacing w:val="-4"/>
          <w:sz w:val="32"/>
          <w:szCs w:val="32"/>
        </w:rPr>
      </w:pPr>
      <w:r>
        <w:rPr>
          <w:rStyle w:val="18"/>
          <w:rFonts w:hint="eastAsia" w:eastAsia="楷体"/>
          <w:b w:val="0"/>
          <w:bCs w:val="0"/>
          <w:spacing w:val="-4"/>
          <w:sz w:val="32"/>
          <w:szCs w:val="32"/>
        </w:rPr>
        <w:t>（一）本项目产生的部分间接性效果无法在短期内进行衡量，因此很难认定项目产生的全部效果。通过指标来反映绩效，指标的科学性和全面性需要不断地完善和研究。</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（二）评价结果作为安排政府预算、完善政策和改进管理的重要依据。原则上，对评价等级为优、良的，根据情况予以支持；对评价等级为中、差的，要完善政策、改进管理，根据情况核减预算。</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（三）评价结果分别编入政府决算和部门预算，报送本级人民代表大会常务委员会，并依法予以公开。</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四）对使用财政资金严重低效无效并造成重大损失的责任人，要按照相关规定追责问责。对绩效评价过程中发现的资金使用单位和个人的财政违法行为，依照《中华人民共和国预算法》《财政违法行为处罚处分条例》等有关规定追究责任，发现违纪违法问题线索的，应当及时移送纪检监察机关。</w:t>
      </w:r>
      <w:r>
        <w:rPr>
          <w:rStyle w:val="18"/>
          <w:rFonts w:hint="eastAsia" w:eastAsia="楷体"/>
          <w:b w:val="0"/>
          <w:bCs w:val="0"/>
          <w:spacing w:val="-4"/>
          <w:sz w:val="32"/>
          <w:szCs w:val="32"/>
        </w:rPr>
        <w:cr/>
      </w:r>
      <w:r>
        <w:rPr>
          <w:rStyle w:val="18"/>
          <w:rFonts w:hint="eastAsia" w:eastAsia="楷体"/>
          <w:b w:val="0"/>
          <w:bCs w:val="0"/>
          <w:spacing w:val="-4"/>
          <w:sz w:val="32"/>
          <w:szCs w:val="32"/>
        </w:rPr>
        <w:br w:type="textWrapping"/>
      </w:r>
      <w:r>
        <w:rPr>
          <w:rStyle w:val="18"/>
          <w:rFonts w:hint="eastAsia" w:eastAsia="楷体"/>
          <w:b w:val="0"/>
          <w:bCs w:val="0"/>
          <w:spacing w:val="-4"/>
          <w:sz w:val="32"/>
          <w:szCs w:val="32"/>
        </w:rPr>
        <w:t>（五）工作人员在绩效评价管理工作中存在违反《项目支出绩效评价管理办法》（财预〔2020〕10号）文件行为的，其他滥用职权、徇私舞弊等违法违纪行为的，依照《中华人民共和国预算法》《中华人民共和国公务员法》《中华人民共和国监察法》《财政违法行为处罚处分条例》等国家有关规定追究相应责任，涉嫌犯罪的，依法移送司法机关处理。</w:t>
      </w: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p>
      <w:pPr>
        <w:spacing w:line="540" w:lineRule="exact"/>
        <w:ind w:firstLine="624" w:firstLineChars="200"/>
        <w:rPr>
          <w:rStyle w:val="18"/>
          <w:rFonts w:ascii="仿宋" w:hAnsi="仿宋" w:eastAsia="仿宋"/>
          <w:b w:val="0"/>
          <w:spacing w:val="-4"/>
          <w:sz w:val="32"/>
          <w:szCs w:val="32"/>
        </w:rPr>
      </w:pPr>
    </w:p>
    <w:sectPr>
      <w:footerReference r:id="rId3" w:type="default"/>
      <w:pgSz w:w="11906" w:h="16838"/>
      <w:pgMar w:top="1440" w:right="1558" w:bottom="1440" w:left="175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22003363"/>
    </w:sdtPr>
    <w:sdtContent>
      <w:p>
        <w:pPr>
          <w:pStyle w:val="12"/>
          <w:jc w:val="center"/>
        </w:pPr>
        <w:r>
          <w:fldChar w:fldCharType="begin"/>
        </w:r>
        <w:r>
          <w:instrText xml:space="preserve">PAGE   \* MERGEFORMAT</w:instrText>
        </w:r>
        <w:r>
          <w:fldChar w:fldCharType="separate"/>
        </w:r>
        <w:r>
          <w:rPr>
            <w:lang w:val="zh-CN"/>
          </w:rPr>
          <w:t>2</w:t>
        </w:r>
        <w:r>
          <w:fldChar w:fldCharType="end"/>
        </w:r>
      </w:p>
    </w:sdtContent>
  </w:sdt>
  <w:p>
    <w:pPr>
      <w:pStyle w:val="1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6457"/>
    <w:rsid w:val="000048AA"/>
    <w:rsid w:val="00056465"/>
    <w:rsid w:val="000B0B98"/>
    <w:rsid w:val="00102DFF"/>
    <w:rsid w:val="001071A7"/>
    <w:rsid w:val="00121AE4"/>
    <w:rsid w:val="00146AAD"/>
    <w:rsid w:val="001B3A40"/>
    <w:rsid w:val="00291BC0"/>
    <w:rsid w:val="00311DBE"/>
    <w:rsid w:val="003A1721"/>
    <w:rsid w:val="004366A8"/>
    <w:rsid w:val="00491B24"/>
    <w:rsid w:val="00502BA7"/>
    <w:rsid w:val="005162F1"/>
    <w:rsid w:val="00535153"/>
    <w:rsid w:val="00554F82"/>
    <w:rsid w:val="0056390D"/>
    <w:rsid w:val="005719B0"/>
    <w:rsid w:val="005D10D6"/>
    <w:rsid w:val="00603483"/>
    <w:rsid w:val="00687BD3"/>
    <w:rsid w:val="007E3CE9"/>
    <w:rsid w:val="0083370B"/>
    <w:rsid w:val="00855E3A"/>
    <w:rsid w:val="0091457F"/>
    <w:rsid w:val="00922CB9"/>
    <w:rsid w:val="009C229E"/>
    <w:rsid w:val="009E5CD9"/>
    <w:rsid w:val="00A26421"/>
    <w:rsid w:val="00A34588"/>
    <w:rsid w:val="00A4293B"/>
    <w:rsid w:val="00A67D50"/>
    <w:rsid w:val="00A8691A"/>
    <w:rsid w:val="00AC1946"/>
    <w:rsid w:val="00B40063"/>
    <w:rsid w:val="00B41F61"/>
    <w:rsid w:val="00BA46E6"/>
    <w:rsid w:val="00C56C72"/>
    <w:rsid w:val="00CA6457"/>
    <w:rsid w:val="00CE2FD9"/>
    <w:rsid w:val="00D17F2E"/>
    <w:rsid w:val="00D30354"/>
    <w:rsid w:val="00DF42A0"/>
    <w:rsid w:val="00E30E91"/>
    <w:rsid w:val="00E769FE"/>
    <w:rsid w:val="00EA2CBE"/>
    <w:rsid w:val="00F32FEE"/>
    <w:rsid w:val="00FB10BB"/>
    <w:rsid w:val="07261865"/>
    <w:rsid w:val="0856517C"/>
    <w:rsid w:val="0BFB189F"/>
    <w:rsid w:val="11BD75F7"/>
    <w:rsid w:val="13BE561A"/>
    <w:rsid w:val="14AC5202"/>
    <w:rsid w:val="15392994"/>
    <w:rsid w:val="18FE139B"/>
    <w:rsid w:val="297F67E6"/>
    <w:rsid w:val="2A891760"/>
    <w:rsid w:val="3029612C"/>
    <w:rsid w:val="32A221C5"/>
    <w:rsid w:val="33F20F2A"/>
    <w:rsid w:val="34C44675"/>
    <w:rsid w:val="38C22245"/>
    <w:rsid w:val="3B5B5607"/>
    <w:rsid w:val="3BBE4B64"/>
    <w:rsid w:val="3CE21B3C"/>
    <w:rsid w:val="4D2606A1"/>
    <w:rsid w:val="51830480"/>
    <w:rsid w:val="53A616BE"/>
    <w:rsid w:val="54662BFB"/>
    <w:rsid w:val="62051CA5"/>
    <w:rsid w:val="6C3A69EF"/>
    <w:rsid w:val="7DB12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widowControl/>
      <w:spacing w:before="240" w:after="60"/>
      <w:jc w:val="left"/>
      <w:outlineLvl w:val="0"/>
    </w:pPr>
    <w:rPr>
      <w:rFonts w:asciiTheme="majorHAnsi" w:hAnsiTheme="majorHAnsi" w:eastAsiaTheme="majorEastAsia"/>
      <w:b/>
      <w:bCs/>
      <w:kern w:val="32"/>
      <w:sz w:val="32"/>
      <w:szCs w:val="32"/>
    </w:rPr>
  </w:style>
  <w:style w:type="paragraph" w:styleId="3">
    <w:name w:val="heading 2"/>
    <w:basedOn w:val="1"/>
    <w:next w:val="1"/>
    <w:link w:val="21"/>
    <w:semiHidden/>
    <w:unhideWhenUsed/>
    <w:qFormat/>
    <w:uiPriority w:val="9"/>
    <w:pPr>
      <w:keepNext/>
      <w:widowControl/>
      <w:spacing w:before="240" w:after="60"/>
      <w:jc w:val="left"/>
      <w:outlineLvl w:val="1"/>
    </w:pPr>
    <w:rPr>
      <w:rFonts w:asciiTheme="majorHAnsi" w:hAnsiTheme="majorHAnsi" w:eastAsiaTheme="majorEastAsia"/>
      <w:b/>
      <w:bCs/>
      <w:i/>
      <w:iCs/>
      <w:kern w:val="0"/>
      <w:sz w:val="28"/>
      <w:szCs w:val="28"/>
    </w:rPr>
  </w:style>
  <w:style w:type="paragraph" w:styleId="4">
    <w:name w:val="heading 3"/>
    <w:basedOn w:val="1"/>
    <w:next w:val="1"/>
    <w:link w:val="22"/>
    <w:semiHidden/>
    <w:unhideWhenUsed/>
    <w:qFormat/>
    <w:uiPriority w:val="9"/>
    <w:pPr>
      <w:keepNext/>
      <w:widowControl/>
      <w:spacing w:before="240" w:after="60"/>
      <w:jc w:val="left"/>
      <w:outlineLvl w:val="2"/>
    </w:pPr>
    <w:rPr>
      <w:rFonts w:asciiTheme="majorHAnsi" w:hAnsiTheme="majorHAnsi" w:eastAsiaTheme="majorEastAsia"/>
      <w:b/>
      <w:bCs/>
      <w:kern w:val="0"/>
      <w:sz w:val="26"/>
      <w:szCs w:val="26"/>
    </w:rPr>
  </w:style>
  <w:style w:type="paragraph" w:styleId="5">
    <w:name w:val="heading 4"/>
    <w:basedOn w:val="1"/>
    <w:next w:val="1"/>
    <w:link w:val="23"/>
    <w:semiHidden/>
    <w:unhideWhenUsed/>
    <w:qFormat/>
    <w:uiPriority w:val="9"/>
    <w:pPr>
      <w:keepNext/>
      <w:widowControl/>
      <w:spacing w:before="240" w:after="60"/>
      <w:jc w:val="left"/>
      <w:outlineLvl w:val="3"/>
    </w:pPr>
    <w:rPr>
      <w:rFonts w:asciiTheme="minorHAnsi" w:hAnsiTheme="minorHAnsi" w:eastAsiaTheme="minorEastAsia"/>
      <w:b/>
      <w:bCs/>
      <w:kern w:val="0"/>
      <w:sz w:val="28"/>
      <w:szCs w:val="28"/>
    </w:rPr>
  </w:style>
  <w:style w:type="paragraph" w:styleId="6">
    <w:name w:val="heading 5"/>
    <w:basedOn w:val="1"/>
    <w:next w:val="1"/>
    <w:link w:val="24"/>
    <w:semiHidden/>
    <w:unhideWhenUsed/>
    <w:qFormat/>
    <w:uiPriority w:val="9"/>
    <w:pPr>
      <w:widowControl/>
      <w:spacing w:before="240" w:after="60"/>
      <w:jc w:val="left"/>
      <w:outlineLvl w:val="4"/>
    </w:pPr>
    <w:rPr>
      <w:rFonts w:asciiTheme="minorHAnsi" w:hAnsiTheme="minorHAnsi" w:eastAsiaTheme="minorEastAsia"/>
      <w:b/>
      <w:bCs/>
      <w:i/>
      <w:iCs/>
      <w:kern w:val="0"/>
      <w:sz w:val="26"/>
      <w:szCs w:val="26"/>
    </w:rPr>
  </w:style>
  <w:style w:type="paragraph" w:styleId="7">
    <w:name w:val="heading 6"/>
    <w:basedOn w:val="1"/>
    <w:next w:val="1"/>
    <w:link w:val="25"/>
    <w:semiHidden/>
    <w:unhideWhenUsed/>
    <w:qFormat/>
    <w:uiPriority w:val="9"/>
    <w:pPr>
      <w:widowControl/>
      <w:spacing w:before="240" w:after="60"/>
      <w:jc w:val="left"/>
      <w:outlineLvl w:val="5"/>
    </w:pPr>
    <w:rPr>
      <w:rFonts w:asciiTheme="minorHAnsi" w:hAnsiTheme="minorHAnsi" w:eastAsiaTheme="minorEastAsia"/>
      <w:b/>
      <w:bCs/>
      <w:kern w:val="0"/>
      <w:sz w:val="22"/>
      <w:szCs w:val="22"/>
    </w:rPr>
  </w:style>
  <w:style w:type="paragraph" w:styleId="8">
    <w:name w:val="heading 7"/>
    <w:basedOn w:val="1"/>
    <w:next w:val="1"/>
    <w:link w:val="26"/>
    <w:semiHidden/>
    <w:unhideWhenUsed/>
    <w:qFormat/>
    <w:uiPriority w:val="9"/>
    <w:pPr>
      <w:widowControl/>
      <w:spacing w:before="240" w:after="60"/>
      <w:jc w:val="left"/>
      <w:outlineLvl w:val="6"/>
    </w:pPr>
    <w:rPr>
      <w:rFonts w:asciiTheme="minorHAnsi" w:hAnsiTheme="minorHAnsi" w:eastAsiaTheme="minorEastAsia"/>
      <w:kern w:val="0"/>
      <w:sz w:val="24"/>
    </w:rPr>
  </w:style>
  <w:style w:type="paragraph" w:styleId="9">
    <w:name w:val="heading 8"/>
    <w:basedOn w:val="1"/>
    <w:next w:val="1"/>
    <w:link w:val="27"/>
    <w:semiHidden/>
    <w:unhideWhenUsed/>
    <w:qFormat/>
    <w:uiPriority w:val="9"/>
    <w:pPr>
      <w:widowControl/>
      <w:spacing w:before="240" w:after="60"/>
      <w:jc w:val="left"/>
      <w:outlineLvl w:val="7"/>
    </w:pPr>
    <w:rPr>
      <w:rFonts w:asciiTheme="minorHAnsi" w:hAnsiTheme="minorHAnsi" w:eastAsiaTheme="minorEastAsia"/>
      <w:i/>
      <w:iCs/>
      <w:kern w:val="0"/>
      <w:sz w:val="24"/>
    </w:rPr>
  </w:style>
  <w:style w:type="paragraph" w:styleId="10">
    <w:name w:val="heading 9"/>
    <w:basedOn w:val="1"/>
    <w:next w:val="1"/>
    <w:link w:val="28"/>
    <w:semiHidden/>
    <w:unhideWhenUsed/>
    <w:qFormat/>
    <w:uiPriority w:val="9"/>
    <w:pPr>
      <w:widowControl/>
      <w:spacing w:before="240" w:after="60"/>
      <w:jc w:val="left"/>
      <w:outlineLvl w:val="8"/>
    </w:pPr>
    <w:rPr>
      <w:rFonts w:asciiTheme="majorHAnsi" w:hAnsiTheme="majorHAnsi" w:eastAsiaTheme="majorEastAsia"/>
      <w:kern w:val="0"/>
      <w:sz w:val="22"/>
      <w:szCs w:val="2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Layout w:type="fixed"/>
      <w:tblCellMar>
        <w:top w:w="0" w:type="dxa"/>
        <w:left w:w="108" w:type="dxa"/>
        <w:bottom w:w="0" w:type="dxa"/>
        <w:right w:w="108" w:type="dxa"/>
      </w:tblCellMar>
    </w:tblPr>
  </w:style>
  <w:style w:type="paragraph" w:styleId="11">
    <w:name w:val="Balloon Text"/>
    <w:basedOn w:val="1"/>
    <w:link w:val="45"/>
    <w:semiHidden/>
    <w:unhideWhenUsed/>
    <w:qFormat/>
    <w:uiPriority w:val="99"/>
    <w:rPr>
      <w:sz w:val="18"/>
      <w:szCs w:val="18"/>
    </w:rPr>
  </w:style>
  <w:style w:type="paragraph" w:styleId="12">
    <w:name w:val="footer"/>
    <w:basedOn w:val="1"/>
    <w:link w:val="44"/>
    <w:unhideWhenUsed/>
    <w:qFormat/>
    <w:uiPriority w:val="99"/>
    <w:pPr>
      <w:tabs>
        <w:tab w:val="center" w:pos="4153"/>
        <w:tab w:val="right" w:pos="8306"/>
      </w:tabs>
      <w:snapToGrid w:val="0"/>
      <w:jc w:val="left"/>
    </w:pPr>
    <w:rPr>
      <w:rFonts w:ascii="Calibri" w:hAnsi="Calibri"/>
      <w:sz w:val="18"/>
      <w:szCs w:val="18"/>
    </w:rPr>
  </w:style>
  <w:style w:type="paragraph" w:styleId="13">
    <w:name w:val="header"/>
    <w:basedOn w:val="1"/>
    <w:link w:val="43"/>
    <w:unhideWhenUsed/>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14">
    <w:name w:val="Subtitle"/>
    <w:basedOn w:val="1"/>
    <w:next w:val="1"/>
    <w:link w:val="30"/>
    <w:qFormat/>
    <w:uiPriority w:val="11"/>
    <w:pPr>
      <w:widowControl/>
      <w:spacing w:after="60"/>
      <w:jc w:val="center"/>
      <w:outlineLvl w:val="1"/>
    </w:pPr>
    <w:rPr>
      <w:rFonts w:asciiTheme="majorHAnsi" w:hAnsiTheme="majorHAnsi" w:eastAsiaTheme="majorEastAsia"/>
      <w:kern w:val="0"/>
      <w:sz w:val="24"/>
    </w:rPr>
  </w:style>
  <w:style w:type="paragraph" w:styleId="15">
    <w:name w:val="Title"/>
    <w:basedOn w:val="1"/>
    <w:next w:val="1"/>
    <w:link w:val="29"/>
    <w:qFormat/>
    <w:uiPriority w:val="10"/>
    <w:pPr>
      <w:widowControl/>
      <w:spacing w:before="240" w:after="60"/>
      <w:jc w:val="center"/>
      <w:outlineLvl w:val="0"/>
    </w:pPr>
    <w:rPr>
      <w:rFonts w:asciiTheme="majorHAnsi" w:hAnsiTheme="majorHAnsi" w:eastAsiaTheme="majorEastAsia"/>
      <w:b/>
      <w:bCs/>
      <w:kern w:val="28"/>
      <w:sz w:val="32"/>
      <w:szCs w:val="32"/>
    </w:rPr>
  </w:style>
  <w:style w:type="character" w:styleId="18">
    <w:name w:val="Strong"/>
    <w:basedOn w:val="17"/>
    <w:qFormat/>
    <w:uiPriority w:val="0"/>
    <w:rPr>
      <w:b/>
      <w:bCs/>
    </w:rPr>
  </w:style>
  <w:style w:type="character" w:styleId="19">
    <w:name w:val="Emphasis"/>
    <w:basedOn w:val="17"/>
    <w:qFormat/>
    <w:uiPriority w:val="20"/>
    <w:rPr>
      <w:rFonts w:asciiTheme="minorHAnsi" w:hAnsiTheme="minorHAnsi"/>
      <w:b/>
      <w:i/>
      <w:iCs/>
    </w:rPr>
  </w:style>
  <w:style w:type="character" w:customStyle="1" w:styleId="20">
    <w:name w:val="标题 1 Char"/>
    <w:basedOn w:val="17"/>
    <w:link w:val="2"/>
    <w:qFormat/>
    <w:uiPriority w:val="9"/>
    <w:rPr>
      <w:rFonts w:asciiTheme="majorHAnsi" w:hAnsiTheme="majorHAnsi" w:eastAsiaTheme="majorEastAsia"/>
      <w:b/>
      <w:bCs/>
      <w:kern w:val="32"/>
      <w:sz w:val="32"/>
      <w:szCs w:val="32"/>
    </w:rPr>
  </w:style>
  <w:style w:type="character" w:customStyle="1" w:styleId="21">
    <w:name w:val="标题 2 Char"/>
    <w:basedOn w:val="17"/>
    <w:link w:val="3"/>
    <w:semiHidden/>
    <w:qFormat/>
    <w:uiPriority w:val="9"/>
    <w:rPr>
      <w:rFonts w:asciiTheme="majorHAnsi" w:hAnsiTheme="majorHAnsi" w:eastAsiaTheme="majorEastAsia"/>
      <w:b/>
      <w:bCs/>
      <w:i/>
      <w:iCs/>
      <w:sz w:val="28"/>
      <w:szCs w:val="28"/>
    </w:rPr>
  </w:style>
  <w:style w:type="character" w:customStyle="1" w:styleId="22">
    <w:name w:val="标题 3 Char"/>
    <w:basedOn w:val="17"/>
    <w:link w:val="4"/>
    <w:semiHidden/>
    <w:qFormat/>
    <w:uiPriority w:val="9"/>
    <w:rPr>
      <w:rFonts w:asciiTheme="majorHAnsi" w:hAnsiTheme="majorHAnsi" w:eastAsiaTheme="majorEastAsia"/>
      <w:b/>
      <w:bCs/>
      <w:sz w:val="26"/>
      <w:szCs w:val="26"/>
    </w:rPr>
  </w:style>
  <w:style w:type="character" w:customStyle="1" w:styleId="23">
    <w:name w:val="标题 4 Char"/>
    <w:basedOn w:val="17"/>
    <w:link w:val="5"/>
    <w:semiHidden/>
    <w:qFormat/>
    <w:uiPriority w:val="9"/>
    <w:rPr>
      <w:b/>
      <w:bCs/>
      <w:sz w:val="28"/>
      <w:szCs w:val="28"/>
    </w:rPr>
  </w:style>
  <w:style w:type="character" w:customStyle="1" w:styleId="24">
    <w:name w:val="标题 5 Char"/>
    <w:basedOn w:val="17"/>
    <w:link w:val="6"/>
    <w:semiHidden/>
    <w:qFormat/>
    <w:uiPriority w:val="9"/>
    <w:rPr>
      <w:b/>
      <w:bCs/>
      <w:i/>
      <w:iCs/>
      <w:sz w:val="26"/>
      <w:szCs w:val="26"/>
    </w:rPr>
  </w:style>
  <w:style w:type="character" w:customStyle="1" w:styleId="25">
    <w:name w:val="标题 6 Char"/>
    <w:basedOn w:val="17"/>
    <w:link w:val="7"/>
    <w:semiHidden/>
    <w:qFormat/>
    <w:uiPriority w:val="9"/>
    <w:rPr>
      <w:b/>
      <w:bCs/>
    </w:rPr>
  </w:style>
  <w:style w:type="character" w:customStyle="1" w:styleId="26">
    <w:name w:val="标题 7 Char"/>
    <w:basedOn w:val="17"/>
    <w:link w:val="8"/>
    <w:semiHidden/>
    <w:qFormat/>
    <w:uiPriority w:val="9"/>
    <w:rPr>
      <w:sz w:val="24"/>
      <w:szCs w:val="24"/>
    </w:rPr>
  </w:style>
  <w:style w:type="character" w:customStyle="1" w:styleId="27">
    <w:name w:val="标题 8 Char"/>
    <w:basedOn w:val="17"/>
    <w:link w:val="9"/>
    <w:semiHidden/>
    <w:qFormat/>
    <w:uiPriority w:val="9"/>
    <w:rPr>
      <w:i/>
      <w:iCs/>
      <w:sz w:val="24"/>
      <w:szCs w:val="24"/>
    </w:rPr>
  </w:style>
  <w:style w:type="character" w:customStyle="1" w:styleId="28">
    <w:name w:val="标题 9 Char"/>
    <w:basedOn w:val="17"/>
    <w:link w:val="10"/>
    <w:semiHidden/>
    <w:qFormat/>
    <w:uiPriority w:val="9"/>
    <w:rPr>
      <w:rFonts w:asciiTheme="majorHAnsi" w:hAnsiTheme="majorHAnsi" w:eastAsiaTheme="majorEastAsia"/>
    </w:rPr>
  </w:style>
  <w:style w:type="character" w:customStyle="1" w:styleId="29">
    <w:name w:val="标题 Char"/>
    <w:basedOn w:val="17"/>
    <w:link w:val="15"/>
    <w:qFormat/>
    <w:uiPriority w:val="10"/>
    <w:rPr>
      <w:rFonts w:asciiTheme="majorHAnsi" w:hAnsiTheme="majorHAnsi" w:eastAsiaTheme="majorEastAsia"/>
      <w:b/>
      <w:bCs/>
      <w:kern w:val="28"/>
      <w:sz w:val="32"/>
      <w:szCs w:val="32"/>
    </w:rPr>
  </w:style>
  <w:style w:type="character" w:customStyle="1" w:styleId="30">
    <w:name w:val="副标题 Char"/>
    <w:basedOn w:val="17"/>
    <w:link w:val="14"/>
    <w:qFormat/>
    <w:uiPriority w:val="11"/>
    <w:rPr>
      <w:rFonts w:asciiTheme="majorHAnsi" w:hAnsiTheme="majorHAnsi" w:eastAsiaTheme="majorEastAsia"/>
      <w:sz w:val="24"/>
      <w:szCs w:val="24"/>
    </w:rPr>
  </w:style>
  <w:style w:type="paragraph" w:styleId="31">
    <w:name w:val="No Spacing"/>
    <w:basedOn w:val="1"/>
    <w:qFormat/>
    <w:uiPriority w:val="1"/>
    <w:pPr>
      <w:widowControl/>
      <w:jc w:val="left"/>
    </w:pPr>
    <w:rPr>
      <w:rFonts w:asciiTheme="minorHAnsi" w:hAnsiTheme="minorHAnsi" w:eastAsiaTheme="minorEastAsia"/>
      <w:kern w:val="0"/>
      <w:sz w:val="24"/>
      <w:szCs w:val="32"/>
      <w:lang w:eastAsia="en-US" w:bidi="en-US"/>
    </w:rPr>
  </w:style>
  <w:style w:type="paragraph" w:styleId="32">
    <w:name w:val="List Paragraph"/>
    <w:basedOn w:val="1"/>
    <w:qFormat/>
    <w:uiPriority w:val="34"/>
    <w:pPr>
      <w:widowControl/>
      <w:ind w:left="720"/>
      <w:contextualSpacing/>
      <w:jc w:val="left"/>
    </w:pPr>
    <w:rPr>
      <w:rFonts w:asciiTheme="minorHAnsi" w:hAnsiTheme="minorHAnsi" w:eastAsiaTheme="minorEastAsia"/>
      <w:kern w:val="0"/>
      <w:sz w:val="24"/>
      <w:lang w:eastAsia="en-US" w:bidi="en-US"/>
    </w:rPr>
  </w:style>
  <w:style w:type="paragraph" w:styleId="33">
    <w:name w:val="Quote"/>
    <w:basedOn w:val="1"/>
    <w:next w:val="1"/>
    <w:link w:val="34"/>
    <w:qFormat/>
    <w:uiPriority w:val="29"/>
    <w:pPr>
      <w:widowControl/>
      <w:jc w:val="left"/>
    </w:pPr>
    <w:rPr>
      <w:rFonts w:asciiTheme="minorHAnsi" w:hAnsiTheme="minorHAnsi" w:eastAsiaTheme="minorEastAsia"/>
      <w:i/>
      <w:kern w:val="0"/>
      <w:sz w:val="24"/>
    </w:rPr>
  </w:style>
  <w:style w:type="character" w:customStyle="1" w:styleId="34">
    <w:name w:val="引用 Char"/>
    <w:basedOn w:val="17"/>
    <w:link w:val="33"/>
    <w:qFormat/>
    <w:uiPriority w:val="29"/>
    <w:rPr>
      <w:i/>
      <w:sz w:val="24"/>
      <w:szCs w:val="24"/>
    </w:rPr>
  </w:style>
  <w:style w:type="paragraph" w:styleId="35">
    <w:name w:val="Intense Quote"/>
    <w:basedOn w:val="1"/>
    <w:next w:val="1"/>
    <w:link w:val="36"/>
    <w:qFormat/>
    <w:uiPriority w:val="30"/>
    <w:pPr>
      <w:widowControl/>
      <w:ind w:left="720" w:right="720"/>
      <w:jc w:val="left"/>
    </w:pPr>
    <w:rPr>
      <w:rFonts w:asciiTheme="minorHAnsi" w:hAnsiTheme="minorHAnsi" w:eastAsiaTheme="minorEastAsia"/>
      <w:b/>
      <w:i/>
      <w:kern w:val="0"/>
      <w:sz w:val="24"/>
      <w:szCs w:val="22"/>
    </w:rPr>
  </w:style>
  <w:style w:type="character" w:customStyle="1" w:styleId="36">
    <w:name w:val="明显引用 Char"/>
    <w:basedOn w:val="17"/>
    <w:link w:val="35"/>
    <w:qFormat/>
    <w:uiPriority w:val="30"/>
    <w:rPr>
      <w:b/>
      <w:i/>
      <w:sz w:val="24"/>
    </w:rPr>
  </w:style>
  <w:style w:type="character" w:customStyle="1" w:styleId="37">
    <w:name w:val="不明显强调1"/>
    <w:qFormat/>
    <w:uiPriority w:val="19"/>
    <w:rPr>
      <w:i/>
      <w:color w:val="595959" w:themeColor="text1" w:themeTint="A6"/>
      <w14:textFill>
        <w14:solidFill>
          <w14:schemeClr w14:val="tx1">
            <w14:lumMod w14:val="65000"/>
            <w14:lumOff w14:val="35000"/>
          </w14:schemeClr>
        </w14:solidFill>
      </w14:textFill>
    </w:rPr>
  </w:style>
  <w:style w:type="character" w:customStyle="1" w:styleId="38">
    <w:name w:val="明显强调1"/>
    <w:basedOn w:val="17"/>
    <w:qFormat/>
    <w:uiPriority w:val="21"/>
    <w:rPr>
      <w:b/>
      <w:i/>
      <w:sz w:val="24"/>
      <w:szCs w:val="24"/>
      <w:u w:val="single"/>
    </w:rPr>
  </w:style>
  <w:style w:type="character" w:customStyle="1" w:styleId="39">
    <w:name w:val="不明显参考1"/>
    <w:basedOn w:val="17"/>
    <w:qFormat/>
    <w:uiPriority w:val="31"/>
    <w:rPr>
      <w:sz w:val="24"/>
      <w:szCs w:val="24"/>
      <w:u w:val="single"/>
    </w:rPr>
  </w:style>
  <w:style w:type="character" w:customStyle="1" w:styleId="40">
    <w:name w:val="明显参考1"/>
    <w:basedOn w:val="17"/>
    <w:qFormat/>
    <w:uiPriority w:val="32"/>
    <w:rPr>
      <w:b/>
      <w:sz w:val="24"/>
      <w:u w:val="single"/>
    </w:rPr>
  </w:style>
  <w:style w:type="character" w:customStyle="1" w:styleId="41">
    <w:name w:val="书籍标题1"/>
    <w:basedOn w:val="17"/>
    <w:qFormat/>
    <w:uiPriority w:val="33"/>
    <w:rPr>
      <w:rFonts w:asciiTheme="majorHAnsi" w:hAnsiTheme="majorHAnsi" w:eastAsiaTheme="majorEastAsia"/>
      <w:b/>
      <w:i/>
      <w:sz w:val="24"/>
      <w:szCs w:val="24"/>
    </w:rPr>
  </w:style>
  <w:style w:type="paragraph" w:customStyle="1" w:styleId="42">
    <w:name w:val="TOC 标题1"/>
    <w:basedOn w:val="2"/>
    <w:next w:val="1"/>
    <w:semiHidden/>
    <w:unhideWhenUsed/>
    <w:qFormat/>
    <w:uiPriority w:val="39"/>
    <w:pPr>
      <w:outlineLvl w:val="9"/>
    </w:pPr>
    <w:rPr>
      <w:lang w:eastAsia="en-US" w:bidi="en-US"/>
    </w:rPr>
  </w:style>
  <w:style w:type="character" w:customStyle="1" w:styleId="43">
    <w:name w:val="页眉 Char"/>
    <w:basedOn w:val="17"/>
    <w:link w:val="13"/>
    <w:qFormat/>
    <w:uiPriority w:val="99"/>
    <w:rPr>
      <w:rFonts w:ascii="Calibri" w:hAnsi="Calibri" w:eastAsia="宋体"/>
      <w:kern w:val="2"/>
      <w:sz w:val="18"/>
      <w:szCs w:val="18"/>
    </w:rPr>
  </w:style>
  <w:style w:type="character" w:customStyle="1" w:styleId="44">
    <w:name w:val="页脚 Char"/>
    <w:basedOn w:val="17"/>
    <w:link w:val="12"/>
    <w:qFormat/>
    <w:uiPriority w:val="99"/>
    <w:rPr>
      <w:rFonts w:ascii="Calibri" w:hAnsi="Calibri" w:eastAsia="宋体"/>
      <w:kern w:val="2"/>
      <w:sz w:val="18"/>
      <w:szCs w:val="18"/>
    </w:rPr>
  </w:style>
  <w:style w:type="character" w:customStyle="1" w:styleId="45">
    <w:name w:val="批注框文本 Char"/>
    <w:basedOn w:val="17"/>
    <w:link w:val="11"/>
    <w:semiHidden/>
    <w:qFormat/>
    <w:uiPriority w:val="99"/>
    <w:rPr>
      <w:rFonts w:ascii="Times New Roman" w:hAnsi="Times New Roman" w:eastAsia="宋体"/>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市财政资金综合评价中心</Company>
  <Pages>3</Pages>
  <Words>98</Words>
  <Characters>559</Characters>
  <Lines>4</Lines>
  <Paragraphs>1</Paragraphs>
  <TotalTime>0</TotalTime>
  <ScaleCrop>false</ScaleCrop>
  <LinksUpToDate>false</LinksUpToDate>
  <CharactersWithSpaces>656</CharactersWithSpaces>
  <Application>WPS Office_11.8.2.8696_F1E327BC-269C-435d-A152-05C5408002CA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2025-04-28T05:31:00Z</dcterms:created>
  <dc:creator>赵 恺（预算处）</dc:creator>
  <cp:lastModifiedBy>fcyy</cp:lastModifiedBy>
  <cp:lastPrinted>2018-12-31T10:56:00Z</cp:lastPrinted>
  <dcterms:modified xsi:type="dcterms:W3CDTF">2026-09-10T09:39:47Z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2052-11.8.2.8696</vt:lpwstr>
  </property>
  <property fmtid="{D5CDD505-2E9C-101B-9397-08002B2CF9AE}" pid="3" name="ICV">
    <vt:lpwstr>AC8D1C95289B424182C977C1902B2A2F</vt:lpwstr>
  </property>
</Properties>
</file>