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EEE765">
      <w:pPr>
        <w:spacing w:line="540" w:lineRule="exact"/>
        <w:jc w:val="left"/>
        <w:rPr>
          <w:rFonts w:hint="eastAsia" w:ascii="仿宋" w:hAnsi="仿宋" w:eastAsia="仿宋" w:cs="宋体"/>
          <w:kern w:val="0"/>
          <w:sz w:val="32"/>
          <w:szCs w:val="32"/>
        </w:rPr>
      </w:pPr>
      <w:r>
        <w:rPr>
          <w:rFonts w:hint="eastAsia" w:ascii="仿宋" w:hAnsi="仿宋" w:eastAsia="仿宋" w:cs="宋体"/>
          <w:kern w:val="0"/>
          <w:sz w:val="32"/>
          <w:szCs w:val="32"/>
        </w:rPr>
        <w:t>附件</w:t>
      </w:r>
      <w:r>
        <w:rPr>
          <w:rFonts w:eastAsia="仿宋"/>
          <w:kern w:val="0"/>
          <w:sz w:val="32"/>
          <w:szCs w:val="32"/>
        </w:rPr>
        <w:t>2</w:t>
      </w:r>
      <w:r>
        <w:rPr>
          <w:rFonts w:hint="eastAsia" w:ascii="仿宋" w:hAnsi="仿宋" w:eastAsia="仿宋" w:cs="宋体"/>
          <w:kern w:val="0"/>
          <w:sz w:val="32"/>
          <w:szCs w:val="32"/>
        </w:rPr>
        <w:t>：</w:t>
      </w:r>
    </w:p>
    <w:p w14:paraId="7D2FBB78">
      <w:pPr>
        <w:spacing w:line="540" w:lineRule="exact"/>
        <w:jc w:val="center"/>
        <w:rPr>
          <w:rFonts w:hint="eastAsia" w:ascii="华文中宋" w:hAnsi="华文中宋" w:eastAsia="华文中宋" w:cs="宋体"/>
          <w:b/>
          <w:kern w:val="0"/>
          <w:sz w:val="52"/>
          <w:szCs w:val="52"/>
        </w:rPr>
      </w:pPr>
    </w:p>
    <w:p w14:paraId="2B37EA20">
      <w:pPr>
        <w:spacing w:line="540" w:lineRule="exact"/>
        <w:jc w:val="center"/>
        <w:rPr>
          <w:rFonts w:hint="eastAsia" w:ascii="华文中宋" w:hAnsi="华文中宋" w:eastAsia="华文中宋" w:cs="宋体"/>
          <w:b/>
          <w:kern w:val="0"/>
          <w:sz w:val="52"/>
          <w:szCs w:val="52"/>
        </w:rPr>
      </w:pPr>
    </w:p>
    <w:p w14:paraId="1B1D8719">
      <w:pPr>
        <w:spacing w:line="540" w:lineRule="exact"/>
        <w:jc w:val="center"/>
        <w:rPr>
          <w:rFonts w:hint="eastAsia" w:ascii="华文中宋" w:hAnsi="华文中宋" w:eastAsia="华文中宋" w:cs="宋体"/>
          <w:b/>
          <w:kern w:val="0"/>
          <w:sz w:val="52"/>
          <w:szCs w:val="52"/>
        </w:rPr>
      </w:pPr>
    </w:p>
    <w:p w14:paraId="56D489C5">
      <w:pPr>
        <w:spacing w:line="540" w:lineRule="exact"/>
        <w:jc w:val="center"/>
        <w:rPr>
          <w:rFonts w:hint="eastAsia" w:ascii="华文中宋" w:hAnsi="华文中宋" w:eastAsia="华文中宋" w:cs="宋体"/>
          <w:b/>
          <w:kern w:val="0"/>
          <w:sz w:val="52"/>
          <w:szCs w:val="52"/>
        </w:rPr>
      </w:pPr>
    </w:p>
    <w:p w14:paraId="32B6338B">
      <w:pPr>
        <w:spacing w:line="540" w:lineRule="exact"/>
        <w:jc w:val="center"/>
        <w:rPr>
          <w:rFonts w:hint="eastAsia" w:ascii="华文中宋" w:hAnsi="华文中宋" w:eastAsia="华文中宋" w:cs="宋体"/>
          <w:b/>
          <w:kern w:val="0"/>
          <w:sz w:val="52"/>
          <w:szCs w:val="52"/>
        </w:rPr>
      </w:pPr>
    </w:p>
    <w:p w14:paraId="12E42155">
      <w:pPr>
        <w:spacing w:line="540" w:lineRule="exact"/>
        <w:jc w:val="center"/>
        <w:rPr>
          <w:rFonts w:hint="eastAsia" w:ascii="华文中宋" w:hAnsi="华文中宋" w:eastAsia="华文中宋" w:cs="宋体"/>
          <w:b/>
          <w:kern w:val="0"/>
          <w:sz w:val="52"/>
          <w:szCs w:val="52"/>
        </w:rPr>
      </w:pPr>
    </w:p>
    <w:p w14:paraId="54DF7871">
      <w:pPr>
        <w:spacing w:line="560" w:lineRule="exact"/>
        <w:jc w:val="center"/>
        <w:rPr>
          <w:rFonts w:hint="eastAsia" w:ascii="方正小标宋_GBK" w:hAnsi="华文中宋" w:eastAsia="方正小标宋_GBK" w:cs="宋体"/>
          <w:b/>
          <w:kern w:val="0"/>
          <w:sz w:val="52"/>
          <w:szCs w:val="52"/>
        </w:rPr>
      </w:pPr>
      <w:r>
        <w:rPr>
          <w:rFonts w:hint="eastAsia" w:ascii="方正小标宋_GBK" w:hAnsi="华文中宋" w:eastAsia="方正小标宋_GBK" w:cs="宋体"/>
          <w:b/>
          <w:kern w:val="0"/>
          <w:sz w:val="52"/>
          <w:szCs w:val="52"/>
        </w:rPr>
        <w:t>项目支出绩效自评报告</w:t>
      </w:r>
    </w:p>
    <w:p w14:paraId="1C1C7A98">
      <w:pPr>
        <w:spacing w:line="540" w:lineRule="exact"/>
        <w:jc w:val="center"/>
        <w:rPr>
          <w:rFonts w:hint="eastAsia" w:ascii="华文中宋" w:hAnsi="华文中宋" w:eastAsia="华文中宋" w:cs="宋体"/>
          <w:b/>
          <w:kern w:val="0"/>
          <w:sz w:val="52"/>
          <w:szCs w:val="52"/>
        </w:rPr>
      </w:pPr>
    </w:p>
    <w:p w14:paraId="0B97D025">
      <w:pPr>
        <w:spacing w:line="540" w:lineRule="exact"/>
        <w:jc w:val="center"/>
        <w:rPr>
          <w:rFonts w:hint="eastAsia" w:hAnsi="宋体" w:eastAsia="仿宋_GB2312" w:cs="宋体"/>
          <w:kern w:val="0"/>
          <w:sz w:val="36"/>
          <w:szCs w:val="36"/>
        </w:rPr>
      </w:pPr>
      <w:r>
        <w:rPr>
          <w:rFonts w:hint="eastAsia" w:hAnsi="宋体" w:eastAsia="仿宋_GB2312" w:cs="宋体"/>
          <w:kern w:val="0"/>
          <w:sz w:val="36"/>
          <w:szCs w:val="36"/>
        </w:rPr>
        <w:t xml:space="preserve">（   </w:t>
      </w:r>
      <w:r>
        <w:rPr>
          <w:rStyle w:val="18"/>
          <w:rFonts w:eastAsia="楷体"/>
          <w:spacing w:val="-4"/>
          <w:sz w:val="32"/>
          <w:szCs w:val="32"/>
        </w:rPr>
        <w:t>2025</w:t>
      </w:r>
      <w:r>
        <w:rPr>
          <w:rFonts w:hint="eastAsia" w:hAnsi="宋体" w:eastAsia="仿宋_GB2312" w:cs="宋体"/>
          <w:kern w:val="0"/>
          <w:sz w:val="36"/>
          <w:szCs w:val="36"/>
        </w:rPr>
        <w:t xml:space="preserve">  年度）</w:t>
      </w:r>
    </w:p>
    <w:p w14:paraId="5A18D463">
      <w:pPr>
        <w:spacing w:line="540" w:lineRule="exact"/>
        <w:jc w:val="center"/>
        <w:rPr>
          <w:rFonts w:hint="eastAsia" w:hAnsi="宋体" w:eastAsia="仿宋_GB2312" w:cs="宋体"/>
          <w:kern w:val="0"/>
          <w:sz w:val="30"/>
          <w:szCs w:val="30"/>
        </w:rPr>
      </w:pPr>
    </w:p>
    <w:p w14:paraId="0598B59B">
      <w:pPr>
        <w:spacing w:line="540" w:lineRule="exact"/>
        <w:jc w:val="center"/>
        <w:rPr>
          <w:rFonts w:hint="eastAsia" w:hAnsi="宋体" w:eastAsia="仿宋_GB2312" w:cs="宋体"/>
          <w:kern w:val="0"/>
          <w:sz w:val="30"/>
          <w:szCs w:val="30"/>
        </w:rPr>
      </w:pPr>
    </w:p>
    <w:p w14:paraId="4E7BB467">
      <w:pPr>
        <w:spacing w:line="540" w:lineRule="exact"/>
        <w:jc w:val="center"/>
        <w:rPr>
          <w:rFonts w:hint="eastAsia" w:hAnsi="宋体" w:eastAsia="仿宋_GB2312" w:cs="宋体"/>
          <w:kern w:val="0"/>
          <w:sz w:val="30"/>
          <w:szCs w:val="30"/>
        </w:rPr>
      </w:pPr>
    </w:p>
    <w:p w14:paraId="7AC4BCFD">
      <w:pPr>
        <w:spacing w:line="540" w:lineRule="exact"/>
        <w:jc w:val="center"/>
        <w:rPr>
          <w:rFonts w:hint="eastAsia" w:hAnsi="宋体" w:eastAsia="仿宋_GB2312" w:cs="宋体"/>
          <w:kern w:val="0"/>
          <w:sz w:val="30"/>
          <w:szCs w:val="30"/>
        </w:rPr>
      </w:pPr>
    </w:p>
    <w:p w14:paraId="5D717546">
      <w:pPr>
        <w:spacing w:line="700" w:lineRule="exact"/>
        <w:jc w:val="left"/>
        <w:rPr>
          <w:rFonts w:hint="eastAsia" w:hAnsi="宋体" w:eastAsia="仿宋_GB2312" w:cs="宋体"/>
          <w:kern w:val="0"/>
          <w:sz w:val="36"/>
          <w:szCs w:val="36"/>
        </w:rPr>
      </w:pPr>
      <w:r>
        <w:rPr>
          <w:rFonts w:hint="eastAsia" w:hAnsi="宋体" w:eastAsia="仿宋_GB2312" w:cs="宋体"/>
          <w:kern w:val="0"/>
          <w:sz w:val="36"/>
          <w:szCs w:val="36"/>
        </w:rPr>
        <w:t>项目名称：</w:t>
      </w:r>
      <w:r>
        <w:rPr>
          <w:rStyle w:val="18"/>
          <w:rFonts w:hint="eastAsia" w:ascii="楷体" w:hAnsi="楷体" w:eastAsia="楷体"/>
          <w:spacing w:val="-4"/>
          <w:sz w:val="32"/>
          <w:szCs w:val="32"/>
        </w:rPr>
        <w:t>市公务员考试招录工作经费</w:t>
      </w:r>
    </w:p>
    <w:p w14:paraId="64ACE7C7">
      <w:pPr>
        <w:spacing w:line="540" w:lineRule="exact"/>
        <w:rPr>
          <w:rFonts w:hint="eastAsia" w:ascii="楷体" w:hAnsi="楷体" w:eastAsia="楷体"/>
          <w:b/>
          <w:bCs/>
          <w:spacing w:val="-4"/>
          <w:sz w:val="32"/>
          <w:szCs w:val="32"/>
        </w:rPr>
      </w:pPr>
      <w:r>
        <w:rPr>
          <w:rFonts w:hint="eastAsia" w:hAnsi="宋体" w:eastAsia="仿宋_GB2312" w:cs="宋体"/>
          <w:kern w:val="0"/>
          <w:sz w:val="36"/>
          <w:szCs w:val="36"/>
        </w:rPr>
        <w:t>实施单位（公章）：</w:t>
      </w:r>
      <w:r>
        <w:rPr>
          <w:rStyle w:val="18"/>
          <w:rFonts w:hint="eastAsia" w:ascii="楷体" w:hAnsi="楷体" w:eastAsia="楷体"/>
          <w:spacing w:val="-4"/>
          <w:sz w:val="28"/>
          <w:szCs w:val="28"/>
        </w:rPr>
        <w:t>中共乌鲁木齐市委员会组织部</w:t>
      </w:r>
    </w:p>
    <w:p w14:paraId="5844A5F7">
      <w:pPr>
        <w:spacing w:line="540" w:lineRule="exact"/>
        <w:rPr>
          <w:rFonts w:hint="eastAsia" w:ascii="楷体" w:hAnsi="楷体" w:eastAsia="楷体"/>
          <w:b/>
          <w:bCs/>
          <w:spacing w:val="-4"/>
          <w:sz w:val="28"/>
          <w:szCs w:val="28"/>
        </w:rPr>
      </w:pPr>
      <w:r>
        <w:rPr>
          <w:rFonts w:hint="eastAsia" w:hAnsi="宋体" w:eastAsia="仿宋_GB2312" w:cs="宋体"/>
          <w:kern w:val="0"/>
          <w:sz w:val="36"/>
          <w:szCs w:val="36"/>
        </w:rPr>
        <w:t>主管部门（公章）：</w:t>
      </w:r>
      <w:r>
        <w:rPr>
          <w:rStyle w:val="18"/>
          <w:rFonts w:hint="eastAsia" w:ascii="楷体" w:hAnsi="楷体" w:eastAsia="楷体"/>
          <w:spacing w:val="-4"/>
          <w:sz w:val="28"/>
          <w:szCs w:val="28"/>
        </w:rPr>
        <w:t>中共乌鲁木齐市委员会组织部</w:t>
      </w:r>
    </w:p>
    <w:p w14:paraId="5C9FEB6A">
      <w:pPr>
        <w:spacing w:line="540" w:lineRule="exact"/>
        <w:rPr>
          <w:rFonts w:hint="eastAsia" w:ascii="楷体" w:hAnsi="楷体" w:eastAsia="楷体"/>
          <w:b/>
          <w:bCs/>
          <w:spacing w:val="-4"/>
          <w:sz w:val="32"/>
          <w:szCs w:val="32"/>
        </w:rPr>
      </w:pPr>
      <w:r>
        <w:rPr>
          <w:rFonts w:hint="eastAsia" w:hAnsi="宋体" w:eastAsia="仿宋_GB2312" w:cs="宋体"/>
          <w:kern w:val="0"/>
          <w:sz w:val="36"/>
          <w:szCs w:val="36"/>
        </w:rPr>
        <w:t>项目负责人（签章）：</w:t>
      </w:r>
      <w:r>
        <w:rPr>
          <w:rStyle w:val="18"/>
          <w:rFonts w:hint="eastAsia" w:ascii="楷体" w:hAnsi="楷体" w:eastAsia="楷体"/>
          <w:spacing w:val="-4"/>
          <w:sz w:val="32"/>
          <w:szCs w:val="32"/>
        </w:rPr>
        <w:t>张鹏</w:t>
      </w:r>
    </w:p>
    <w:p w14:paraId="7E1736EB">
      <w:pPr>
        <w:spacing w:line="540" w:lineRule="exact"/>
        <w:rPr>
          <w:rStyle w:val="18"/>
          <w:rFonts w:hint="eastAsia" w:ascii="楷体" w:hAnsi="楷体" w:eastAsia="楷体"/>
          <w:spacing w:val="-4"/>
          <w:sz w:val="32"/>
          <w:szCs w:val="32"/>
        </w:rPr>
      </w:pPr>
      <w:bookmarkStart w:id="0" w:name="_GoBack"/>
      <w:bookmarkEnd w:id="0"/>
      <w:r>
        <w:rPr>
          <w:rFonts w:hint="eastAsia" w:hAnsi="宋体" w:eastAsia="仿宋_GB2312" w:cs="宋体"/>
          <w:kern w:val="0"/>
          <w:sz w:val="36"/>
          <w:szCs w:val="36"/>
        </w:rPr>
        <w:t>填报时间：</w:t>
      </w:r>
      <w:r>
        <w:rPr>
          <w:rStyle w:val="18"/>
          <w:rFonts w:eastAsia="楷体"/>
          <w:spacing w:val="-4"/>
          <w:sz w:val="32"/>
          <w:szCs w:val="32"/>
        </w:rPr>
        <w:t>2026年04月24日</w:t>
      </w:r>
    </w:p>
    <w:p w14:paraId="4E1256B3">
      <w:pPr>
        <w:spacing w:line="540" w:lineRule="exact"/>
        <w:ind w:firstLine="624" w:firstLineChars="200"/>
        <w:rPr>
          <w:rStyle w:val="18"/>
          <w:rFonts w:hint="eastAsia" w:ascii="黑体" w:hAnsi="黑体" w:eastAsia="黑体"/>
          <w:b w:val="0"/>
          <w:spacing w:val="-4"/>
          <w:sz w:val="32"/>
          <w:szCs w:val="32"/>
        </w:rPr>
      </w:pPr>
      <w:r>
        <w:rPr>
          <w:rStyle w:val="18"/>
          <w:rFonts w:hint="eastAsia" w:ascii="黑体" w:hAnsi="黑体" w:eastAsia="黑体"/>
          <w:b w:val="0"/>
          <w:spacing w:val="-4"/>
          <w:sz w:val="32"/>
          <w:szCs w:val="32"/>
        </w:rPr>
        <w:t>一、基本情况</w:t>
      </w:r>
    </w:p>
    <w:p w14:paraId="3094DCEE">
      <w:pPr>
        <w:spacing w:line="540" w:lineRule="exact"/>
        <w:ind w:firstLine="627" w:firstLineChars="200"/>
        <w:rPr>
          <w:rStyle w:val="18"/>
          <w:rFonts w:hint="eastAsia" w:ascii="楷体" w:hAnsi="楷体" w:eastAsia="楷体"/>
          <w:spacing w:val="-4"/>
          <w:sz w:val="32"/>
          <w:szCs w:val="32"/>
        </w:rPr>
      </w:pPr>
      <w:r>
        <w:rPr>
          <w:rStyle w:val="18"/>
          <w:rFonts w:hint="eastAsia" w:ascii="楷体" w:hAnsi="楷体" w:eastAsia="楷体"/>
          <w:spacing w:val="-4"/>
          <w:sz w:val="32"/>
          <w:szCs w:val="32"/>
        </w:rPr>
        <w:t>（一）项目概况</w:t>
      </w:r>
    </w:p>
    <w:p w14:paraId="59EC7060">
      <w:pPr>
        <w:spacing w:line="540" w:lineRule="exact"/>
        <w:ind w:firstLine="624" w:firstLineChars="200"/>
        <w:rPr>
          <w:rStyle w:val="18"/>
          <w:rFonts w:eastAsia="楷体"/>
          <w:b w:val="0"/>
          <w:bCs w:val="0"/>
          <w:spacing w:val="-4"/>
          <w:sz w:val="32"/>
          <w:szCs w:val="32"/>
        </w:rPr>
      </w:pPr>
      <w:r>
        <w:rPr>
          <w:rStyle w:val="18"/>
          <w:rFonts w:eastAsia="楷体"/>
          <w:b w:val="0"/>
          <w:bCs w:val="0"/>
          <w:spacing w:val="-4"/>
          <w:sz w:val="32"/>
          <w:szCs w:val="32"/>
        </w:rPr>
        <w:t>1. 项目背景</w:t>
      </w:r>
      <w:r>
        <w:rPr>
          <w:rStyle w:val="18"/>
          <w:rFonts w:eastAsia="楷体"/>
          <w:b w:val="0"/>
          <w:bCs w:val="0"/>
          <w:spacing w:val="-4"/>
          <w:sz w:val="32"/>
          <w:szCs w:val="32"/>
        </w:rPr>
        <w:cr/>
      </w:r>
      <w:r>
        <w:rPr>
          <w:rStyle w:val="18"/>
          <w:rFonts w:eastAsia="楷体"/>
          <w:b w:val="0"/>
          <w:bCs w:val="0"/>
          <w:spacing w:val="-4"/>
          <w:sz w:val="32"/>
          <w:szCs w:val="32"/>
        </w:rPr>
        <w:br w:type="textWrapping"/>
      </w:r>
      <w:r>
        <w:rPr>
          <w:rStyle w:val="18"/>
          <w:rFonts w:eastAsia="楷体"/>
          <w:b w:val="0"/>
          <w:bCs w:val="0"/>
          <w:spacing w:val="-4"/>
          <w:sz w:val="32"/>
          <w:szCs w:val="32"/>
        </w:rPr>
        <w:t>随着国家对公务员队伍建设的重视，公务员考试招录工作作为选拔优秀人才的重要途径，其规范性和公正性受到广泛关注。国家和地方政府相继出台了一系列政策，旨在优化招录流程，确保招录工作的公开、公平、公正。市委组织部作为负责全市公务员队伍建设的主管部门，需严格按照自治区统一部署，规范有序组织开展公务员招录工作，确保招录程序严谨、考试安全平稳、人员选拔精准。为保障公务员考试招录工作顺利实施，根据自治区人社厅、自治区财政厅《关于明确自治区人事考试考务费支出具体标准的通知》（新人社发〔2018〕51号）确定的相关标准，并参照往年经费使用情况，设立本项目，切实为全市各级机关补充新鲜血液，不断优化公务员队伍结构。</w:t>
      </w:r>
      <w:r>
        <w:rPr>
          <w:rStyle w:val="18"/>
          <w:rFonts w:eastAsia="楷体"/>
          <w:b w:val="0"/>
          <w:bCs w:val="0"/>
          <w:spacing w:val="-4"/>
          <w:sz w:val="32"/>
          <w:szCs w:val="32"/>
        </w:rPr>
        <w:cr/>
      </w:r>
      <w:r>
        <w:rPr>
          <w:rStyle w:val="18"/>
          <w:rFonts w:eastAsia="楷体"/>
          <w:b w:val="0"/>
          <w:bCs w:val="0"/>
          <w:spacing w:val="-4"/>
          <w:sz w:val="32"/>
          <w:szCs w:val="32"/>
        </w:rPr>
        <w:br w:type="textWrapping"/>
      </w:r>
      <w:r>
        <w:rPr>
          <w:rStyle w:val="18"/>
          <w:rFonts w:eastAsia="楷体"/>
          <w:b w:val="0"/>
          <w:bCs w:val="0"/>
          <w:spacing w:val="-4"/>
          <w:sz w:val="32"/>
          <w:szCs w:val="32"/>
        </w:rPr>
        <w:t>2.主要内容</w:t>
      </w:r>
      <w:r>
        <w:rPr>
          <w:rStyle w:val="18"/>
          <w:rFonts w:eastAsia="楷体"/>
          <w:b w:val="0"/>
          <w:bCs w:val="0"/>
          <w:spacing w:val="-4"/>
          <w:sz w:val="32"/>
          <w:szCs w:val="32"/>
        </w:rPr>
        <w:cr/>
      </w:r>
      <w:r>
        <w:rPr>
          <w:rStyle w:val="18"/>
          <w:rFonts w:eastAsia="楷体"/>
          <w:b w:val="0"/>
          <w:bCs w:val="0"/>
          <w:spacing w:val="-4"/>
          <w:sz w:val="32"/>
          <w:szCs w:val="32"/>
        </w:rPr>
        <w:br w:type="textWrapping"/>
      </w:r>
      <w:r>
        <w:rPr>
          <w:rStyle w:val="18"/>
          <w:rFonts w:eastAsia="楷体"/>
          <w:b w:val="0"/>
          <w:bCs w:val="0"/>
          <w:spacing w:val="-4"/>
          <w:sz w:val="32"/>
          <w:szCs w:val="32"/>
        </w:rPr>
        <w:t>本项目主要用于保障2025年度乌鲁木齐市公务员考试招录工作的顺利实施，资金支出范围主要包括三个方面：一是人员经费，主要用于考录工作期间考务人员、工作人员及面试考官的劳务费等支出；二是场地费用，主要用于资格审查及面试场地租赁等支出；三是保障工作经费，主要用于考试所需的用餐饮水费用，以及办公用品购置、考试表格印制、考点指示牌制作等支出。</w:t>
      </w:r>
      <w:r>
        <w:rPr>
          <w:rStyle w:val="18"/>
          <w:rFonts w:eastAsia="楷体"/>
          <w:b w:val="0"/>
          <w:bCs w:val="0"/>
          <w:spacing w:val="-4"/>
          <w:sz w:val="32"/>
          <w:szCs w:val="32"/>
        </w:rPr>
        <w:cr/>
      </w:r>
      <w:r>
        <w:rPr>
          <w:rStyle w:val="18"/>
          <w:rFonts w:eastAsia="楷体"/>
          <w:b w:val="0"/>
          <w:bCs w:val="0"/>
          <w:spacing w:val="-4"/>
          <w:sz w:val="32"/>
          <w:szCs w:val="32"/>
        </w:rPr>
        <w:br w:type="textWrapping"/>
      </w:r>
      <w:r>
        <w:rPr>
          <w:rStyle w:val="18"/>
          <w:rFonts w:eastAsia="楷体"/>
          <w:b w:val="0"/>
          <w:bCs w:val="0"/>
          <w:spacing w:val="-4"/>
          <w:sz w:val="32"/>
          <w:szCs w:val="32"/>
        </w:rPr>
        <w:t>3.实施情况</w:t>
      </w:r>
      <w:r>
        <w:rPr>
          <w:rStyle w:val="18"/>
          <w:rFonts w:eastAsia="楷体"/>
          <w:b w:val="0"/>
          <w:bCs w:val="0"/>
          <w:spacing w:val="-4"/>
          <w:sz w:val="32"/>
          <w:szCs w:val="32"/>
        </w:rPr>
        <w:cr/>
      </w:r>
      <w:r>
        <w:rPr>
          <w:rStyle w:val="18"/>
          <w:rFonts w:eastAsia="楷体"/>
          <w:b w:val="0"/>
          <w:bCs w:val="0"/>
          <w:spacing w:val="-4"/>
          <w:sz w:val="32"/>
          <w:szCs w:val="32"/>
        </w:rPr>
        <w:br w:type="textWrapping"/>
      </w:r>
      <w:r>
        <w:rPr>
          <w:rStyle w:val="18"/>
          <w:rFonts w:eastAsia="楷体"/>
          <w:b w:val="0"/>
          <w:bCs w:val="0"/>
          <w:spacing w:val="-4"/>
          <w:sz w:val="32"/>
          <w:szCs w:val="32"/>
        </w:rPr>
        <w:t>实施主体：中共乌鲁木齐市委员会组织部。</w:t>
      </w:r>
      <w:r>
        <w:rPr>
          <w:rStyle w:val="18"/>
          <w:rFonts w:eastAsia="楷体"/>
          <w:b w:val="0"/>
          <w:bCs w:val="0"/>
          <w:spacing w:val="-4"/>
          <w:sz w:val="32"/>
          <w:szCs w:val="32"/>
        </w:rPr>
        <w:cr/>
      </w:r>
      <w:r>
        <w:rPr>
          <w:rStyle w:val="18"/>
          <w:rFonts w:eastAsia="楷体"/>
          <w:b w:val="0"/>
          <w:bCs w:val="0"/>
          <w:spacing w:val="-4"/>
          <w:sz w:val="32"/>
          <w:szCs w:val="32"/>
        </w:rPr>
        <w:br w:type="textWrapping"/>
      </w:r>
      <w:r>
        <w:rPr>
          <w:rStyle w:val="18"/>
          <w:rFonts w:eastAsia="楷体"/>
          <w:b w:val="0"/>
          <w:bCs w:val="0"/>
          <w:spacing w:val="-4"/>
          <w:sz w:val="32"/>
          <w:szCs w:val="32"/>
        </w:rPr>
        <w:t>实施时间：本项目实施时间为2025年1月—2025年12月。</w:t>
      </w:r>
      <w:r>
        <w:rPr>
          <w:rStyle w:val="18"/>
          <w:rFonts w:eastAsia="楷体"/>
          <w:b w:val="0"/>
          <w:bCs w:val="0"/>
          <w:spacing w:val="-4"/>
          <w:sz w:val="32"/>
          <w:szCs w:val="32"/>
        </w:rPr>
        <w:cr/>
      </w:r>
      <w:r>
        <w:rPr>
          <w:rStyle w:val="18"/>
          <w:rFonts w:eastAsia="楷体"/>
          <w:b w:val="0"/>
          <w:bCs w:val="0"/>
          <w:spacing w:val="-4"/>
          <w:sz w:val="32"/>
          <w:szCs w:val="32"/>
        </w:rPr>
        <w:br w:type="textWrapping"/>
      </w:r>
      <w:r>
        <w:rPr>
          <w:rStyle w:val="18"/>
          <w:rFonts w:eastAsia="楷体"/>
          <w:b w:val="0"/>
          <w:bCs w:val="0"/>
          <w:spacing w:val="-4"/>
          <w:sz w:val="32"/>
          <w:szCs w:val="32"/>
        </w:rPr>
        <w:t>实施情况：本项目严格按照自治区党委组织部关于公务员招录工作的统一部署和时间节点要求组织实施。前期准备阶段，根据全市各级机关编制空缺情况和用人需求，科学制定招录计划，研究确定招录职位和资格条件，做好招录公告发布前的各项准备工作。招录实施阶段，严格按照公告要求组织网上报名、资格审核、笔试、面试、体检、考察等各环节工作，确保程序规范、公开透明。笔试和面试环节严格按照国家教育考试标准和人事考试保密要求，落实试卷命题、印制、运输、保管等全流程安全保密措施，规范设置考场，选派监考人员和考务工作人员。考察环节按照《公务员录用考察办法》要求，成立考察组对拟录用人员进行实地考察，全面了解其政治素质、道德品行、日常表现和群众口碑。通过以上各环节的规范实施，全年共完成公务员招录2次（面向社会公开考试录用公务员和面向部分高校选调优秀毕业生），录用公务员996人。</w:t>
      </w:r>
      <w:r>
        <w:rPr>
          <w:rStyle w:val="18"/>
          <w:rFonts w:eastAsia="楷体"/>
          <w:b w:val="0"/>
          <w:bCs w:val="0"/>
          <w:spacing w:val="-4"/>
          <w:sz w:val="32"/>
          <w:szCs w:val="32"/>
        </w:rPr>
        <w:cr/>
      </w:r>
      <w:r>
        <w:rPr>
          <w:rStyle w:val="18"/>
          <w:rFonts w:eastAsia="楷体"/>
          <w:b w:val="0"/>
          <w:bCs w:val="0"/>
          <w:spacing w:val="-4"/>
          <w:sz w:val="32"/>
          <w:szCs w:val="32"/>
        </w:rPr>
        <w:br w:type="textWrapping"/>
      </w:r>
      <w:r>
        <w:rPr>
          <w:rStyle w:val="18"/>
          <w:rFonts w:eastAsia="楷体"/>
          <w:b w:val="0"/>
          <w:bCs w:val="0"/>
          <w:spacing w:val="-4"/>
          <w:sz w:val="32"/>
          <w:szCs w:val="32"/>
        </w:rPr>
        <w:t>4.项目实施主体</w:t>
      </w:r>
      <w:r>
        <w:rPr>
          <w:rStyle w:val="18"/>
          <w:rFonts w:eastAsia="楷体"/>
          <w:b w:val="0"/>
          <w:bCs w:val="0"/>
          <w:spacing w:val="-4"/>
          <w:sz w:val="32"/>
          <w:szCs w:val="32"/>
        </w:rPr>
        <w:cr/>
      </w:r>
      <w:r>
        <w:rPr>
          <w:rStyle w:val="18"/>
          <w:rFonts w:eastAsia="楷体"/>
          <w:b w:val="0"/>
          <w:bCs w:val="0"/>
          <w:spacing w:val="-4"/>
          <w:sz w:val="32"/>
          <w:szCs w:val="32"/>
        </w:rPr>
        <w:br w:type="textWrapping"/>
      </w:r>
      <w:r>
        <w:rPr>
          <w:rStyle w:val="18"/>
          <w:rFonts w:eastAsia="楷体"/>
          <w:b w:val="0"/>
          <w:bCs w:val="0"/>
          <w:spacing w:val="-4"/>
          <w:sz w:val="32"/>
          <w:szCs w:val="32"/>
        </w:rPr>
        <w:t>项目单位情况：本项目实施单位为中共乌鲁木齐市委员会组织部，是市委主管组织工作和干部工作的职能部门，其主要职责包括但不限于：负责公务员队伍建设、负责公务员录用调配、考核奖惩、培训等管理工作。本项目具体由公务员二科负责牵头组织实施。</w:t>
      </w:r>
      <w:r>
        <w:rPr>
          <w:rStyle w:val="18"/>
          <w:rFonts w:eastAsia="楷体"/>
          <w:b w:val="0"/>
          <w:bCs w:val="0"/>
          <w:spacing w:val="-4"/>
          <w:sz w:val="32"/>
          <w:szCs w:val="32"/>
        </w:rPr>
        <w:cr/>
      </w:r>
      <w:r>
        <w:rPr>
          <w:rStyle w:val="18"/>
          <w:rFonts w:eastAsia="楷体"/>
          <w:b w:val="0"/>
          <w:bCs w:val="0"/>
          <w:spacing w:val="-4"/>
          <w:sz w:val="32"/>
          <w:szCs w:val="32"/>
        </w:rPr>
        <w:br w:type="textWrapping"/>
      </w:r>
      <w:r>
        <w:rPr>
          <w:rStyle w:val="18"/>
          <w:rFonts w:eastAsia="楷体"/>
          <w:b w:val="0"/>
          <w:bCs w:val="0"/>
          <w:spacing w:val="-4"/>
          <w:sz w:val="32"/>
          <w:szCs w:val="32"/>
        </w:rPr>
        <w:t>项目管理架构：为确保项目顺利实施，本项目由公务员二科全权负责组织实施。公务员二科作为牵头科室，承担项目统筹协调、方案制定、流程管理等具体工作，相关科室成员按照职责分工予以配合。项目实施过程中，通过业务与财务工作共同配合衔接，形成明确责任分工的管理制度，严格按照自治区统一部署和年度招录工作计划，各相关科室按照职责分工协同配合，共同推进各项工作规范有序开展。</w:t>
      </w:r>
      <w:r>
        <w:rPr>
          <w:rStyle w:val="18"/>
          <w:rFonts w:eastAsia="楷体"/>
          <w:b w:val="0"/>
          <w:bCs w:val="0"/>
          <w:spacing w:val="-4"/>
          <w:sz w:val="32"/>
          <w:szCs w:val="32"/>
        </w:rPr>
        <w:cr/>
      </w:r>
      <w:r>
        <w:rPr>
          <w:rStyle w:val="18"/>
          <w:rFonts w:eastAsia="楷体"/>
          <w:b w:val="0"/>
          <w:bCs w:val="0"/>
          <w:spacing w:val="-4"/>
          <w:sz w:val="32"/>
          <w:szCs w:val="32"/>
        </w:rPr>
        <w:br w:type="textWrapping"/>
      </w:r>
      <w:r>
        <w:rPr>
          <w:rStyle w:val="18"/>
          <w:rFonts w:eastAsia="楷体"/>
          <w:b w:val="0"/>
          <w:bCs w:val="0"/>
          <w:spacing w:val="-4"/>
          <w:sz w:val="32"/>
          <w:szCs w:val="32"/>
        </w:rPr>
        <w:t>5.资金投入和使用情况</w:t>
      </w:r>
      <w:r>
        <w:rPr>
          <w:rStyle w:val="18"/>
          <w:rFonts w:eastAsia="楷体"/>
          <w:b w:val="0"/>
          <w:bCs w:val="0"/>
          <w:spacing w:val="-4"/>
          <w:sz w:val="32"/>
          <w:szCs w:val="32"/>
        </w:rPr>
        <w:cr/>
      </w:r>
      <w:r>
        <w:rPr>
          <w:rStyle w:val="18"/>
          <w:rFonts w:eastAsia="楷体"/>
          <w:b w:val="0"/>
          <w:bCs w:val="0"/>
          <w:spacing w:val="-4"/>
          <w:sz w:val="32"/>
          <w:szCs w:val="32"/>
        </w:rPr>
        <w:br w:type="textWrapping"/>
      </w:r>
      <w:r>
        <w:rPr>
          <w:rStyle w:val="18"/>
          <w:rFonts w:eastAsia="楷体"/>
          <w:b w:val="0"/>
          <w:bCs w:val="0"/>
          <w:spacing w:val="-4"/>
          <w:sz w:val="32"/>
          <w:szCs w:val="32"/>
        </w:rPr>
        <w:t>（1）项目资金安排落实、总投入等情况分析</w:t>
      </w:r>
      <w:r>
        <w:rPr>
          <w:rStyle w:val="18"/>
          <w:rFonts w:eastAsia="楷体"/>
          <w:b w:val="0"/>
          <w:bCs w:val="0"/>
          <w:spacing w:val="-4"/>
          <w:sz w:val="32"/>
          <w:szCs w:val="32"/>
        </w:rPr>
        <w:cr/>
      </w:r>
      <w:r>
        <w:rPr>
          <w:rStyle w:val="18"/>
          <w:rFonts w:eastAsia="楷体"/>
          <w:b w:val="0"/>
          <w:bCs w:val="0"/>
          <w:spacing w:val="-4"/>
          <w:sz w:val="32"/>
          <w:szCs w:val="32"/>
        </w:rPr>
        <w:br w:type="textWrapping"/>
      </w:r>
      <w:r>
        <w:rPr>
          <w:rStyle w:val="18"/>
          <w:rFonts w:eastAsia="楷体"/>
          <w:b w:val="0"/>
          <w:bCs w:val="0"/>
          <w:spacing w:val="-4"/>
          <w:sz w:val="32"/>
          <w:szCs w:val="32"/>
        </w:rPr>
        <w:t>本项目预算安排总额为112.00万元，资金来源为本级部门预算，其中：财政资金112.00万元，其他资金0.00万元，2025年实际收到预算资金112.00万元，预算资金到位率为100%。</w:t>
      </w:r>
      <w:r>
        <w:rPr>
          <w:rStyle w:val="18"/>
          <w:rFonts w:eastAsia="楷体"/>
          <w:b w:val="0"/>
          <w:bCs w:val="0"/>
          <w:spacing w:val="-4"/>
          <w:sz w:val="32"/>
          <w:szCs w:val="32"/>
        </w:rPr>
        <w:cr/>
      </w:r>
      <w:r>
        <w:rPr>
          <w:rStyle w:val="18"/>
          <w:rFonts w:eastAsia="楷体"/>
          <w:b w:val="0"/>
          <w:bCs w:val="0"/>
          <w:spacing w:val="-4"/>
          <w:sz w:val="32"/>
          <w:szCs w:val="32"/>
        </w:rPr>
        <w:br w:type="textWrapping"/>
      </w:r>
      <w:r>
        <w:rPr>
          <w:rStyle w:val="18"/>
          <w:rFonts w:eastAsia="楷体"/>
          <w:b w:val="0"/>
          <w:bCs w:val="0"/>
          <w:spacing w:val="-4"/>
          <w:sz w:val="32"/>
          <w:szCs w:val="32"/>
        </w:rPr>
        <w:t>（2）项目资金实际使用情况分析</w:t>
      </w:r>
      <w:r>
        <w:rPr>
          <w:rStyle w:val="18"/>
          <w:rFonts w:eastAsia="楷体"/>
          <w:b w:val="0"/>
          <w:bCs w:val="0"/>
          <w:spacing w:val="-4"/>
          <w:sz w:val="32"/>
          <w:szCs w:val="32"/>
        </w:rPr>
        <w:cr/>
      </w:r>
      <w:r>
        <w:rPr>
          <w:rStyle w:val="18"/>
          <w:rFonts w:eastAsia="楷体"/>
          <w:b w:val="0"/>
          <w:bCs w:val="0"/>
          <w:spacing w:val="-4"/>
          <w:sz w:val="32"/>
          <w:szCs w:val="32"/>
        </w:rPr>
        <w:br w:type="textWrapping"/>
      </w:r>
      <w:r>
        <w:rPr>
          <w:rStyle w:val="18"/>
          <w:rFonts w:eastAsia="楷体"/>
          <w:b w:val="0"/>
          <w:bCs w:val="0"/>
          <w:spacing w:val="-4"/>
          <w:sz w:val="32"/>
          <w:szCs w:val="32"/>
        </w:rPr>
        <w:t>本项目实际支付资金94.38万元，预算执行率84.27%，结余资金额度17.62万元。本项目资金主要用于支付办公费8.70万元、印刷费0.32万元、劳务费85.36万元。</w:t>
      </w:r>
    </w:p>
    <w:p w14:paraId="5E9FEB83">
      <w:pPr>
        <w:spacing w:line="540" w:lineRule="exact"/>
        <w:ind w:firstLine="627" w:firstLineChars="200"/>
        <w:rPr>
          <w:rStyle w:val="18"/>
          <w:rFonts w:hint="eastAsia" w:ascii="楷体" w:hAnsi="楷体" w:eastAsia="楷体"/>
          <w:spacing w:val="-4"/>
          <w:sz w:val="32"/>
          <w:szCs w:val="32"/>
        </w:rPr>
      </w:pPr>
      <w:r>
        <w:rPr>
          <w:rStyle w:val="18"/>
          <w:rFonts w:hint="eastAsia" w:ascii="楷体" w:hAnsi="楷体" w:eastAsia="楷体"/>
          <w:spacing w:val="-4"/>
          <w:sz w:val="32"/>
          <w:szCs w:val="32"/>
        </w:rPr>
        <w:t>（二）项目绩效目标</w:t>
      </w:r>
    </w:p>
    <w:p w14:paraId="381AFC39">
      <w:pPr>
        <w:spacing w:line="540" w:lineRule="exact"/>
        <w:ind w:firstLine="624" w:firstLineChars="200"/>
        <w:rPr>
          <w:rStyle w:val="18"/>
          <w:rFonts w:eastAsia="楷体"/>
          <w:b w:val="0"/>
          <w:bCs w:val="0"/>
          <w:spacing w:val="-4"/>
          <w:sz w:val="32"/>
          <w:szCs w:val="32"/>
        </w:rPr>
      </w:pPr>
      <w:r>
        <w:rPr>
          <w:rStyle w:val="18"/>
          <w:rFonts w:hint="eastAsia" w:eastAsia="楷体"/>
          <w:b w:val="0"/>
          <w:bCs w:val="0"/>
          <w:spacing w:val="-4"/>
          <w:sz w:val="32"/>
          <w:szCs w:val="32"/>
        </w:rPr>
        <w:t>1.项目绩效总目标</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通过规范有序组织开展2025年度乌鲁木齐市公务员考试招录工作，进一步健全公开、公平、公正的公务员考录机制，持续优化全市公务员队伍结构，不断提升公务员队伍的政治素质和专业能力，为建设忠诚干净担当的高素质专业化公务员队伍提供坚实的人才保障和智力支撑，为推动乌鲁木齐市经济社会高质量发展和社会稳定长治久安贡献组织力量。</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2.年度目标</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根据《中华人民共和国预算法》《财政支出绩效评价管理暂行办法》（财预〔2020〕10号）、《中共中央 国务院关于全面实施预算绩效管理的意见》（中发〔2018〕34号）、《自治区党委自治区人民政府关于全面实施预算绩效管理的实施意见》（新党发〔2018〕30号）、《自治区财政支出绩效评价管理暂行办法》（新财预〔2018〕189号）的规定，结合我单位的规章制度以及项目实施和财务相关资料，评价小组对项目绩效指标进行了进一步的完善，完善后绩效指标如下：</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（1）项目产出指标</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①数量指标</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“开展2025年度公务员考试招录工作次数”指标，预期指标值为“&gt;=1次”；</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②质量指标</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“资金使用合规率”指标，预期指标值为“=100%”；</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③时效指标</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“资金支付及时率”指标，预期指标值为“&gt;=95%”；</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（2）项目成本指标</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①经济成本指标</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“保障人员经费”指标，预期指标值为“&lt;=94.64万元”；</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“保障场地费用”指标，预期指标值为“&lt;=7.04万元”；</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“保障工作经费”指标，预期指标值为“&lt;=10.32万元”；</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②社会成本指标</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无此类指标；</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③生态环境成本指标</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无此类指标；</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（3）项目效益指标</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①经济效益指标</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无此类指标；</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②社会效益指标</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“强化公务员队伍素质”指标，预期指标值为“有效强化”；</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“推动公务员事业发展”指标，预期指标值为“有效推动”；</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③生态效益指标</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无此类指标；</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（4）项目满意度指标</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无此类指标。</w:t>
      </w:r>
    </w:p>
    <w:p w14:paraId="7E4AE54E">
      <w:pPr>
        <w:spacing w:line="540" w:lineRule="exact"/>
        <w:ind w:firstLine="624" w:firstLineChars="200"/>
        <w:rPr>
          <w:rStyle w:val="18"/>
          <w:rFonts w:hint="eastAsia" w:ascii="黑体" w:hAnsi="黑体" w:eastAsia="黑体"/>
          <w:b w:val="0"/>
          <w:spacing w:val="-4"/>
          <w:sz w:val="32"/>
          <w:szCs w:val="32"/>
        </w:rPr>
      </w:pPr>
      <w:r>
        <w:rPr>
          <w:rStyle w:val="18"/>
          <w:rFonts w:hint="eastAsia" w:ascii="黑体" w:hAnsi="黑体" w:eastAsia="黑体"/>
          <w:b w:val="0"/>
          <w:spacing w:val="-4"/>
          <w:sz w:val="32"/>
          <w:szCs w:val="32"/>
        </w:rPr>
        <w:t>二、绩效评价工作开展情况</w:t>
      </w:r>
    </w:p>
    <w:p w14:paraId="1A4BCFEF">
      <w:pPr>
        <w:spacing w:line="540" w:lineRule="exact"/>
        <w:ind w:firstLine="627" w:firstLineChars="200"/>
        <w:rPr>
          <w:rStyle w:val="18"/>
          <w:rFonts w:hint="eastAsia" w:ascii="楷体" w:hAnsi="楷体" w:eastAsia="楷体"/>
          <w:spacing w:val="-4"/>
          <w:sz w:val="32"/>
          <w:szCs w:val="32"/>
        </w:rPr>
      </w:pPr>
      <w:r>
        <w:rPr>
          <w:rStyle w:val="18"/>
          <w:rFonts w:hint="eastAsia" w:ascii="楷体" w:hAnsi="楷体" w:eastAsia="楷体"/>
          <w:spacing w:val="-4"/>
          <w:sz w:val="32"/>
          <w:szCs w:val="32"/>
        </w:rPr>
        <w:t>（一）绩效评价目的、对象和范围</w:t>
      </w:r>
    </w:p>
    <w:p w14:paraId="6974BB32">
      <w:pPr>
        <w:spacing w:line="540" w:lineRule="exact"/>
        <w:ind w:firstLine="624" w:firstLineChars="200"/>
        <w:rPr>
          <w:rStyle w:val="18"/>
          <w:rFonts w:eastAsia="楷体"/>
          <w:b w:val="0"/>
          <w:bCs w:val="0"/>
          <w:spacing w:val="-4"/>
          <w:sz w:val="32"/>
          <w:szCs w:val="32"/>
        </w:rPr>
      </w:pPr>
      <w:r>
        <w:rPr>
          <w:rStyle w:val="18"/>
          <w:rFonts w:hint="eastAsia" w:eastAsia="楷体"/>
          <w:b w:val="0"/>
          <w:bCs w:val="0"/>
          <w:spacing w:val="-4"/>
          <w:sz w:val="32"/>
          <w:szCs w:val="32"/>
        </w:rPr>
        <w:t>1. 绩效评价的目的</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为全面实施预算绩效管理，建立科学、合理的项目支出绩效评价管理体系，提高财政资源配置效率和使用效益，根据财政部印发《项目支出绩效评价管理办法》（财预〔2020〕10号）、《关于印发〈中央部门项目支出核心绩效目标和指标设置及取值指引（试行）〉的通知》（财预〔2021〕101号）、《关于印发〈自治区项目支出绩效目标设置指引〉的通知》（新财预〔2022〕42号）、《自治区财政支出绩效评价管理暂行办法》（新财预〔2018〕189号）文件精神，开展本次部门项目支出绩效评价工作。通过绩效评价，促进本单位总结经验、发现问题、改进工作，旨在评价本项目前期审批、实施过程及实施效果，促进预算管理不断完善，加快绩效目标的实现，保证财政资金有效、合理使用，具体绩效评价的目的细分如下：</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一是通过部门项目支出绩效评价，进一步严格落实《中华人民共和国预算法》以及党中央、国务院关于加强预算绩效管理的指示精神，建立健全“花钱必问效、无效必问责”的绩效预算管理机制、提升财政资金的使用效能。</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二是通过部门项目支出绩效评价，进一步完善绩效目标，根据项目绩效目标设立情况，细化形成多维度绩效指标，将绩效指标细化为数量指标、质量指标、时效指标、成本指标、经济效益指标、社会效益指标、可持续影响指标、服务对象满意度指标等内容，保证项目绩效指标设置科学、规范、合理、可衡量。</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三是通过部门项目支出绩效评价，进一步纠正对绩效管理理解上的偏差，建立更加全面科学的绩效指标体系，督促在预算编制中，将资金申请、绩效目标和具体指标统筹考虑，形成“花钱问效”的责任契约机制，进一步强化预算绩效管理的严肃性和约束力，推动绩效管理向全方位的绩效预算转变，逐步建立“以绩效目标为导向，以绩效评价为手段，以评价结果应用为保障，全方位、全覆盖、全过程”的绩效预算管理新体制。</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四是通过部门项目支出绩效评价，从绩效的角度发现本项目在决策、实施和管理过程中存在的问题，寻求解决方案，为进一步深化项目管理工作提供依据，为促进项目进一步的推进和后期项目维护和评价工作提供更深一步的理论和实际支持。</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2.绩效评价对象</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此次我单位根据《财政支出绩效评价管理暂行办法》（财预〔2020〕10号）文件要求实施评价工作，本次评价对象为市公务员考试招录工作经费，评价核心为项目资金、项目产出、项目效益。</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3.绩效评价范围</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本次评价范围涵盖项目总体绩效目标、各项绩效指标完成情况以及预算执行情况。覆盖项目预算资金支出的所有内容进行评价。包括项目决策、项目实施和项目成果验收流程等。</w:t>
      </w:r>
    </w:p>
    <w:p w14:paraId="3E3E4FEC">
      <w:pPr>
        <w:spacing w:line="540" w:lineRule="exact"/>
        <w:ind w:firstLine="627" w:firstLineChars="200"/>
        <w:rPr>
          <w:rStyle w:val="18"/>
          <w:rFonts w:hint="eastAsia" w:ascii="楷体" w:hAnsi="楷体" w:eastAsia="楷体"/>
          <w:spacing w:val="-4"/>
          <w:sz w:val="32"/>
          <w:szCs w:val="32"/>
        </w:rPr>
      </w:pPr>
      <w:r>
        <w:rPr>
          <w:rStyle w:val="18"/>
          <w:rFonts w:hint="eastAsia" w:ascii="楷体" w:hAnsi="楷体" w:eastAsia="楷体"/>
          <w:spacing w:val="-4"/>
          <w:sz w:val="32"/>
          <w:szCs w:val="32"/>
        </w:rPr>
        <w:t>（二）绩效评价原则、评价指标体系、评价方法、评价标准</w:t>
      </w:r>
    </w:p>
    <w:p w14:paraId="778CD3A4">
      <w:pPr>
        <w:spacing w:line="540" w:lineRule="exact"/>
        <w:ind w:firstLine="624" w:firstLineChars="200"/>
        <w:rPr>
          <w:rStyle w:val="18"/>
          <w:rFonts w:eastAsia="楷体"/>
          <w:b w:val="0"/>
          <w:bCs w:val="0"/>
          <w:spacing w:val="-4"/>
          <w:sz w:val="32"/>
          <w:szCs w:val="32"/>
        </w:rPr>
      </w:pPr>
      <w:r>
        <w:rPr>
          <w:rStyle w:val="18"/>
          <w:rFonts w:hint="eastAsia" w:eastAsia="楷体"/>
          <w:b w:val="0"/>
          <w:bCs w:val="0"/>
          <w:spacing w:val="-4"/>
          <w:sz w:val="32"/>
          <w:szCs w:val="32"/>
        </w:rPr>
        <w:t>1. 绩效评价原则</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依据《中华人民共和国预算法》《中共中央 国务院关于全面实施预算绩效管理的意见》（中发〔2018〕34号）、《项目支出绩效评价管理办法》（财预〔2020〕10号）、《自治区党委自治区人民政府关于全面实施预算绩效管理的实施意见》（新党发〔2018〕30号）、《自治区财政支出绩效评价管理暂行办法》（新财预〔2018〕189号）等要求，绩效评价应遵循如下原则：</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（1）科学公正。绩效评价应当运用科学合理的方法，按照规范的程序，对项目绩效进行客观、公正的反映。</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2）统筹兼顾。单位自评、部门评价和财政评价应职责明确，各有侧重，相互衔接。单位自评应由项目单位自主实施，即“谁支出、谁自评”。部门评价和财政评价应在单位自评的基础上开展，必要时可委托第三方机构实施。</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（3）激励约束。绩效评价结果应与预算安排、政策调整、改进管理实质性挂钩，体现奖优罚劣和激励相容导向，有效要安排、低效要压减、无效要问责。</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（4）公开透明。绩效评价结果应依法依规公开，并自觉接受社会监督。</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根据以上原则，绩效评价应遵循如下要求：</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（1）在数据采集时，采取客观数据，由主管部门审查、社会中介组织复查，与问卷调查相结合的形式，以保证各项指标的真实性。</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（2）保证评价结果的真实性、公正性，提高评价报告的公信力。</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3）绩效评价报告应当简明扼要，除了对绩效评价的过程、结果描述外，还应总结经验，指出问题，并就共性问题提出可操作性改进建议。评价工作组本着科学规范、公平公正、绩效相关的原则，采用全面、重点、现场和非现场相结合的方式进行评价。</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2. 绩效评价指标体系</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我单位通过实施资料研读及前期调研，结合项目的实际开展情况，按照《项目支出绩效评价管理办法》（财预〔2020〕10号）文件要求，结合项目特点，经与专家组充分协商，设置指标体系结构如下：设置一级指标共4个，包括：决策指标（21.00%）、过程指标（19.00%）、产出指标（40.00%）、效益指标（20.00%）四类指标。主要围绕资金使用、项目管理、资源配置等方面，客观分析项目的产出和效果，从而考察项目预算定额标准的合理性，进而提出完善意见。整个评价框架构成体现从投入、过程到产出、效果和影响的绩效逻辑路径。详细指标体系见“附件1: 市公务员考试招录工作经费支出绩效评价指标体系”。</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实际评价过程中根据实际完成情况，对照标准进行量化评分。最终根据总分（满分100分）确定绩效等级：90（含）-100分为“优”、80（含）-90分为“良”、70（含）-80分为“中”、70分以下为“差”。</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3. 评价方法</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绩效评价方法主要包括成本效益分析法、比较法、因素分析法、最低成本法、公众评判法、标杆管理法等。我单位根据本项目资金的性质和特点，选用比较法、因素分析法、成本效益分析法、实地勘察法以及文献法对项目进行评价，旨在通过综合分析影响绩效目标实现、实施效果的内外部因素，从而评价本项目绩效。</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三级指标分析环节：总体采用比较法，同时辅以文献法、成本效益法、因素分析法以及公众评判法，根据不同三级指标类型进行逐项分析。</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①定量指标分析环节：主要采用对比三级指标预期指标值和三级指标截至评价日的完成情况，综合分析绩效目标实现程度。将实际完成值与年初指标值相比，完成指标值该指标赋全部分值；对完成值高于指标值较多的，要分析原因，如果是由于年初指标值设定明显偏低，要按照偏离度适度调减分值；未完成指标值的，按照完成值与指标值的比例计分。</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②定性指标分析环节：主要采用文献法，通过查阅项目实施方案、年度工作总结、相关政策文件等资料，综合评价本项目实施后所产生的社会效益。将结果按照《项目支出绩效评价管理办法》（财预〔2020〕10号）文件要求分为达成年度指标、部分达成年度指标并具有一定效果、未达成年度指标且效果较差三档，分别按照该指标对应分值区间100.00%—80.00%（含）、80.00%—60.00%（含）、60.00%—0.00%合理确定分值，详细评价方法的应用如下：</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立项依据充分性：比较法、文献法，查找法律法规政策以及规划，对比实际执行内容和政策支持内容是否匹配。</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立项程序规范性：比较法、文献法，查找相关项目设立的政策和文件要求，对比分析实际执行程序是否按照政策及文件要求执行，分析立项程序的规范性。</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绩效目标合理性：比较法，对比分析年初编制项目支出绩效目标表与项目内容的相关性、资金的匹配性等。</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绩效指标明确性：比较法，比较分析年初编制项目支出绩效目标表是否符合双七原则，是否可衡量。</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预算编制科学性：成本效益分析法，分析在产出一定的情况下，成本取值是否有依据，是否经过询价，是否按照市场最低成本编制。</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资金分配合理性：因素分析法，综合分析资金的分配依据是否充分，分配金额是否与项目实施单位需求金额一致，</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资金到位率：比较法，资金到位率预期指标值应为100.00%，通过实际计算，分析实际完成值和预期指标值之间的差距和原因。</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预算执行率：比较法，预算执行率预期指标值应为100.00%，通过实际计算，分析实际完成值和预期指标值之间的差距和原因。</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资金使用合规性：文献法、实地勘察法，一是查找资金管理办法，包括专项资金管理办法和单位自有资金管理办法；二是通过查账了解具体开支情况，是否专款专用，是否按照标准支出。</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管理制度健全性：文献法、比较法，查阅项目实施人员提供的财务和业务管理制度，将已建立的制度与现行的法律法规和政策要求进行对比，分析项目制度的合法性、合规性、完整性。</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制度执行有效性：比较法，结合项目实际实施过程性文件，根据已建设的财务管理制度和项目管理制度综合分析制度执行的有效性。</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定量指标：开展2025年度公务员考试招录工作次数、资金使用合规率、资金支付及时率、保障人员经费、保障场地费用、保障工作经费，使用比较法，将实际完成值与年初指标值相比，完成指标值该指标赋全部分值；对完成值高于指标值较多的，要分析原因，如果是由于年初指标值设定明显偏低，要按照偏离度适度调减分值；未完成指标值的，按照完成值与指标值的比例计分。</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定性指标：强化公务员队伍素质、推动公务员事业发展，使用文献法，通过查阅项目实施方案、年度工作总结、相关政策文件等资料，综合评价本项目实施后所产生的社会效益。</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4.评价标准</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绩效评价标准通常包括计划标准、行业标准、历史标准等。本次绩效评价采用计划标准，以预先制定的目标、计划、预算、定额等作为评价标准，对比分析项目产出、效益的完成情况。定量指标：通过公式等方式予以量化，可以准确衡量，并设定目标值的考核指标；定性指标：通过问卷调查及访谈方式，采集相关数据，运用等级描述法，设置分级标准，体现该指标认可程度的差异。</w:t>
      </w:r>
    </w:p>
    <w:p w14:paraId="70A042A5">
      <w:pPr>
        <w:spacing w:line="540" w:lineRule="exact"/>
        <w:ind w:firstLine="627" w:firstLineChars="200"/>
        <w:rPr>
          <w:rStyle w:val="18"/>
          <w:rFonts w:hint="eastAsia" w:ascii="楷体" w:hAnsi="楷体" w:eastAsia="楷体"/>
          <w:spacing w:val="-4"/>
          <w:sz w:val="32"/>
          <w:szCs w:val="32"/>
        </w:rPr>
      </w:pPr>
      <w:r>
        <w:rPr>
          <w:rStyle w:val="18"/>
          <w:rFonts w:hint="eastAsia" w:ascii="楷体" w:hAnsi="楷体" w:eastAsia="楷体"/>
          <w:spacing w:val="-4"/>
          <w:sz w:val="32"/>
          <w:szCs w:val="32"/>
        </w:rPr>
        <w:t>（三）绩效评价工作过程</w:t>
      </w:r>
    </w:p>
    <w:p w14:paraId="4F29AEC0">
      <w:pPr>
        <w:spacing w:line="540" w:lineRule="exact"/>
        <w:ind w:firstLine="624" w:firstLineChars="200"/>
        <w:rPr>
          <w:rStyle w:val="18"/>
          <w:rFonts w:eastAsia="楷体"/>
          <w:b w:val="0"/>
          <w:bCs w:val="0"/>
          <w:spacing w:val="-4"/>
          <w:sz w:val="32"/>
          <w:szCs w:val="32"/>
        </w:rPr>
      </w:pPr>
      <w:r>
        <w:rPr>
          <w:rStyle w:val="18"/>
          <w:rFonts w:hint="eastAsia" w:eastAsia="楷体"/>
          <w:b w:val="0"/>
          <w:bCs w:val="0"/>
          <w:spacing w:val="-4"/>
          <w:sz w:val="32"/>
          <w:szCs w:val="32"/>
        </w:rPr>
        <w:t>1. 前期准备</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我单位于2026年4月1日，确定绩效评价工作小组，正式开始前期准备工作，通过对评价对象前期调研，确定了评价的目的、方法以及评价的原则，根据项目的内容和特征制定了评价指标体系及评价标准。绩效评价工作人员名单及分工如下：</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宋昊坤（评价小组组长）：主要负责绩效评价工作的全面统筹与组织协调，审定评价方案及指标体系，审核评价报告，对评价结论负总责；</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杨卓珺（评价小组组员）：负责收集、整理项目相关资料，开展现场调研与数据采集，数据分析与核验，组织实施指标打分，撰写评价报告等。</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2.组织实施</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2026年4月2日—4月9日，评价工作进入实施阶段。在数据采集方面，评价小组整理单位前期提交的资料，与项目实施负责人沟通，了解资金的内容、操作流程、管理机制、资金使用方向等情况并采集信息，了解项目设置背景及资金使用等情况。</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3.分析评价</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2026年4月10日—4月17日，评价小组按照绩效评价的原则和规范，对取得的资料进行审查核实，对采集的数据进行分析，按照绩效评价指标评分表逐项进行打分、分析、汇总各方评价结果。</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4.撰写与提交评价报告</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2026年4月21日—4月24日，评价小组撰写绩效评价报告，按照新疆维吾尔自治区财政绩效管理信息系统绩效评价模块中统一格式和文本框架撰写绩效评价报告并提交审核。</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5.问题整改</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经审核通过后，由评价小组将报告推送至项目实施人员，由项目实施人员根据报告评价结论、存在的问题以及改进建议落实问题整改，并形成整改报告，由评价小组负责监督和核查整改落实情况，确保绩效评价落到实处。</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6.档案整理</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建立和落实档案管理制度，将项目相关资料存档，包括但不限于：评价项目基本情况和相关文件、评价实施方案、项目支付资料等相关档案。</w:t>
      </w:r>
    </w:p>
    <w:p w14:paraId="0D21CA81">
      <w:pPr>
        <w:spacing w:line="540" w:lineRule="exact"/>
        <w:ind w:firstLine="624" w:firstLineChars="200"/>
        <w:rPr>
          <w:rStyle w:val="18"/>
          <w:rFonts w:hint="eastAsia" w:ascii="黑体" w:hAnsi="黑体" w:eastAsia="黑体"/>
          <w:b w:val="0"/>
          <w:spacing w:val="-4"/>
          <w:sz w:val="32"/>
          <w:szCs w:val="32"/>
        </w:rPr>
      </w:pPr>
      <w:r>
        <w:rPr>
          <w:rStyle w:val="18"/>
          <w:rFonts w:hint="eastAsia" w:ascii="黑体" w:hAnsi="黑体" w:eastAsia="黑体"/>
          <w:b w:val="0"/>
          <w:spacing w:val="-4"/>
          <w:sz w:val="32"/>
          <w:szCs w:val="32"/>
        </w:rPr>
        <w:t>三、综合评价情况及评价结论</w:t>
      </w:r>
    </w:p>
    <w:p w14:paraId="646266AA">
      <w:pPr>
        <w:spacing w:line="540" w:lineRule="exact"/>
        <w:ind w:firstLine="624" w:firstLineChars="200"/>
        <w:rPr>
          <w:rStyle w:val="18"/>
          <w:rFonts w:eastAsia="楷体"/>
          <w:b w:val="0"/>
          <w:bCs w:val="0"/>
          <w:spacing w:val="-4"/>
          <w:sz w:val="32"/>
          <w:szCs w:val="32"/>
        </w:rPr>
      </w:pPr>
      <w:r>
        <w:rPr>
          <w:rStyle w:val="18"/>
          <w:rFonts w:hint="eastAsia" w:eastAsia="楷体"/>
          <w:b w:val="0"/>
          <w:bCs w:val="0"/>
          <w:spacing w:val="-4"/>
          <w:sz w:val="32"/>
          <w:szCs w:val="32"/>
        </w:rPr>
        <w:t>（一）综合评价情况</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经评价，本项目较大程度达成年初设立的绩效目标，在实施过程中取得了良好的成效，具体表现在以下三个方面：</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一是有效拓宽了选人用人渠道，优化了全市公务员队伍结构。通过本项目的实施，进一步拓宽了优秀人才进入公务员队伍的渠道，为全市各级机关补充了新鲜血液，有效缓解了部分单位人员紧缺状况，公务员队伍的年龄结构、专业结构得到进一步优化。</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二是健全了公开公平公正的考录机制，提升了招录工作的规范化水平。项目实施过程中，严格按照相关法律法规要求，从招录计划制定、公告发布、资格审核、笔试面试到体检考察等各环节均做到程序规范、标准统一。笔试和面试环节严格落实全流程安全保密措施，考场设置、监考选派等均按照国家教育考试标准执行，有效保障了招录工作的严肃性和公信力。</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三是强化了考务组织与后勤保障的协同能力，提升了大型考录活动的综合保障水平。通过本项目的实施，逐步建立了多科室协同配合的考务保障机制，在人员调配、考场安排、安全保卫、医疗服务等方面形成了相对成熟的工作流程。在面向社会公开招录任务中，实现了考务组织与后勤保障的有序衔接，为今后年度公务员招录及其他大型人事考试的组织实施积累了可复用的管理经验。</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（二）评价结论</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依据《中共中央、国务院关于全面实施预算绩效管理的意见》《项目支出绩效评价管理办法》（财预〔2020〕10号）等文件，绩效评价总分设置为100分，划分为四档：90（含）-100分为“优”、80（含）-90分为“良”、70（含）-80分为“中”、70分以下为“差”。</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本级绩效评价遵循科学规范、公开公正、绩效相关和问题导向的原则、重点评价项目的资金投入与财务管理、组织管理、产出与效益效果。在此基础上，以相关的项目数据为基础，综合运用不同的评价方法，结合评价标准和评分规则。经评价分析，项目总体实施情况较好，项目综合得分为93.42分，评价结果为优。实际已完成2025年度公务员考试招录工作，全年共开展招录工作2次，完成面向社会公开考试录用公务员和面向部分高校选调优秀毕业生两项招录任务，资金使用合规率100%，资金支付及时率100%，保障人员经费93.66万元，有效强化了公务员队伍素质，推动了公务员事业发展。具体得分情况如下：</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表3-1 部门单位项目支出绩效评价得分表</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指标</w:t>
      </w:r>
      <w:r>
        <w:rPr>
          <w:rStyle w:val="18"/>
          <w:rFonts w:hint="eastAsia" w:eastAsia="楷体"/>
          <w:b w:val="0"/>
          <w:bCs w:val="0"/>
          <w:spacing w:val="-4"/>
          <w:sz w:val="32"/>
          <w:szCs w:val="32"/>
        </w:rPr>
        <w:tab/>
      </w:r>
      <w:r>
        <w:rPr>
          <w:rStyle w:val="18"/>
          <w:rFonts w:hint="eastAsia" w:eastAsia="楷体"/>
          <w:b w:val="0"/>
          <w:bCs w:val="0"/>
          <w:spacing w:val="-4"/>
          <w:sz w:val="32"/>
          <w:szCs w:val="32"/>
        </w:rPr>
        <w:t>项目决策类</w:t>
      </w:r>
      <w:r>
        <w:rPr>
          <w:rStyle w:val="18"/>
          <w:rFonts w:hint="eastAsia" w:eastAsia="楷体"/>
          <w:b w:val="0"/>
          <w:bCs w:val="0"/>
          <w:spacing w:val="-4"/>
          <w:sz w:val="32"/>
          <w:szCs w:val="32"/>
        </w:rPr>
        <w:tab/>
      </w:r>
      <w:r>
        <w:rPr>
          <w:rStyle w:val="18"/>
          <w:rFonts w:hint="eastAsia" w:eastAsia="楷体"/>
          <w:b w:val="0"/>
          <w:bCs w:val="0"/>
          <w:spacing w:val="-4"/>
          <w:sz w:val="32"/>
          <w:szCs w:val="32"/>
        </w:rPr>
        <w:t>过程管理类</w:t>
      </w:r>
      <w:r>
        <w:rPr>
          <w:rStyle w:val="18"/>
          <w:rFonts w:hint="eastAsia" w:eastAsia="楷体"/>
          <w:b w:val="0"/>
          <w:bCs w:val="0"/>
          <w:spacing w:val="-4"/>
          <w:sz w:val="32"/>
          <w:szCs w:val="32"/>
        </w:rPr>
        <w:tab/>
      </w:r>
      <w:r>
        <w:rPr>
          <w:rStyle w:val="18"/>
          <w:rFonts w:hint="eastAsia" w:eastAsia="楷体"/>
          <w:b w:val="0"/>
          <w:bCs w:val="0"/>
          <w:spacing w:val="-4"/>
          <w:sz w:val="32"/>
          <w:szCs w:val="32"/>
        </w:rPr>
        <w:t>项目产出类</w:t>
      </w:r>
      <w:r>
        <w:rPr>
          <w:rStyle w:val="18"/>
          <w:rFonts w:hint="eastAsia" w:eastAsia="楷体"/>
          <w:b w:val="0"/>
          <w:bCs w:val="0"/>
          <w:spacing w:val="-4"/>
          <w:sz w:val="32"/>
          <w:szCs w:val="32"/>
        </w:rPr>
        <w:tab/>
      </w:r>
      <w:r>
        <w:rPr>
          <w:rStyle w:val="18"/>
          <w:rFonts w:hint="eastAsia" w:eastAsia="楷体"/>
          <w:b w:val="0"/>
          <w:bCs w:val="0"/>
          <w:spacing w:val="-4"/>
          <w:sz w:val="32"/>
          <w:szCs w:val="32"/>
        </w:rPr>
        <w:t>项目效益类</w:t>
      </w:r>
      <w:r>
        <w:rPr>
          <w:rStyle w:val="18"/>
          <w:rFonts w:hint="eastAsia" w:eastAsia="楷体"/>
          <w:b w:val="0"/>
          <w:bCs w:val="0"/>
          <w:spacing w:val="-4"/>
          <w:sz w:val="32"/>
          <w:szCs w:val="32"/>
        </w:rPr>
        <w:tab/>
      </w:r>
      <w:r>
        <w:rPr>
          <w:rStyle w:val="18"/>
          <w:rFonts w:hint="eastAsia" w:eastAsia="楷体"/>
          <w:b w:val="0"/>
          <w:bCs w:val="0"/>
          <w:spacing w:val="-4"/>
          <w:sz w:val="32"/>
          <w:szCs w:val="32"/>
        </w:rPr>
        <w:t>合计</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权重</w:t>
      </w:r>
      <w:r>
        <w:rPr>
          <w:rStyle w:val="18"/>
          <w:rFonts w:hint="eastAsia" w:eastAsia="楷体"/>
          <w:b w:val="0"/>
          <w:bCs w:val="0"/>
          <w:spacing w:val="-4"/>
          <w:sz w:val="32"/>
          <w:szCs w:val="32"/>
        </w:rPr>
        <w:tab/>
      </w:r>
      <w:r>
        <w:rPr>
          <w:rStyle w:val="18"/>
          <w:rFonts w:hint="eastAsia" w:eastAsia="楷体"/>
          <w:b w:val="0"/>
          <w:bCs w:val="0"/>
          <w:spacing w:val="-4"/>
          <w:sz w:val="32"/>
          <w:szCs w:val="32"/>
        </w:rPr>
        <w:t>21.00</w:t>
      </w:r>
      <w:r>
        <w:rPr>
          <w:rStyle w:val="18"/>
          <w:rFonts w:hint="eastAsia" w:eastAsia="楷体"/>
          <w:b w:val="0"/>
          <w:bCs w:val="0"/>
          <w:spacing w:val="-4"/>
          <w:sz w:val="32"/>
          <w:szCs w:val="32"/>
        </w:rPr>
        <w:tab/>
      </w:r>
      <w:r>
        <w:rPr>
          <w:rStyle w:val="18"/>
          <w:rFonts w:hint="eastAsia" w:eastAsia="楷体"/>
          <w:b w:val="0"/>
          <w:bCs w:val="0"/>
          <w:spacing w:val="-4"/>
          <w:sz w:val="32"/>
          <w:szCs w:val="32"/>
        </w:rPr>
        <w:t>19.00</w:t>
      </w:r>
      <w:r>
        <w:rPr>
          <w:rStyle w:val="18"/>
          <w:rFonts w:hint="eastAsia" w:eastAsia="楷体"/>
          <w:b w:val="0"/>
          <w:bCs w:val="0"/>
          <w:spacing w:val="-4"/>
          <w:sz w:val="32"/>
          <w:szCs w:val="32"/>
        </w:rPr>
        <w:tab/>
      </w:r>
      <w:r>
        <w:rPr>
          <w:rStyle w:val="18"/>
          <w:rFonts w:hint="eastAsia" w:eastAsia="楷体"/>
          <w:b w:val="0"/>
          <w:bCs w:val="0"/>
          <w:spacing w:val="-4"/>
          <w:sz w:val="32"/>
          <w:szCs w:val="32"/>
        </w:rPr>
        <w:t>40.00</w:t>
      </w:r>
      <w:r>
        <w:rPr>
          <w:rStyle w:val="18"/>
          <w:rFonts w:hint="eastAsia" w:eastAsia="楷体"/>
          <w:b w:val="0"/>
          <w:bCs w:val="0"/>
          <w:spacing w:val="-4"/>
          <w:sz w:val="32"/>
          <w:szCs w:val="32"/>
        </w:rPr>
        <w:tab/>
      </w:r>
      <w:r>
        <w:rPr>
          <w:rStyle w:val="18"/>
          <w:rFonts w:hint="eastAsia" w:eastAsia="楷体"/>
          <w:b w:val="0"/>
          <w:bCs w:val="0"/>
          <w:spacing w:val="-4"/>
          <w:sz w:val="32"/>
          <w:szCs w:val="32"/>
        </w:rPr>
        <w:t>20.00</w:t>
      </w:r>
      <w:r>
        <w:rPr>
          <w:rStyle w:val="18"/>
          <w:rFonts w:hint="eastAsia" w:eastAsia="楷体"/>
          <w:b w:val="0"/>
          <w:bCs w:val="0"/>
          <w:spacing w:val="-4"/>
          <w:sz w:val="32"/>
          <w:szCs w:val="32"/>
        </w:rPr>
        <w:tab/>
      </w:r>
      <w:r>
        <w:rPr>
          <w:rStyle w:val="18"/>
          <w:rFonts w:hint="eastAsia" w:eastAsia="楷体"/>
          <w:b w:val="0"/>
          <w:bCs w:val="0"/>
          <w:spacing w:val="-4"/>
          <w:sz w:val="32"/>
          <w:szCs w:val="32"/>
        </w:rPr>
        <w:t>100.00</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得分</w:t>
      </w:r>
      <w:r>
        <w:rPr>
          <w:rStyle w:val="18"/>
          <w:rFonts w:hint="eastAsia" w:eastAsia="楷体"/>
          <w:b w:val="0"/>
          <w:bCs w:val="0"/>
          <w:spacing w:val="-4"/>
          <w:sz w:val="32"/>
          <w:szCs w:val="32"/>
        </w:rPr>
        <w:tab/>
      </w:r>
      <w:r>
        <w:rPr>
          <w:rStyle w:val="18"/>
          <w:rFonts w:hint="eastAsia" w:eastAsia="楷体"/>
          <w:b w:val="0"/>
          <w:bCs w:val="0"/>
          <w:spacing w:val="-4"/>
          <w:sz w:val="32"/>
          <w:szCs w:val="32"/>
        </w:rPr>
        <w:t>21.00</w:t>
      </w:r>
      <w:r>
        <w:rPr>
          <w:rStyle w:val="18"/>
          <w:rFonts w:hint="eastAsia" w:eastAsia="楷体"/>
          <w:b w:val="0"/>
          <w:bCs w:val="0"/>
          <w:spacing w:val="-4"/>
          <w:sz w:val="32"/>
          <w:szCs w:val="32"/>
        </w:rPr>
        <w:tab/>
      </w:r>
      <w:r>
        <w:rPr>
          <w:rStyle w:val="18"/>
          <w:rFonts w:hint="eastAsia" w:eastAsia="楷体"/>
          <w:b w:val="0"/>
          <w:bCs w:val="0"/>
          <w:spacing w:val="-4"/>
          <w:sz w:val="32"/>
          <w:szCs w:val="32"/>
        </w:rPr>
        <w:t>18.21</w:t>
      </w:r>
      <w:r>
        <w:rPr>
          <w:rStyle w:val="18"/>
          <w:rFonts w:hint="eastAsia" w:eastAsia="楷体"/>
          <w:b w:val="0"/>
          <w:bCs w:val="0"/>
          <w:spacing w:val="-4"/>
          <w:sz w:val="32"/>
          <w:szCs w:val="32"/>
        </w:rPr>
        <w:tab/>
      </w:r>
      <w:r>
        <w:rPr>
          <w:rStyle w:val="18"/>
          <w:rFonts w:hint="eastAsia" w:eastAsia="楷体"/>
          <w:b w:val="0"/>
          <w:bCs w:val="0"/>
          <w:spacing w:val="-4"/>
          <w:sz w:val="32"/>
          <w:szCs w:val="32"/>
        </w:rPr>
        <w:t>34.21</w:t>
      </w:r>
      <w:r>
        <w:rPr>
          <w:rStyle w:val="18"/>
          <w:rFonts w:hint="eastAsia" w:eastAsia="楷体"/>
          <w:b w:val="0"/>
          <w:bCs w:val="0"/>
          <w:spacing w:val="-4"/>
          <w:sz w:val="32"/>
          <w:szCs w:val="32"/>
        </w:rPr>
        <w:tab/>
      </w:r>
      <w:r>
        <w:rPr>
          <w:rStyle w:val="18"/>
          <w:rFonts w:hint="eastAsia" w:eastAsia="楷体"/>
          <w:b w:val="0"/>
          <w:bCs w:val="0"/>
          <w:spacing w:val="-4"/>
          <w:sz w:val="32"/>
          <w:szCs w:val="32"/>
        </w:rPr>
        <w:t>20.00</w:t>
      </w:r>
      <w:r>
        <w:rPr>
          <w:rStyle w:val="18"/>
          <w:rFonts w:hint="eastAsia" w:eastAsia="楷体"/>
          <w:b w:val="0"/>
          <w:bCs w:val="0"/>
          <w:spacing w:val="-4"/>
          <w:sz w:val="32"/>
          <w:szCs w:val="32"/>
        </w:rPr>
        <w:tab/>
      </w:r>
      <w:r>
        <w:rPr>
          <w:rStyle w:val="18"/>
          <w:rFonts w:hint="eastAsia" w:eastAsia="楷体"/>
          <w:b w:val="0"/>
          <w:bCs w:val="0"/>
          <w:spacing w:val="-4"/>
          <w:sz w:val="32"/>
          <w:szCs w:val="32"/>
        </w:rPr>
        <w:t>93.42</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得分率</w:t>
      </w:r>
      <w:r>
        <w:rPr>
          <w:rStyle w:val="18"/>
          <w:rFonts w:hint="eastAsia" w:eastAsia="楷体"/>
          <w:b w:val="0"/>
          <w:bCs w:val="0"/>
          <w:spacing w:val="-4"/>
          <w:sz w:val="32"/>
          <w:szCs w:val="32"/>
        </w:rPr>
        <w:tab/>
      </w:r>
      <w:r>
        <w:rPr>
          <w:rStyle w:val="18"/>
          <w:rFonts w:hint="eastAsia" w:eastAsia="楷体"/>
          <w:b w:val="0"/>
          <w:bCs w:val="0"/>
          <w:spacing w:val="-4"/>
          <w:sz w:val="32"/>
          <w:szCs w:val="32"/>
        </w:rPr>
        <w:t>100.0%</w:t>
      </w:r>
      <w:r>
        <w:rPr>
          <w:rStyle w:val="18"/>
          <w:rFonts w:hint="eastAsia" w:eastAsia="楷体"/>
          <w:b w:val="0"/>
          <w:bCs w:val="0"/>
          <w:spacing w:val="-4"/>
          <w:sz w:val="32"/>
          <w:szCs w:val="32"/>
        </w:rPr>
        <w:tab/>
      </w:r>
      <w:r>
        <w:rPr>
          <w:rStyle w:val="18"/>
          <w:rFonts w:hint="eastAsia" w:eastAsia="楷体"/>
          <w:b w:val="0"/>
          <w:bCs w:val="0"/>
          <w:spacing w:val="-4"/>
          <w:sz w:val="32"/>
          <w:szCs w:val="32"/>
        </w:rPr>
        <w:t>95.84%</w:t>
      </w:r>
      <w:r>
        <w:rPr>
          <w:rStyle w:val="18"/>
          <w:rFonts w:hint="eastAsia" w:eastAsia="楷体"/>
          <w:b w:val="0"/>
          <w:bCs w:val="0"/>
          <w:spacing w:val="-4"/>
          <w:sz w:val="32"/>
          <w:szCs w:val="32"/>
        </w:rPr>
        <w:tab/>
      </w:r>
      <w:r>
        <w:rPr>
          <w:rStyle w:val="18"/>
          <w:rFonts w:hint="eastAsia" w:eastAsia="楷体"/>
          <w:b w:val="0"/>
          <w:bCs w:val="0"/>
          <w:spacing w:val="-4"/>
          <w:sz w:val="32"/>
          <w:szCs w:val="32"/>
        </w:rPr>
        <w:t>85.56%</w:t>
      </w:r>
      <w:r>
        <w:rPr>
          <w:rStyle w:val="18"/>
          <w:rFonts w:hint="eastAsia" w:eastAsia="楷体"/>
          <w:b w:val="0"/>
          <w:bCs w:val="0"/>
          <w:spacing w:val="-4"/>
          <w:sz w:val="32"/>
          <w:szCs w:val="32"/>
        </w:rPr>
        <w:tab/>
      </w:r>
      <w:r>
        <w:rPr>
          <w:rStyle w:val="18"/>
          <w:rFonts w:hint="eastAsia" w:eastAsia="楷体"/>
          <w:b w:val="0"/>
          <w:bCs w:val="0"/>
          <w:spacing w:val="-4"/>
          <w:sz w:val="32"/>
          <w:szCs w:val="32"/>
        </w:rPr>
        <w:t>100.0%</w:t>
      </w:r>
      <w:r>
        <w:rPr>
          <w:rStyle w:val="18"/>
          <w:rFonts w:hint="eastAsia" w:eastAsia="楷体"/>
          <w:b w:val="0"/>
          <w:bCs w:val="0"/>
          <w:spacing w:val="-4"/>
          <w:sz w:val="32"/>
          <w:szCs w:val="32"/>
        </w:rPr>
        <w:tab/>
      </w:r>
      <w:r>
        <w:rPr>
          <w:rStyle w:val="18"/>
          <w:rFonts w:hint="eastAsia" w:eastAsia="楷体"/>
          <w:b w:val="0"/>
          <w:bCs w:val="0"/>
          <w:spacing w:val="-4"/>
          <w:sz w:val="32"/>
          <w:szCs w:val="32"/>
        </w:rPr>
        <w:t>93.42%</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（三）预算执行进度与绩效指标偏差</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本项目年初预算资金总额为112.00万元，全年预算数为112万元，全年执行数为94.38万元，预算执行率为84.27%，市公务员考试招录工作经费支出绩效评价指标体系总体完成率为94.28%，项目预算执行率与市公务员考试招录工作经费支出绩效评价指标体系总体完成率之间的偏差为10.01%。</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造成偏差的主要原因是：本项目部分成本指标（场地费用、工作经费）在预算编制时按照常规标准进行测算，实际执行中通过统筹利用单位自有场地、精细化管理和资源统筹等方式实现了较大幅度节约，导致实际支出低于预算预期，进而拉低了整体预算执行率。</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下一步改进措施是：在今后年度预算编制中，进一步细化各项经费测算，充分考虑单位现有资源和实际需求，提高预算编制的精准度。同时，合理设定成本指标目标值，使其既体现节约导向，又符合实际支出规律，促进预算执行进度与绩效目标完成情况更加协调匹配。</w:t>
      </w:r>
    </w:p>
    <w:p w14:paraId="2E09839E">
      <w:pPr>
        <w:spacing w:line="540" w:lineRule="exact"/>
        <w:ind w:firstLine="624" w:firstLineChars="200"/>
        <w:rPr>
          <w:rStyle w:val="18"/>
          <w:rFonts w:hint="eastAsia" w:ascii="黑体" w:hAnsi="黑体" w:eastAsia="黑体"/>
        </w:rPr>
      </w:pPr>
      <w:r>
        <w:rPr>
          <w:rStyle w:val="18"/>
          <w:rFonts w:hint="eastAsia" w:ascii="黑体" w:hAnsi="黑体" w:eastAsia="黑体"/>
          <w:b w:val="0"/>
          <w:spacing w:val="-4"/>
          <w:sz w:val="32"/>
          <w:szCs w:val="32"/>
        </w:rPr>
        <w:t>四、绩效评价指标分析</w:t>
      </w:r>
      <w:r>
        <w:rPr>
          <w:rStyle w:val="18"/>
          <w:rFonts w:hint="eastAsia" w:ascii="黑体" w:hAnsi="黑体" w:eastAsia="黑体"/>
        </w:rPr>
        <w:t xml:space="preserve"> </w:t>
      </w:r>
    </w:p>
    <w:p w14:paraId="3E0B018A">
      <w:pPr>
        <w:spacing w:line="540" w:lineRule="exact"/>
        <w:ind w:firstLine="627" w:firstLineChars="200"/>
        <w:rPr>
          <w:rFonts w:hint="eastAsia" w:ascii="楷体" w:hAnsi="楷体" w:eastAsia="楷体"/>
          <w:b/>
          <w:spacing w:val="-4"/>
          <w:sz w:val="32"/>
          <w:szCs w:val="32"/>
        </w:rPr>
      </w:pPr>
      <w:r>
        <w:rPr>
          <w:rFonts w:hint="eastAsia" w:ascii="楷体" w:hAnsi="楷体" w:eastAsia="楷体"/>
          <w:b/>
          <w:spacing w:val="-4"/>
          <w:sz w:val="32"/>
          <w:szCs w:val="32"/>
        </w:rPr>
        <w:t>（一）</w:t>
      </w:r>
      <w:r>
        <w:rPr>
          <w:rStyle w:val="18"/>
          <w:rFonts w:hint="eastAsia" w:ascii="楷体" w:hAnsi="楷体" w:eastAsia="楷体"/>
          <w:spacing w:val="-4"/>
          <w:sz w:val="32"/>
          <w:szCs w:val="32"/>
        </w:rPr>
        <w:t>项目决策情况</w:t>
      </w:r>
    </w:p>
    <w:p w14:paraId="4746ED5D">
      <w:pPr>
        <w:spacing w:line="540" w:lineRule="exact"/>
        <w:ind w:firstLine="624" w:firstLineChars="200"/>
        <w:rPr>
          <w:rStyle w:val="18"/>
          <w:rFonts w:eastAsia="楷体"/>
          <w:b w:val="0"/>
          <w:bCs w:val="0"/>
          <w:spacing w:val="-4"/>
          <w:sz w:val="32"/>
          <w:szCs w:val="32"/>
        </w:rPr>
      </w:pPr>
      <w:r>
        <w:rPr>
          <w:rStyle w:val="18"/>
          <w:rFonts w:hint="eastAsia" w:eastAsia="楷体"/>
          <w:b w:val="0"/>
          <w:bCs w:val="0"/>
          <w:spacing w:val="-4"/>
          <w:sz w:val="32"/>
          <w:szCs w:val="32"/>
        </w:rPr>
        <w:t>项目决策类指标由3个二级指标和6个三级指标构成，权重分21.00分，实际得分21.00分，得分率为100.00%。</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1.项目立项情况分析</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（1）立项依据充分性</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本项目立项符合《中华人民共和国公务员法》中“地方各级机关公务员的录用，由省级公务员主管部门负责组织，必要时省级公务员主管部门可以授权设区的市级公务员主管部门组织”的规定，符合国家关于公务员队伍建设的法律法规和政策要求；本项目立项符合《公务员录用规定》中“公务员主管部门依据招考工作方案，制定招考公告，面向社会发布”的规定，符合公务员招录工作的相关制度要求；本项目立项符合自治区人社厅、自治区财政厅《关于明确自治区人事考试考务费支出具体标准的通知》（新人社发〔2018〕51号）中确定的相关标准，立项依据充分；</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本项目立项符合《中共乌鲁木齐市委组织部单位配置内设机构和人员编制规定》中职责范围中的“负责公务员队伍建设”，属于我单位履职所需；</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根据《财政资金直接支付申请书》，本项目资金性质为“公共财政预算”，功能分类为“一般行政管理事务”，经济分类为“商品和服务支出（劳务费、办公费、印刷费）”，属于公共财政支持范围，符合中央、地方事权支出责任划分原则；</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经检查我单位财政应用平台指标，本项目不存在重复。</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综上所述，本指标满分为5分，根据评分标准得5分，本项目立项依据充分。</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（2）立项程序规范性</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本项目为部门预算项目，属于单位常规性履职专项经费，不涉及发改立项批复流程，项目立项严格按照单位内部控制制度执行，由业务科室根据年度工作计划和实际需求，提出项目设立建议及预算申请，经财务科室审核后，提交部务会集体研究审议。项目设立方案经会议审议通过后，按程序报请财政部门纳入年度部门预算。经核查，本项目立项过程中形成的相关会议记录、审批文件等资料齐全，符合《中华人民共和国公务员法》《公务员录用规定》及单位“三重一大”事项集体决策制度和预算管理相关规定，立项程序规范。</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综上所述，本指标满分为3分，根据评分标准得3分，本项目立项程序规范。</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2.绩效目标情况分析</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（1）绩效目标合理性</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本项目已设置年度绩效目标，具体内容为“开展2025年度公务员考试招录工作，通过本项目的实施，可有效提升公务员队伍素质，可有效推动公务员事业发展”；本项目实际工作内容为：根据自治区党委组织部统一部署，全年共完成两次公务员招录任务，包括面向社会公开考试录用公务员和面向部分高校选调优秀毕业生，涵盖招录计划制定、公告发布、资格审核、笔试面试组织、体检考察等全流程工作；绩效目标与实际工作内容一致，两者具有相关性；本项目按照绩效目标完成了数量指标、质量指标、时效指标、成本指标，有效强化了公务员队伍素质，推动了公务员事业发展，年度绩效目标完成，预期产出效益和效果符合正常的业绩水平。</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综上所述，本指标满分为4分，根据评分标准得4分，本项目绩效目标设置合理。</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（2）绩效指标明确性</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经检查我单位年初设置的《项目支出绩效目标表》，得出如下结论：本项目已将年度绩效目标进行细化为绩效指标体系，共设置一级指标3个，二级指标5个，三级指标8个，定量指标6个，定性指标2个，指标量化率为75.00%，量化率达70.00%以上。</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综上所述，本指标满分为3分，根据评分标准得3分，本项目所设置绩效指标明确。</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3.资金投入情况分析</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（1）预算编制科学性</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本项目预算编制依据自治区人社厅、自治区财政厅《关于明确自治区人事考试考务费支出具体标准的通知》（新人社发〔2018〕51号）确定的相关标准，并参照往年经费使用情况进行测算。人员经费依据考务人员数量、工作天数及劳务费标准测算；场地费用依据考场数量、租赁天数及市场询价标准测算；工作经费依据办公耗材、印刷品等日常支出标准测算。预算编制经过部务会集体论证，即预算编制较科学且经过论证。</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预算申请内容为2025年度公务员考试招录工作经费，包括人员经费、场地费用、工作经费。项目实际内容为组织开展2025年度面向社会公开考试录用公务员和面向部分高校选调优秀毕业生工作，预算申请与《市公务员考试招录工作经费项目实施方案》中涉及的项目内容匹配。</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本项目预算申请资金112.00万元，我单位在预算申请中严格按照单位标准和数量进行核算，其中：其中：网络值班费按每人每天200元标准测算；资格审查及面试场地租赁费按每天10000元标准、预计使用7天测算；保密保管（押运）值班费按每人每天200元标准测算；面试考官和工作人员考务费按考官、总监督每人每天1000元、工作人员每人每天600元标准测算；督考（巡考）费按400元×5人×7天测算；安保、医护、无线电监控费测算16800元；用餐饮水费用测算86240元；其他费用（办公用品购置、考试表格印制、考点指示牌制作等）测算17000元。本项目预算额度测算依据充分，严格按照标准编制，预算确定资金量与实际工作任务相匹配。</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综上所述，本指标满分为4分，根据评分标准4分，本项目预算编制科学。</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（2）资金分配合理性</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本项目实际分配资金以我单位《2025年度公务员考试招录工作实施方案》为依据进行资金分配，预算资金分配依据充分。根据《关于批复2025年部门预算的通知》（乌财行〔2025〕1号）显示，本项目实际到位资金112.00万元，实际分配资金与我单位提交申请的资金额度一致，资金分配额度合理，与我单位实际需求相适应。</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综上所述，本指标满分为2分，根据评分标准得2分，本项目资金分配合理。</w:t>
      </w:r>
      <w:r>
        <w:rPr>
          <w:rStyle w:val="18"/>
          <w:rFonts w:hint="eastAsia" w:eastAsia="楷体"/>
          <w:b w:val="0"/>
          <w:bCs w:val="0"/>
          <w:spacing w:val="-4"/>
          <w:sz w:val="32"/>
          <w:szCs w:val="32"/>
        </w:rPr>
        <w:tab/>
      </w:r>
    </w:p>
    <w:p w14:paraId="070CE7A6">
      <w:pPr>
        <w:spacing w:line="540" w:lineRule="exact"/>
        <w:ind w:firstLine="627" w:firstLineChars="200"/>
        <w:rPr>
          <w:rStyle w:val="18"/>
          <w:rFonts w:hint="eastAsia" w:ascii="楷体" w:hAnsi="楷体" w:eastAsia="楷体"/>
          <w:spacing w:val="-4"/>
          <w:sz w:val="32"/>
          <w:szCs w:val="32"/>
        </w:rPr>
      </w:pPr>
      <w:r>
        <w:rPr>
          <w:rFonts w:hint="eastAsia" w:ascii="楷体" w:hAnsi="楷体" w:eastAsia="楷体"/>
          <w:b/>
          <w:spacing w:val="-4"/>
          <w:sz w:val="32"/>
          <w:szCs w:val="32"/>
        </w:rPr>
        <w:t>（二）</w:t>
      </w:r>
      <w:r>
        <w:rPr>
          <w:rStyle w:val="18"/>
          <w:rFonts w:hint="eastAsia" w:ascii="楷体" w:hAnsi="楷体" w:eastAsia="楷体"/>
          <w:spacing w:val="-4"/>
          <w:sz w:val="32"/>
          <w:szCs w:val="32"/>
        </w:rPr>
        <w:t>项目过程情况</w:t>
      </w:r>
    </w:p>
    <w:p w14:paraId="151F7D23">
      <w:pPr>
        <w:spacing w:line="540" w:lineRule="exact"/>
        <w:ind w:firstLine="624" w:firstLineChars="200"/>
        <w:rPr>
          <w:rStyle w:val="18"/>
          <w:rFonts w:eastAsia="楷体"/>
          <w:b w:val="0"/>
          <w:bCs w:val="0"/>
          <w:spacing w:val="-4"/>
          <w:sz w:val="32"/>
          <w:szCs w:val="32"/>
        </w:rPr>
      </w:pPr>
      <w:r>
        <w:rPr>
          <w:rStyle w:val="18"/>
          <w:rFonts w:hint="eastAsia" w:eastAsia="楷体"/>
          <w:b w:val="0"/>
          <w:bCs w:val="0"/>
          <w:spacing w:val="-4"/>
          <w:sz w:val="32"/>
          <w:szCs w:val="32"/>
        </w:rPr>
        <w:t>项目过程管理类指标由2个二级指标和5个三级指标构成，权重分19.00分，实际得分18.21分，得分率为95.84%。</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1.资金管理情况分析</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（1）资金到位率</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本项目预算资金为112.00万元，其中：本级财政安排资金112万元，其他资金0万元，实际到位资金112.00万元，资金到位率=（实际到位资金/预算资金）×100.00%=（112.00/ 112.00）*100.00%= 100.00%。得分=资金到位率*分值= 100.00%*4= 4.00分。</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综上所述，本指标满分为4分，根据评分标准得4分。</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（2）预算执行率</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本项目实际支出资金94.38万元，预算执行率=（实际支出资金/实际到位资金）×100.00%=（94.38/ 112.00）*100.00%= 84.27%。得分=预算执行率*分值= 84.27%*5.00= 4.21分。</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综上所述，本指标满分为5分，根据评分标准得4.21分。</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（3）资金使用合规性</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通过检查本项目签订的合同、资金申请文件、发票等财务付款凭证，得出本项目资金支出符合国家财经法规、《政府会计制度》以及《乌鲁木齐市委组织部财务预算管理制度》《市委组织部经费支出审批流程（定稿）》，资金的拨付有完整的审批程序和手续，资金实际使用方向与预算批复用途一致，不存在截留、挤占、挪用、虚列支出的情况。</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综上所述，本指标满分为4分，根据评分标准得4分，资金支出符合我单位财务管理制度规定。</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2.组织实施情况分析</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（1）管理制度健全性</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我单位已制定《市委组织部“三重一大”事项集体机制》《乌鲁木齐市委组织部财务预算管理制度》《市委组织部经费支出审批流程（定稿）》《乌鲁木齐市委组织部采购管理办法》《乌鲁木齐市委组织部采购验收制度》《乌鲁木齐市委组织部合同管理办法》《实物资产管理办法》，上述已建立的制度均符合行政事业单位内控管理要求，财务和业务管理制度合法、合规、完整，本项目执行符合上述制度规定。</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综上所述，本指标满分为2分，根据评分标准得2分，项目制度建设健全。</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（2）制度执行有效性</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经对比分析本项目实际执行过程资料和已建立的项目管理制度和财务管理制度，得出本项目严格按照本单位已建立制度执行。项目资金支出严格按照自治区、地区、市以及本单位资金管理办法执行，项目启动实施后，为了加快本项目的实施，公务员二科作为牵头科室，承担项目统筹协调、方案制定、流程管理等具体工作，相关科室成员按照职责分工予以配合，公务员考试招录工作的各环节均严格按照《公务员录用规定》及自治区党委组织部统一部署执行。</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综上所述，本指标满分为4分，根据评分标准得4分，本项目所建立制度执行有效。</w:t>
      </w:r>
    </w:p>
    <w:p w14:paraId="7410532C">
      <w:pPr>
        <w:spacing w:line="540" w:lineRule="exact"/>
        <w:ind w:firstLine="627" w:firstLineChars="200"/>
        <w:rPr>
          <w:rFonts w:hint="eastAsia" w:ascii="楷体" w:hAnsi="楷体" w:eastAsia="楷体"/>
          <w:b/>
          <w:spacing w:val="-4"/>
          <w:sz w:val="32"/>
          <w:szCs w:val="32"/>
        </w:rPr>
      </w:pPr>
      <w:r>
        <w:rPr>
          <w:rFonts w:hint="eastAsia" w:ascii="楷体" w:hAnsi="楷体" w:eastAsia="楷体"/>
          <w:b/>
          <w:spacing w:val="-4"/>
          <w:sz w:val="32"/>
          <w:szCs w:val="32"/>
        </w:rPr>
        <w:t>（三）</w:t>
      </w:r>
      <w:r>
        <w:rPr>
          <w:rStyle w:val="18"/>
          <w:rFonts w:hint="eastAsia" w:ascii="楷体" w:hAnsi="楷体" w:eastAsia="楷体"/>
          <w:spacing w:val="-4"/>
          <w:sz w:val="32"/>
          <w:szCs w:val="32"/>
        </w:rPr>
        <w:t>项目产出情况</w:t>
      </w:r>
    </w:p>
    <w:p w14:paraId="3153A650">
      <w:pPr>
        <w:spacing w:line="540" w:lineRule="exact"/>
        <w:ind w:firstLine="624" w:firstLineChars="200"/>
        <w:rPr>
          <w:rStyle w:val="18"/>
          <w:rFonts w:eastAsia="楷体"/>
          <w:b w:val="0"/>
          <w:bCs w:val="0"/>
          <w:spacing w:val="-4"/>
          <w:sz w:val="32"/>
          <w:szCs w:val="32"/>
        </w:rPr>
      </w:pPr>
      <w:r>
        <w:rPr>
          <w:rStyle w:val="18"/>
          <w:rFonts w:hint="eastAsia" w:eastAsia="楷体"/>
          <w:b w:val="0"/>
          <w:bCs w:val="0"/>
          <w:spacing w:val="-4"/>
          <w:sz w:val="32"/>
          <w:szCs w:val="32"/>
        </w:rPr>
        <w:t>项目产出类指标由4个二级指标和6个三级指标构成，权重分40.00分，实际得分34.21分，得分率为85.56%。</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1. 数量指标完成情况分析</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“开展2025年度公务员考试招录工作次数”指标：预期指标值为大于等于1次，实际完成指标值为等于2次，指标完成率为200.0%。偏差率为100.0%。</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偏差原因主要为：根据自治区党委组织部统一安排部署，除原计划面向社会公开考试录用公务员工作外，年度内根据工作需要额外增加了一次面向部分高校选调优秀毕业生招录工作，导致实际招录工作次数超出年初预期目标值。</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下一步改进措施：在设定下一年度绩效目标时，充分梳理近三年公务员招录工作的实际开展情况，主动与上级组织部门对接了解年度工作安排，区分常规性公开招录和非常规性选调招聘等不同类型招录任务，科学预判全年招录工作总量，合理设定绩效目标值并适当预留弹性空间，确保目标值符合实际工作安排。</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综上所述，本指标满分为13分，根据评分标准得13分。</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2. 质量指标完成情况分析</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“资金使用合规率”指标：预期指标值为等于100%，实际完成指标值为等于100%，指标完成率为100.0%。扣分原因分析：无。</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综上所述，本指标满分为7分，根据评分标准得7分。</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3.时效指标完成情况分析</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“资金支付及时率”指标：预期指标值为大于等于95%，实际完成指标值为等于100%，指标完成率为100.0%。扣分原因分析：无。</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综上所述，本指标满分为7分，根据评分标准得7分。</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4.经济成本指标完成情况分析</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“保障人员经费”指标：预期指标值为小于等于94.64万元，实际完成指标值为等于93.66万元，指标完成率为100.0%。扣分原因分析：无。</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综上所述，本指标满分为7分，根据评分标准得7分。</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保障场地费用”指标：预期指标值为小于等于7.04万元，实际完成指标值为等于0万元，指标完成率为0.0%。偏差率为100.0%，扣分原因主要为：2025年度公务员考试招录工作充分利用现有资源，统筹协调使用单位自有场地及合作单位场地，未产生额外场地租赁费用；下一步整改措施：在今后年度编制预算时，充分考虑单位现有场地资源和合作单位场地共享情况，结合招录工作各环节实际需求，科学测算场地费用支出，合理设定成本指标目标值，确保预算编制更加精准、贴近实际。</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综上所述，本指标满分为3分，根据评分标准得0分。</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保障工作经费”指标：预期指标值为小于等于10.32万元，实际完成指标值为等于0.72万元，指标完成率为6.98%。偏差率为-93.02%，扣分原因主要为：通过精细化管理和资源统筹，严格控制日常办公、印刷等各项开支，在保障招录工作正常开展的前提下，大力压减非必要支出，实现了财政资金节约高效使用；下一步整改措施：在今后年度预算编制中，结合招录工作实际需求，进一步细化工作经费各项支出测算，合理确定预算额度。</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综上所述，本指标满分为3分，根据评分标准得0.21分。</w:t>
      </w:r>
    </w:p>
    <w:p w14:paraId="7120111E">
      <w:pPr>
        <w:spacing w:line="540" w:lineRule="exact"/>
        <w:ind w:firstLine="627" w:firstLineChars="200"/>
        <w:rPr>
          <w:rFonts w:hint="eastAsia" w:ascii="楷体" w:hAnsi="楷体" w:eastAsia="楷体"/>
          <w:b/>
          <w:spacing w:val="-4"/>
          <w:sz w:val="32"/>
          <w:szCs w:val="32"/>
        </w:rPr>
      </w:pPr>
      <w:r>
        <w:rPr>
          <w:rFonts w:hint="eastAsia" w:ascii="楷体" w:hAnsi="楷体" w:eastAsia="楷体"/>
          <w:b/>
          <w:spacing w:val="-4"/>
          <w:sz w:val="32"/>
          <w:szCs w:val="32"/>
        </w:rPr>
        <w:t>（四）</w:t>
      </w:r>
      <w:r>
        <w:rPr>
          <w:rStyle w:val="18"/>
          <w:rFonts w:hint="eastAsia" w:ascii="楷体" w:hAnsi="楷体" w:eastAsia="楷体"/>
          <w:spacing w:val="-4"/>
          <w:sz w:val="32"/>
          <w:szCs w:val="32"/>
        </w:rPr>
        <w:t>项目效益情况</w:t>
      </w:r>
    </w:p>
    <w:p w14:paraId="763DA5BB">
      <w:pPr>
        <w:spacing w:line="540" w:lineRule="exact"/>
        <w:ind w:firstLine="624" w:firstLineChars="200"/>
        <w:rPr>
          <w:rStyle w:val="18"/>
          <w:rFonts w:eastAsia="楷体"/>
          <w:b w:val="0"/>
          <w:bCs w:val="0"/>
          <w:spacing w:val="-4"/>
          <w:sz w:val="32"/>
          <w:szCs w:val="32"/>
        </w:rPr>
      </w:pPr>
      <w:r>
        <w:rPr>
          <w:rStyle w:val="18"/>
          <w:rFonts w:hint="eastAsia" w:eastAsia="楷体"/>
          <w:b w:val="0"/>
          <w:bCs w:val="0"/>
          <w:spacing w:val="-4"/>
          <w:sz w:val="32"/>
          <w:szCs w:val="32"/>
        </w:rPr>
        <w:t>项目效益类指标由1个二级指标和2个三级指标构成，权重分20.00分，实际得分20.00分。</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1. 社会效益指标完成情况分析</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“强化公务员队伍素质”指标：预期指标值为有效强化，实际完成指标值为基本达成目标，指标完成率为100.0%。扣分原因分析：无。</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综上所述，本指标满分为10分，根据评分标准得10分。</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“推动公务员事业发展”指标：预期指标值为有效推动，实际完成指标值为基本达成目标，指标完成率为100.0%。扣分原因分析：无。</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综上所述，本指标满分为10分，根据评分标准得10分。</w:t>
      </w:r>
    </w:p>
    <w:p w14:paraId="360BDE43">
      <w:pPr>
        <w:spacing w:line="540" w:lineRule="exact"/>
        <w:ind w:firstLine="624" w:firstLineChars="200"/>
        <w:rPr>
          <w:rStyle w:val="18"/>
          <w:rFonts w:eastAsia="楷体"/>
          <w:b w:val="0"/>
          <w:bCs w:val="0"/>
          <w:spacing w:val="-4"/>
          <w:sz w:val="32"/>
          <w:szCs w:val="32"/>
        </w:rPr>
      </w:pPr>
      <w:r>
        <w:rPr>
          <w:rStyle w:val="18"/>
          <w:rFonts w:hint="eastAsia" w:eastAsia="楷体"/>
          <w:b w:val="0"/>
          <w:bCs w:val="0"/>
          <w:spacing w:val="-4"/>
          <w:sz w:val="32"/>
          <w:szCs w:val="32"/>
        </w:rPr>
        <w:t>该项目未设置满意度指标。</w:t>
      </w:r>
    </w:p>
    <w:p w14:paraId="005A7667">
      <w:pPr>
        <w:spacing w:line="540" w:lineRule="exact"/>
        <w:ind w:firstLine="624" w:firstLineChars="200"/>
        <w:rPr>
          <w:rStyle w:val="18"/>
          <w:rFonts w:hint="eastAsia" w:ascii="黑体" w:hAnsi="黑体" w:eastAsia="黑体"/>
          <w:b w:val="0"/>
          <w:spacing w:val="-4"/>
          <w:sz w:val="32"/>
          <w:szCs w:val="32"/>
        </w:rPr>
      </w:pPr>
      <w:r>
        <w:rPr>
          <w:rStyle w:val="18"/>
          <w:rFonts w:hint="eastAsia" w:ascii="黑体" w:hAnsi="黑体" w:eastAsia="黑体"/>
          <w:b w:val="0"/>
          <w:spacing w:val="-4"/>
          <w:sz w:val="32"/>
          <w:szCs w:val="32"/>
        </w:rPr>
        <w:t>五、主要经验及做法、存在的问题及原因分析</w:t>
      </w:r>
    </w:p>
    <w:p w14:paraId="297CFA87">
      <w:pPr>
        <w:spacing w:line="540" w:lineRule="exact"/>
        <w:ind w:firstLine="624" w:firstLineChars="200"/>
        <w:rPr>
          <w:rStyle w:val="18"/>
          <w:rFonts w:eastAsia="楷体"/>
        </w:rPr>
      </w:pPr>
      <w:r>
        <w:rPr>
          <w:rStyle w:val="18"/>
          <w:rFonts w:hint="eastAsia" w:eastAsia="楷体"/>
          <w:b w:val="0"/>
          <w:bCs w:val="0"/>
          <w:spacing w:val="-4"/>
          <w:sz w:val="32"/>
          <w:szCs w:val="32"/>
        </w:rPr>
        <w:t>（一）主要经验及做法</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一是科学统筹规划，精准设置职位。开展全市公务员队伍大摸底，合理制定招录计划，科学设置招录职位和资格条件，有效提升了招录工作的针对性和精准度。</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二是严格规范流程，确保公平公正。细化考试保障责任清单，制定面试组织实施规范手册，落实全流程安全保密措施，确保招录工作安全平稳、公平公正。</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三是优化资源配置，强化资金管理。科学测算人员经费需求，充分利用单位自有场地资源，通过精细化管理严格控制开支，实现了财政资金节约高效使用。</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（二）存在的问题及原因分析</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1. 项目前期规划不够系统精细，对年度招录任务的预判不足</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本项目在年初编制绩效目标和预算时，主要按照常规公开招录工作进行规划和测算，对自治区层面可能增加的选调类招录任务预判不够充分。实际执行中增加了选调优秀毕业生工作，反映出前期规划在与上级部门主动对接、任务弹性预判方面尚有提升空间。此外，场地费用预算按租赁模式测算，未充分统筹摸排单位内部及合作单位可用的自有场地资源。主要原因在于项目前期对年度招录工作研判机制不够完善，资源盘点作为预算编制前置环节的意识有待加强。</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2.支出进度与项目实际工作进度关联性不强，部分成本指标偏差较大</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本项目资金使用合规率和支付及时率均达100%，但预算执行率为84.27%。“保障场地费用”指标年初预算7.04万元，实际支出0万元；“保障工作经费”指标年初预算10.32万元，实际支出0.72万元。两项指标均因实际支出与预算差距过大而未得分。主要原因在于预算编制时对单位自有场地资源的可利用率评估不足，对招录工作经费的实际需求预判不够充分，未能充分结合近三年实际支出情况进行精细化测算，导致预算额度与实际支出存在较大差距。</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（三）下一步改进措施</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1. 加强项目前期谋划，提高工作前瞻性</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在每年预算编制前，主动加强与上级组织部门的沟通对接，及时了解下一年度招录工作的总体安排和重点任务，结合往年工作实际，科学合理预测全年工作量，在目标设定中适当预留弹性空间。同时，全面盘点单位内部可统筹利用的各类资源，将其作为预算编制的重要参考依据，确保前期规划更加系统科学。</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2. 加强预算执行与业务进度的联动管理</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在今后年度预算编制中，充分梳理近三年各项经费的实际支出情况，结合年度工作计划，逐项分析各项支出的必要性和合理性，科学测算预算额度。对可统筹利用的现有资源，在预算编制时予以充分考虑，避免虚高预算。在项目执行过程中，建立财务与业务科室的定期沟通机制，及时掌握预算支出进度与工作完成情况的匹配程度，在厉行节约的前提下，进一步优化支出结构，不断提高财政资金使用效益。</w:t>
      </w:r>
    </w:p>
    <w:p w14:paraId="3AA3CDDC">
      <w:pPr>
        <w:spacing w:line="540" w:lineRule="exact"/>
        <w:ind w:firstLine="624" w:firstLineChars="200"/>
        <w:rPr>
          <w:rStyle w:val="18"/>
          <w:rFonts w:hint="eastAsia" w:ascii="黑体" w:hAnsi="黑体" w:eastAsia="黑体"/>
          <w:b w:val="0"/>
          <w:spacing w:val="-4"/>
          <w:sz w:val="32"/>
          <w:szCs w:val="32"/>
        </w:rPr>
      </w:pPr>
      <w:r>
        <w:rPr>
          <w:rStyle w:val="18"/>
          <w:rFonts w:hint="eastAsia" w:ascii="黑体" w:hAnsi="黑体" w:eastAsia="黑体"/>
          <w:b w:val="0"/>
          <w:spacing w:val="-4"/>
          <w:sz w:val="32"/>
          <w:szCs w:val="32"/>
        </w:rPr>
        <w:t>六、有关建议</w:t>
      </w:r>
    </w:p>
    <w:p w14:paraId="391D375B">
      <w:pPr>
        <w:spacing w:line="540" w:lineRule="exact"/>
        <w:ind w:firstLine="624" w:firstLineChars="200"/>
        <w:rPr>
          <w:rStyle w:val="18"/>
          <w:rFonts w:eastAsia="楷体"/>
          <w:b w:val="0"/>
          <w:bCs w:val="0"/>
          <w:spacing w:val="-4"/>
          <w:sz w:val="32"/>
          <w:szCs w:val="32"/>
        </w:rPr>
      </w:pPr>
      <w:r>
        <w:rPr>
          <w:rStyle w:val="18"/>
          <w:rFonts w:hint="eastAsia" w:eastAsia="楷体"/>
          <w:b w:val="0"/>
          <w:bCs w:val="0"/>
          <w:spacing w:val="-4"/>
          <w:sz w:val="32"/>
          <w:szCs w:val="32"/>
        </w:rPr>
        <w:t>（一）进一步完善项目前期谋划与招录职位设置的科学性。建议在每年预算编制前，主动加强与上级组织部门的沟通对接，科学预判全年招录工作量，在绩效目标设定中预留弹性空间。同时，在制定招录计划时，深入了解各用人单位实际需求，指导科学设置职位资格条件，确保招录工作满足用人需要。</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二）进一步完善招录职位设置的科学性。建议在制定年度招录计划时，进一步加强与各用人单位的沟通对接，深入了解各单位实际用人需求和岗位特点，指导用人单位科学设置招录职位的资格条件。同时，对艰苦边远地区和基层一线职位，继续落实适当降低进入门槛的政策，确保招录工作既体现公平公正，又满足实际用人需要。</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三）进一步完善新录用公务员跟踪培养机制。建议对新录用的公务员跟踪培养，结合其专业特长和岗位需求，制定个性化培养计划，帮助新录用人员尽快适应岗位要求。同时，定期开展新录用公务员履职情况调研，收集用人单位的反馈意见，为下一年度招录工作的职位设置和条件优化提供参考依据。</w:t>
      </w:r>
    </w:p>
    <w:p w14:paraId="30E16E02">
      <w:pPr>
        <w:spacing w:line="540" w:lineRule="exact"/>
        <w:ind w:firstLine="624" w:firstLineChars="200"/>
        <w:rPr>
          <w:rStyle w:val="18"/>
          <w:rFonts w:hint="eastAsia" w:ascii="黑体" w:hAnsi="黑体" w:eastAsia="黑体"/>
          <w:b w:val="0"/>
          <w:spacing w:val="-4"/>
          <w:sz w:val="32"/>
          <w:szCs w:val="32"/>
        </w:rPr>
      </w:pPr>
      <w:r>
        <w:rPr>
          <w:rStyle w:val="18"/>
          <w:rFonts w:hint="eastAsia" w:ascii="黑体" w:hAnsi="黑体" w:eastAsia="黑体"/>
          <w:b w:val="0"/>
          <w:spacing w:val="-4"/>
          <w:sz w:val="32"/>
          <w:szCs w:val="32"/>
        </w:rPr>
        <w:t>七、其他需要说明的问题</w:t>
      </w:r>
    </w:p>
    <w:p w14:paraId="5346154C">
      <w:pPr>
        <w:spacing w:line="540" w:lineRule="exact"/>
        <w:ind w:firstLine="624" w:firstLineChars="200"/>
        <w:rPr>
          <w:rStyle w:val="18"/>
          <w:rFonts w:eastAsia="楷体"/>
          <w:b w:val="0"/>
          <w:bCs w:val="0"/>
          <w:spacing w:val="-4"/>
          <w:sz w:val="32"/>
          <w:szCs w:val="32"/>
        </w:rPr>
      </w:pPr>
      <w:r>
        <w:rPr>
          <w:rStyle w:val="18"/>
          <w:rFonts w:hint="eastAsia" w:eastAsia="楷体"/>
          <w:b w:val="0"/>
          <w:bCs w:val="0"/>
          <w:spacing w:val="-4"/>
          <w:sz w:val="32"/>
          <w:szCs w:val="32"/>
        </w:rPr>
        <w:t>（一）本项目产生的部分间接性效果无法在短期内进行衡量，因此很难认定项目产生的全部效果。通过指标来反映绩效，指标的科学性和全面性需要不断地完善和研究。</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（二）评价结果作为安排政府预算、完善政策和改进管理的重要依据。原则上，对评价等级为优、良的，根据情况予以支持；对评价等级为中、差的，要完善政策、改进管理，根据情况核减预算。</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（三）评价结果分别编入政府决算和部门预算，报送本级人民代表大会常务委员会，并依法予以公开。</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四）对使用财政资金严重低效无效并造成重大损失的责任人，要按照相关规定追责问责。对绩效评价过程中发现的资金使用单位和个人的财政违法行为，依照《中华人民共和国预算法》《财政违法行为处罚处分条例》等有关规定追究责任，发现违纪违法问题线索的，应当及时移送纪检监察机关。</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五）工作人员在绩效评价管理工作中存在违反《项目支出绩效评价管理办法》（财预〔2020〕10号）文件行为的，其他滥用职权、徇私舞弊等违法违纪行为的，依照《中华人民共和国预算法》《中华人民共和国公务员法》《中华人民共和国监察法》《财政违法行为处罚处分条例》等国家有关规定追究相应责任，涉嫌犯罪的，依法移送司法机关处理。</w:t>
      </w:r>
    </w:p>
    <w:p w14:paraId="42ABE4E4">
      <w:pPr>
        <w:spacing w:line="540" w:lineRule="exact"/>
        <w:ind w:firstLine="624" w:firstLineChars="200"/>
        <w:rPr>
          <w:rStyle w:val="18"/>
          <w:rFonts w:hint="eastAsia" w:ascii="仿宋" w:hAnsi="仿宋" w:eastAsia="仿宋"/>
          <w:b w:val="0"/>
          <w:spacing w:val="-4"/>
          <w:sz w:val="32"/>
          <w:szCs w:val="32"/>
        </w:rPr>
      </w:pPr>
    </w:p>
    <w:p w14:paraId="5778E853">
      <w:pPr>
        <w:spacing w:line="540" w:lineRule="exact"/>
        <w:ind w:firstLine="624" w:firstLineChars="200"/>
        <w:rPr>
          <w:rStyle w:val="18"/>
          <w:rFonts w:hint="eastAsia" w:ascii="仿宋" w:hAnsi="仿宋" w:eastAsia="仿宋"/>
          <w:b w:val="0"/>
          <w:spacing w:val="-4"/>
          <w:sz w:val="32"/>
          <w:szCs w:val="32"/>
        </w:rPr>
      </w:pPr>
    </w:p>
    <w:p w14:paraId="5475AEC3">
      <w:pPr>
        <w:spacing w:line="540" w:lineRule="exact"/>
        <w:ind w:firstLine="624" w:firstLineChars="200"/>
        <w:rPr>
          <w:rStyle w:val="18"/>
          <w:rFonts w:hint="eastAsia" w:ascii="仿宋" w:hAnsi="仿宋" w:eastAsia="仿宋"/>
          <w:b w:val="0"/>
          <w:spacing w:val="-4"/>
          <w:sz w:val="32"/>
          <w:szCs w:val="32"/>
        </w:rPr>
      </w:pPr>
    </w:p>
    <w:p w14:paraId="41BE5D49">
      <w:pPr>
        <w:spacing w:line="540" w:lineRule="exact"/>
        <w:ind w:firstLine="624" w:firstLineChars="200"/>
        <w:rPr>
          <w:rStyle w:val="18"/>
          <w:rFonts w:hint="eastAsia" w:ascii="仿宋" w:hAnsi="仿宋" w:eastAsia="仿宋"/>
          <w:b w:val="0"/>
          <w:spacing w:val="-4"/>
          <w:sz w:val="32"/>
          <w:szCs w:val="32"/>
        </w:rPr>
      </w:pPr>
    </w:p>
    <w:p w14:paraId="3F0D8952">
      <w:pPr>
        <w:spacing w:line="540" w:lineRule="exact"/>
        <w:ind w:firstLine="624" w:firstLineChars="200"/>
        <w:rPr>
          <w:rStyle w:val="18"/>
          <w:rFonts w:hint="eastAsia" w:ascii="仿宋" w:hAnsi="仿宋" w:eastAsia="仿宋"/>
          <w:b w:val="0"/>
          <w:spacing w:val="-4"/>
          <w:sz w:val="32"/>
          <w:szCs w:val="32"/>
        </w:rPr>
      </w:pPr>
    </w:p>
    <w:sectPr>
      <w:footerReference r:id="rId5" w:type="default"/>
      <w:pgSz w:w="11906" w:h="16838"/>
      <w:pgMar w:top="1440" w:right="1558" w:bottom="1440" w:left="1757"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方正小标宋_GBK">
    <w:panose1 w:val="02000000000000000000"/>
    <w:charset w:val="86"/>
    <w:family w:val="script"/>
    <w:pitch w:val="default"/>
    <w:sig w:usb0="A00002BF" w:usb1="38CF7CFA" w:usb2="00082016" w:usb3="00000000" w:csb0="00040001" w:csb1="00000000"/>
  </w:font>
  <w:font w:name="仿宋_GB2312">
    <w:altName w:val="仿宋"/>
    <w:panose1 w:val="00000000000000000000"/>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22003363"/>
    </w:sdtPr>
    <w:sdtContent>
      <w:p w14:paraId="59D478BF">
        <w:pPr>
          <w:pStyle w:val="12"/>
          <w:jc w:val="center"/>
        </w:pPr>
        <w:r>
          <w:fldChar w:fldCharType="begin"/>
        </w:r>
        <w:r>
          <w:instrText xml:space="preserve">PAGE   \* MERGEFORMAT</w:instrText>
        </w:r>
        <w:r>
          <w:fldChar w:fldCharType="separate"/>
        </w:r>
        <w:r>
          <w:rPr>
            <w:lang w:val="zh-CN"/>
          </w:rPr>
          <w:t>2</w:t>
        </w:r>
        <w:r>
          <w:fldChar w:fldCharType="end"/>
        </w:r>
      </w:p>
    </w:sdtContent>
  </w:sdt>
  <w:p w14:paraId="47292322">
    <w:pPr>
      <w:pStyle w:val="1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6457"/>
    <w:rsid w:val="000048AA"/>
    <w:rsid w:val="00056465"/>
    <w:rsid w:val="000B0B98"/>
    <w:rsid w:val="00102DFF"/>
    <w:rsid w:val="001071A7"/>
    <w:rsid w:val="00121AE4"/>
    <w:rsid w:val="00146AAD"/>
    <w:rsid w:val="001B3A40"/>
    <w:rsid w:val="00291BC0"/>
    <w:rsid w:val="00311DBE"/>
    <w:rsid w:val="003A1721"/>
    <w:rsid w:val="004366A8"/>
    <w:rsid w:val="00491B24"/>
    <w:rsid w:val="00502BA7"/>
    <w:rsid w:val="005162F1"/>
    <w:rsid w:val="00535153"/>
    <w:rsid w:val="00554F82"/>
    <w:rsid w:val="0056390D"/>
    <w:rsid w:val="005719B0"/>
    <w:rsid w:val="005D10D6"/>
    <w:rsid w:val="00603483"/>
    <w:rsid w:val="00687BD3"/>
    <w:rsid w:val="007E3CE9"/>
    <w:rsid w:val="008062F5"/>
    <w:rsid w:val="0083370B"/>
    <w:rsid w:val="00855E3A"/>
    <w:rsid w:val="0091457F"/>
    <w:rsid w:val="00922CB9"/>
    <w:rsid w:val="009C229E"/>
    <w:rsid w:val="009E305C"/>
    <w:rsid w:val="009E5CD9"/>
    <w:rsid w:val="00A26421"/>
    <w:rsid w:val="00A34588"/>
    <w:rsid w:val="00A4293B"/>
    <w:rsid w:val="00A67D50"/>
    <w:rsid w:val="00A8691A"/>
    <w:rsid w:val="00AC1946"/>
    <w:rsid w:val="00B40063"/>
    <w:rsid w:val="00B41F61"/>
    <w:rsid w:val="00B65C83"/>
    <w:rsid w:val="00BA2197"/>
    <w:rsid w:val="00BA46E6"/>
    <w:rsid w:val="00C56C72"/>
    <w:rsid w:val="00CA6457"/>
    <w:rsid w:val="00CE2FD9"/>
    <w:rsid w:val="00D17F2E"/>
    <w:rsid w:val="00D30354"/>
    <w:rsid w:val="00DA6280"/>
    <w:rsid w:val="00DF42A0"/>
    <w:rsid w:val="00E30E91"/>
    <w:rsid w:val="00E769FE"/>
    <w:rsid w:val="00EA2CBE"/>
    <w:rsid w:val="00F32FEE"/>
    <w:rsid w:val="00FB10BB"/>
    <w:rsid w:val="07261865"/>
    <w:rsid w:val="0856517C"/>
    <w:rsid w:val="0BFB189F"/>
    <w:rsid w:val="11BD75F7"/>
    <w:rsid w:val="13BE561A"/>
    <w:rsid w:val="14AC5202"/>
    <w:rsid w:val="15392994"/>
    <w:rsid w:val="18FE139B"/>
    <w:rsid w:val="297F67E6"/>
    <w:rsid w:val="2A891760"/>
    <w:rsid w:val="3029612C"/>
    <w:rsid w:val="32A221C5"/>
    <w:rsid w:val="33F20F2A"/>
    <w:rsid w:val="34C44675"/>
    <w:rsid w:val="38C22245"/>
    <w:rsid w:val="3B5B5607"/>
    <w:rsid w:val="3CE21B3C"/>
    <w:rsid w:val="4D2606A1"/>
    <w:rsid w:val="51830480"/>
    <w:rsid w:val="53A616BE"/>
    <w:rsid w:val="54662BFB"/>
    <w:rsid w:val="555B15E1"/>
    <w:rsid w:val="62051CA5"/>
    <w:rsid w:val="6C3A69EF"/>
    <w:rsid w:val="72144283"/>
    <w:rsid w:val="7DB128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0"/>
    <w:qFormat/>
    <w:uiPriority w:val="9"/>
    <w:pPr>
      <w:keepNext/>
      <w:widowControl/>
      <w:spacing w:before="240" w:after="60"/>
      <w:jc w:val="left"/>
      <w:outlineLvl w:val="0"/>
    </w:pPr>
    <w:rPr>
      <w:rFonts w:asciiTheme="majorHAnsi" w:hAnsiTheme="majorHAnsi" w:eastAsiaTheme="majorEastAsia"/>
      <w:b/>
      <w:bCs/>
      <w:kern w:val="32"/>
      <w:sz w:val="32"/>
      <w:szCs w:val="32"/>
    </w:rPr>
  </w:style>
  <w:style w:type="paragraph" w:styleId="3">
    <w:name w:val="heading 2"/>
    <w:basedOn w:val="1"/>
    <w:next w:val="1"/>
    <w:link w:val="21"/>
    <w:semiHidden/>
    <w:unhideWhenUsed/>
    <w:qFormat/>
    <w:uiPriority w:val="9"/>
    <w:pPr>
      <w:keepNext/>
      <w:widowControl/>
      <w:spacing w:before="240" w:after="60"/>
      <w:jc w:val="left"/>
      <w:outlineLvl w:val="1"/>
    </w:pPr>
    <w:rPr>
      <w:rFonts w:asciiTheme="majorHAnsi" w:hAnsiTheme="majorHAnsi" w:eastAsiaTheme="majorEastAsia"/>
      <w:b/>
      <w:bCs/>
      <w:i/>
      <w:iCs/>
      <w:kern w:val="0"/>
      <w:sz w:val="28"/>
      <w:szCs w:val="28"/>
    </w:rPr>
  </w:style>
  <w:style w:type="paragraph" w:styleId="4">
    <w:name w:val="heading 3"/>
    <w:basedOn w:val="1"/>
    <w:next w:val="1"/>
    <w:link w:val="22"/>
    <w:semiHidden/>
    <w:unhideWhenUsed/>
    <w:qFormat/>
    <w:uiPriority w:val="9"/>
    <w:pPr>
      <w:keepNext/>
      <w:widowControl/>
      <w:spacing w:before="240" w:after="60"/>
      <w:jc w:val="left"/>
      <w:outlineLvl w:val="2"/>
    </w:pPr>
    <w:rPr>
      <w:rFonts w:asciiTheme="majorHAnsi" w:hAnsiTheme="majorHAnsi" w:eastAsiaTheme="majorEastAsia"/>
      <w:b/>
      <w:bCs/>
      <w:kern w:val="0"/>
      <w:sz w:val="26"/>
      <w:szCs w:val="26"/>
    </w:rPr>
  </w:style>
  <w:style w:type="paragraph" w:styleId="5">
    <w:name w:val="heading 4"/>
    <w:basedOn w:val="1"/>
    <w:next w:val="1"/>
    <w:link w:val="23"/>
    <w:semiHidden/>
    <w:unhideWhenUsed/>
    <w:qFormat/>
    <w:uiPriority w:val="9"/>
    <w:pPr>
      <w:keepNext/>
      <w:widowControl/>
      <w:spacing w:before="240" w:after="60"/>
      <w:jc w:val="left"/>
      <w:outlineLvl w:val="3"/>
    </w:pPr>
    <w:rPr>
      <w:rFonts w:asciiTheme="minorHAnsi" w:hAnsiTheme="minorHAnsi" w:eastAsiaTheme="minorEastAsia"/>
      <w:b/>
      <w:bCs/>
      <w:kern w:val="0"/>
      <w:sz w:val="28"/>
      <w:szCs w:val="28"/>
    </w:rPr>
  </w:style>
  <w:style w:type="paragraph" w:styleId="6">
    <w:name w:val="heading 5"/>
    <w:basedOn w:val="1"/>
    <w:next w:val="1"/>
    <w:link w:val="24"/>
    <w:semiHidden/>
    <w:unhideWhenUsed/>
    <w:qFormat/>
    <w:uiPriority w:val="9"/>
    <w:pPr>
      <w:widowControl/>
      <w:spacing w:before="240" w:after="60"/>
      <w:jc w:val="left"/>
      <w:outlineLvl w:val="4"/>
    </w:pPr>
    <w:rPr>
      <w:rFonts w:asciiTheme="minorHAnsi" w:hAnsiTheme="minorHAnsi" w:eastAsiaTheme="minorEastAsia"/>
      <w:b/>
      <w:bCs/>
      <w:i/>
      <w:iCs/>
      <w:kern w:val="0"/>
      <w:sz w:val="26"/>
      <w:szCs w:val="26"/>
    </w:rPr>
  </w:style>
  <w:style w:type="paragraph" w:styleId="7">
    <w:name w:val="heading 6"/>
    <w:basedOn w:val="1"/>
    <w:next w:val="1"/>
    <w:link w:val="25"/>
    <w:semiHidden/>
    <w:unhideWhenUsed/>
    <w:qFormat/>
    <w:uiPriority w:val="9"/>
    <w:pPr>
      <w:widowControl/>
      <w:spacing w:before="240" w:after="60"/>
      <w:jc w:val="left"/>
      <w:outlineLvl w:val="5"/>
    </w:pPr>
    <w:rPr>
      <w:rFonts w:asciiTheme="minorHAnsi" w:hAnsiTheme="minorHAnsi" w:eastAsiaTheme="minorEastAsia"/>
      <w:b/>
      <w:bCs/>
      <w:kern w:val="0"/>
      <w:sz w:val="22"/>
      <w:szCs w:val="22"/>
    </w:rPr>
  </w:style>
  <w:style w:type="paragraph" w:styleId="8">
    <w:name w:val="heading 7"/>
    <w:basedOn w:val="1"/>
    <w:next w:val="1"/>
    <w:link w:val="26"/>
    <w:semiHidden/>
    <w:unhideWhenUsed/>
    <w:qFormat/>
    <w:uiPriority w:val="9"/>
    <w:pPr>
      <w:widowControl/>
      <w:spacing w:before="240" w:after="60"/>
      <w:jc w:val="left"/>
      <w:outlineLvl w:val="6"/>
    </w:pPr>
    <w:rPr>
      <w:rFonts w:asciiTheme="minorHAnsi" w:hAnsiTheme="minorHAnsi" w:eastAsiaTheme="minorEastAsia"/>
      <w:kern w:val="0"/>
      <w:sz w:val="24"/>
    </w:rPr>
  </w:style>
  <w:style w:type="paragraph" w:styleId="9">
    <w:name w:val="heading 8"/>
    <w:basedOn w:val="1"/>
    <w:next w:val="1"/>
    <w:link w:val="27"/>
    <w:semiHidden/>
    <w:unhideWhenUsed/>
    <w:qFormat/>
    <w:uiPriority w:val="9"/>
    <w:pPr>
      <w:widowControl/>
      <w:spacing w:before="240" w:after="60"/>
      <w:jc w:val="left"/>
      <w:outlineLvl w:val="7"/>
    </w:pPr>
    <w:rPr>
      <w:rFonts w:asciiTheme="minorHAnsi" w:hAnsiTheme="minorHAnsi" w:eastAsiaTheme="minorEastAsia"/>
      <w:i/>
      <w:iCs/>
      <w:kern w:val="0"/>
      <w:sz w:val="24"/>
    </w:rPr>
  </w:style>
  <w:style w:type="paragraph" w:styleId="10">
    <w:name w:val="heading 9"/>
    <w:basedOn w:val="1"/>
    <w:next w:val="1"/>
    <w:link w:val="28"/>
    <w:semiHidden/>
    <w:unhideWhenUsed/>
    <w:qFormat/>
    <w:uiPriority w:val="9"/>
    <w:pPr>
      <w:widowControl/>
      <w:spacing w:before="240" w:after="60"/>
      <w:jc w:val="left"/>
      <w:outlineLvl w:val="8"/>
    </w:pPr>
    <w:rPr>
      <w:rFonts w:asciiTheme="majorHAnsi" w:hAnsiTheme="majorHAnsi" w:eastAsiaTheme="majorEastAsia"/>
      <w:kern w:val="0"/>
      <w:sz w:val="22"/>
      <w:szCs w:val="22"/>
    </w:rPr>
  </w:style>
  <w:style w:type="character" w:default="1" w:styleId="17">
    <w:name w:val="Default Paragraph Font"/>
    <w:semiHidden/>
    <w:unhideWhenUsed/>
    <w:qFormat/>
    <w:uiPriority w:val="1"/>
  </w:style>
  <w:style w:type="table" w:default="1" w:styleId="16">
    <w:name w:val="Normal Table"/>
    <w:semiHidden/>
    <w:unhideWhenUsed/>
    <w:uiPriority w:val="99"/>
    <w:tblPr>
      <w:tblCellMar>
        <w:top w:w="0" w:type="dxa"/>
        <w:left w:w="108" w:type="dxa"/>
        <w:bottom w:w="0" w:type="dxa"/>
        <w:right w:w="108" w:type="dxa"/>
      </w:tblCellMar>
    </w:tblPr>
  </w:style>
  <w:style w:type="paragraph" w:styleId="11">
    <w:name w:val="Balloon Text"/>
    <w:basedOn w:val="1"/>
    <w:link w:val="45"/>
    <w:semiHidden/>
    <w:unhideWhenUsed/>
    <w:qFormat/>
    <w:uiPriority w:val="99"/>
    <w:rPr>
      <w:sz w:val="18"/>
      <w:szCs w:val="18"/>
    </w:rPr>
  </w:style>
  <w:style w:type="paragraph" w:styleId="12">
    <w:name w:val="footer"/>
    <w:basedOn w:val="1"/>
    <w:link w:val="44"/>
    <w:unhideWhenUsed/>
    <w:qFormat/>
    <w:uiPriority w:val="99"/>
    <w:pPr>
      <w:tabs>
        <w:tab w:val="center" w:pos="4153"/>
        <w:tab w:val="right" w:pos="8306"/>
      </w:tabs>
      <w:snapToGrid w:val="0"/>
      <w:jc w:val="left"/>
    </w:pPr>
    <w:rPr>
      <w:rFonts w:ascii="Calibri" w:hAnsi="Calibri"/>
      <w:sz w:val="18"/>
      <w:szCs w:val="18"/>
    </w:rPr>
  </w:style>
  <w:style w:type="paragraph" w:styleId="13">
    <w:name w:val="header"/>
    <w:basedOn w:val="1"/>
    <w:link w:val="43"/>
    <w:unhideWhenUsed/>
    <w:qFormat/>
    <w:uiPriority w:val="99"/>
    <w:pPr>
      <w:pBdr>
        <w:bottom w:val="single" w:color="auto" w:sz="6" w:space="1"/>
      </w:pBdr>
      <w:tabs>
        <w:tab w:val="center" w:pos="4153"/>
        <w:tab w:val="right" w:pos="8306"/>
      </w:tabs>
      <w:snapToGrid w:val="0"/>
      <w:jc w:val="center"/>
    </w:pPr>
    <w:rPr>
      <w:rFonts w:ascii="Calibri" w:hAnsi="Calibri"/>
      <w:sz w:val="18"/>
      <w:szCs w:val="18"/>
    </w:rPr>
  </w:style>
  <w:style w:type="paragraph" w:styleId="14">
    <w:name w:val="Subtitle"/>
    <w:basedOn w:val="1"/>
    <w:next w:val="1"/>
    <w:link w:val="30"/>
    <w:qFormat/>
    <w:uiPriority w:val="11"/>
    <w:pPr>
      <w:widowControl/>
      <w:spacing w:after="60"/>
      <w:jc w:val="center"/>
      <w:outlineLvl w:val="1"/>
    </w:pPr>
    <w:rPr>
      <w:rFonts w:asciiTheme="majorHAnsi" w:hAnsiTheme="majorHAnsi" w:eastAsiaTheme="majorEastAsia"/>
      <w:kern w:val="0"/>
      <w:sz w:val="24"/>
    </w:rPr>
  </w:style>
  <w:style w:type="paragraph" w:styleId="15">
    <w:name w:val="Title"/>
    <w:basedOn w:val="1"/>
    <w:next w:val="1"/>
    <w:link w:val="29"/>
    <w:qFormat/>
    <w:uiPriority w:val="10"/>
    <w:pPr>
      <w:widowControl/>
      <w:spacing w:before="240" w:after="60"/>
      <w:jc w:val="center"/>
      <w:outlineLvl w:val="0"/>
    </w:pPr>
    <w:rPr>
      <w:rFonts w:asciiTheme="majorHAnsi" w:hAnsiTheme="majorHAnsi" w:eastAsiaTheme="majorEastAsia"/>
      <w:b/>
      <w:bCs/>
      <w:kern w:val="28"/>
      <w:sz w:val="32"/>
      <w:szCs w:val="32"/>
    </w:rPr>
  </w:style>
  <w:style w:type="character" w:styleId="18">
    <w:name w:val="Strong"/>
    <w:basedOn w:val="17"/>
    <w:qFormat/>
    <w:uiPriority w:val="0"/>
    <w:rPr>
      <w:b/>
      <w:bCs/>
    </w:rPr>
  </w:style>
  <w:style w:type="character" w:styleId="19">
    <w:name w:val="Emphasis"/>
    <w:basedOn w:val="17"/>
    <w:qFormat/>
    <w:uiPriority w:val="20"/>
    <w:rPr>
      <w:rFonts w:asciiTheme="minorHAnsi" w:hAnsiTheme="minorHAnsi"/>
      <w:b/>
      <w:i/>
      <w:iCs/>
    </w:rPr>
  </w:style>
  <w:style w:type="character" w:customStyle="1" w:styleId="20">
    <w:name w:val="标题 1 字符"/>
    <w:basedOn w:val="17"/>
    <w:link w:val="2"/>
    <w:qFormat/>
    <w:uiPriority w:val="9"/>
    <w:rPr>
      <w:rFonts w:asciiTheme="majorHAnsi" w:hAnsiTheme="majorHAnsi" w:eastAsiaTheme="majorEastAsia"/>
      <w:b/>
      <w:bCs/>
      <w:kern w:val="32"/>
      <w:sz w:val="32"/>
      <w:szCs w:val="32"/>
    </w:rPr>
  </w:style>
  <w:style w:type="character" w:customStyle="1" w:styleId="21">
    <w:name w:val="标题 2 字符"/>
    <w:basedOn w:val="17"/>
    <w:link w:val="3"/>
    <w:semiHidden/>
    <w:qFormat/>
    <w:uiPriority w:val="9"/>
    <w:rPr>
      <w:rFonts w:asciiTheme="majorHAnsi" w:hAnsiTheme="majorHAnsi" w:eastAsiaTheme="majorEastAsia"/>
      <w:b/>
      <w:bCs/>
      <w:i/>
      <w:iCs/>
      <w:sz w:val="28"/>
      <w:szCs w:val="28"/>
    </w:rPr>
  </w:style>
  <w:style w:type="character" w:customStyle="1" w:styleId="22">
    <w:name w:val="标题 3 字符"/>
    <w:basedOn w:val="17"/>
    <w:link w:val="4"/>
    <w:semiHidden/>
    <w:qFormat/>
    <w:uiPriority w:val="9"/>
    <w:rPr>
      <w:rFonts w:asciiTheme="majorHAnsi" w:hAnsiTheme="majorHAnsi" w:eastAsiaTheme="majorEastAsia"/>
      <w:b/>
      <w:bCs/>
      <w:sz w:val="26"/>
      <w:szCs w:val="26"/>
    </w:rPr>
  </w:style>
  <w:style w:type="character" w:customStyle="1" w:styleId="23">
    <w:name w:val="标题 4 字符"/>
    <w:basedOn w:val="17"/>
    <w:link w:val="5"/>
    <w:semiHidden/>
    <w:qFormat/>
    <w:uiPriority w:val="9"/>
    <w:rPr>
      <w:b/>
      <w:bCs/>
      <w:sz w:val="28"/>
      <w:szCs w:val="28"/>
    </w:rPr>
  </w:style>
  <w:style w:type="character" w:customStyle="1" w:styleId="24">
    <w:name w:val="标题 5 字符"/>
    <w:basedOn w:val="17"/>
    <w:link w:val="6"/>
    <w:semiHidden/>
    <w:qFormat/>
    <w:uiPriority w:val="9"/>
    <w:rPr>
      <w:b/>
      <w:bCs/>
      <w:i/>
      <w:iCs/>
      <w:sz w:val="26"/>
      <w:szCs w:val="26"/>
    </w:rPr>
  </w:style>
  <w:style w:type="character" w:customStyle="1" w:styleId="25">
    <w:name w:val="标题 6 字符"/>
    <w:basedOn w:val="17"/>
    <w:link w:val="7"/>
    <w:semiHidden/>
    <w:qFormat/>
    <w:uiPriority w:val="9"/>
    <w:rPr>
      <w:b/>
      <w:bCs/>
    </w:rPr>
  </w:style>
  <w:style w:type="character" w:customStyle="1" w:styleId="26">
    <w:name w:val="标题 7 字符"/>
    <w:basedOn w:val="17"/>
    <w:link w:val="8"/>
    <w:semiHidden/>
    <w:qFormat/>
    <w:uiPriority w:val="9"/>
    <w:rPr>
      <w:sz w:val="24"/>
      <w:szCs w:val="24"/>
    </w:rPr>
  </w:style>
  <w:style w:type="character" w:customStyle="1" w:styleId="27">
    <w:name w:val="标题 8 字符"/>
    <w:basedOn w:val="17"/>
    <w:link w:val="9"/>
    <w:semiHidden/>
    <w:qFormat/>
    <w:uiPriority w:val="9"/>
    <w:rPr>
      <w:i/>
      <w:iCs/>
      <w:sz w:val="24"/>
      <w:szCs w:val="24"/>
    </w:rPr>
  </w:style>
  <w:style w:type="character" w:customStyle="1" w:styleId="28">
    <w:name w:val="标题 9 字符"/>
    <w:basedOn w:val="17"/>
    <w:link w:val="10"/>
    <w:semiHidden/>
    <w:qFormat/>
    <w:uiPriority w:val="9"/>
    <w:rPr>
      <w:rFonts w:asciiTheme="majorHAnsi" w:hAnsiTheme="majorHAnsi" w:eastAsiaTheme="majorEastAsia"/>
    </w:rPr>
  </w:style>
  <w:style w:type="character" w:customStyle="1" w:styleId="29">
    <w:name w:val="标题 字符"/>
    <w:basedOn w:val="17"/>
    <w:link w:val="15"/>
    <w:qFormat/>
    <w:uiPriority w:val="10"/>
    <w:rPr>
      <w:rFonts w:asciiTheme="majorHAnsi" w:hAnsiTheme="majorHAnsi" w:eastAsiaTheme="majorEastAsia"/>
      <w:b/>
      <w:bCs/>
      <w:kern w:val="28"/>
      <w:sz w:val="32"/>
      <w:szCs w:val="32"/>
    </w:rPr>
  </w:style>
  <w:style w:type="character" w:customStyle="1" w:styleId="30">
    <w:name w:val="副标题 字符"/>
    <w:basedOn w:val="17"/>
    <w:link w:val="14"/>
    <w:qFormat/>
    <w:uiPriority w:val="11"/>
    <w:rPr>
      <w:rFonts w:asciiTheme="majorHAnsi" w:hAnsiTheme="majorHAnsi" w:eastAsiaTheme="majorEastAsia"/>
      <w:sz w:val="24"/>
      <w:szCs w:val="24"/>
    </w:rPr>
  </w:style>
  <w:style w:type="paragraph" w:styleId="31">
    <w:name w:val="No Spacing"/>
    <w:basedOn w:val="1"/>
    <w:qFormat/>
    <w:uiPriority w:val="1"/>
    <w:pPr>
      <w:widowControl/>
      <w:jc w:val="left"/>
    </w:pPr>
    <w:rPr>
      <w:rFonts w:asciiTheme="minorHAnsi" w:hAnsiTheme="minorHAnsi" w:eastAsiaTheme="minorEastAsia"/>
      <w:kern w:val="0"/>
      <w:sz w:val="24"/>
      <w:szCs w:val="32"/>
      <w:lang w:eastAsia="en-US" w:bidi="en-US"/>
    </w:rPr>
  </w:style>
  <w:style w:type="paragraph" w:styleId="32">
    <w:name w:val="List Paragraph"/>
    <w:basedOn w:val="1"/>
    <w:qFormat/>
    <w:uiPriority w:val="34"/>
    <w:pPr>
      <w:widowControl/>
      <w:ind w:left="720"/>
      <w:contextualSpacing/>
      <w:jc w:val="left"/>
    </w:pPr>
    <w:rPr>
      <w:rFonts w:asciiTheme="minorHAnsi" w:hAnsiTheme="minorHAnsi" w:eastAsiaTheme="minorEastAsia"/>
      <w:kern w:val="0"/>
      <w:sz w:val="24"/>
      <w:lang w:eastAsia="en-US" w:bidi="en-US"/>
    </w:rPr>
  </w:style>
  <w:style w:type="paragraph" w:styleId="33">
    <w:name w:val="Quote"/>
    <w:basedOn w:val="1"/>
    <w:next w:val="1"/>
    <w:link w:val="34"/>
    <w:qFormat/>
    <w:uiPriority w:val="29"/>
    <w:pPr>
      <w:widowControl/>
      <w:jc w:val="left"/>
    </w:pPr>
    <w:rPr>
      <w:rFonts w:asciiTheme="minorHAnsi" w:hAnsiTheme="minorHAnsi" w:eastAsiaTheme="minorEastAsia"/>
      <w:i/>
      <w:kern w:val="0"/>
      <w:sz w:val="24"/>
    </w:rPr>
  </w:style>
  <w:style w:type="character" w:customStyle="1" w:styleId="34">
    <w:name w:val="引用 字符"/>
    <w:basedOn w:val="17"/>
    <w:link w:val="33"/>
    <w:qFormat/>
    <w:uiPriority w:val="29"/>
    <w:rPr>
      <w:i/>
      <w:sz w:val="24"/>
      <w:szCs w:val="24"/>
    </w:rPr>
  </w:style>
  <w:style w:type="paragraph" w:styleId="35">
    <w:name w:val="Intense Quote"/>
    <w:basedOn w:val="1"/>
    <w:next w:val="1"/>
    <w:link w:val="36"/>
    <w:qFormat/>
    <w:uiPriority w:val="30"/>
    <w:pPr>
      <w:widowControl/>
      <w:ind w:left="720" w:right="720"/>
      <w:jc w:val="left"/>
    </w:pPr>
    <w:rPr>
      <w:rFonts w:asciiTheme="minorHAnsi" w:hAnsiTheme="minorHAnsi" w:eastAsiaTheme="minorEastAsia"/>
      <w:b/>
      <w:i/>
      <w:kern w:val="0"/>
      <w:sz w:val="24"/>
      <w:szCs w:val="22"/>
    </w:rPr>
  </w:style>
  <w:style w:type="character" w:customStyle="1" w:styleId="36">
    <w:name w:val="明显引用 字符"/>
    <w:basedOn w:val="17"/>
    <w:link w:val="35"/>
    <w:qFormat/>
    <w:uiPriority w:val="30"/>
    <w:rPr>
      <w:b/>
      <w:i/>
      <w:sz w:val="24"/>
    </w:rPr>
  </w:style>
  <w:style w:type="character" w:customStyle="1" w:styleId="37">
    <w:name w:val="不明显强调1"/>
    <w:qFormat/>
    <w:uiPriority w:val="19"/>
    <w:rPr>
      <w:i/>
      <w:color w:val="595959" w:themeColor="text1" w:themeTint="A6"/>
      <w14:textFill>
        <w14:solidFill>
          <w14:schemeClr w14:val="tx1">
            <w14:lumMod w14:val="65000"/>
            <w14:lumOff w14:val="35000"/>
          </w14:schemeClr>
        </w14:solidFill>
      </w14:textFill>
    </w:rPr>
  </w:style>
  <w:style w:type="character" w:customStyle="1" w:styleId="38">
    <w:name w:val="明显强调1"/>
    <w:basedOn w:val="17"/>
    <w:qFormat/>
    <w:uiPriority w:val="21"/>
    <w:rPr>
      <w:b/>
      <w:i/>
      <w:sz w:val="24"/>
      <w:szCs w:val="24"/>
      <w:u w:val="single"/>
    </w:rPr>
  </w:style>
  <w:style w:type="character" w:customStyle="1" w:styleId="39">
    <w:name w:val="不明显参考1"/>
    <w:basedOn w:val="17"/>
    <w:qFormat/>
    <w:uiPriority w:val="31"/>
    <w:rPr>
      <w:sz w:val="24"/>
      <w:szCs w:val="24"/>
      <w:u w:val="single"/>
    </w:rPr>
  </w:style>
  <w:style w:type="character" w:customStyle="1" w:styleId="40">
    <w:name w:val="明显参考1"/>
    <w:basedOn w:val="17"/>
    <w:qFormat/>
    <w:uiPriority w:val="32"/>
    <w:rPr>
      <w:b/>
      <w:sz w:val="24"/>
      <w:u w:val="single"/>
    </w:rPr>
  </w:style>
  <w:style w:type="character" w:customStyle="1" w:styleId="41">
    <w:name w:val="书籍标题1"/>
    <w:basedOn w:val="17"/>
    <w:qFormat/>
    <w:uiPriority w:val="33"/>
    <w:rPr>
      <w:rFonts w:asciiTheme="majorHAnsi" w:hAnsiTheme="majorHAnsi" w:eastAsiaTheme="majorEastAsia"/>
      <w:b/>
      <w:i/>
      <w:sz w:val="24"/>
      <w:szCs w:val="24"/>
    </w:rPr>
  </w:style>
  <w:style w:type="paragraph" w:customStyle="1" w:styleId="42">
    <w:name w:val="TOC 标题1"/>
    <w:basedOn w:val="2"/>
    <w:next w:val="1"/>
    <w:semiHidden/>
    <w:unhideWhenUsed/>
    <w:qFormat/>
    <w:uiPriority w:val="39"/>
    <w:pPr>
      <w:outlineLvl w:val="9"/>
    </w:pPr>
    <w:rPr>
      <w:lang w:eastAsia="en-US" w:bidi="en-US"/>
    </w:rPr>
  </w:style>
  <w:style w:type="character" w:customStyle="1" w:styleId="43">
    <w:name w:val="页眉 字符"/>
    <w:basedOn w:val="17"/>
    <w:link w:val="13"/>
    <w:qFormat/>
    <w:uiPriority w:val="99"/>
    <w:rPr>
      <w:rFonts w:ascii="Calibri" w:hAnsi="Calibri" w:eastAsia="宋体"/>
      <w:kern w:val="2"/>
      <w:sz w:val="18"/>
      <w:szCs w:val="18"/>
    </w:rPr>
  </w:style>
  <w:style w:type="character" w:customStyle="1" w:styleId="44">
    <w:name w:val="页脚 字符"/>
    <w:basedOn w:val="17"/>
    <w:link w:val="12"/>
    <w:qFormat/>
    <w:uiPriority w:val="99"/>
    <w:rPr>
      <w:rFonts w:ascii="Calibri" w:hAnsi="Calibri" w:eastAsia="宋体"/>
      <w:kern w:val="2"/>
      <w:sz w:val="18"/>
      <w:szCs w:val="18"/>
    </w:rPr>
  </w:style>
  <w:style w:type="character" w:customStyle="1" w:styleId="45">
    <w:name w:val="批注框文本 字符"/>
    <w:basedOn w:val="17"/>
    <w:link w:val="11"/>
    <w:semiHidden/>
    <w:qFormat/>
    <w:uiPriority w:val="99"/>
    <w:rPr>
      <w:rFonts w:ascii="Times New Roman" w:hAnsi="Times New Roman" w:eastAsia="宋体"/>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市财政资金综合评价中心</Company>
  <Pages>36</Pages>
  <Words>2325</Words>
  <Characters>13253</Characters>
  <Lines>110</Lines>
  <Paragraphs>31</Paragraphs>
  <TotalTime>1</TotalTime>
  <ScaleCrop>false</ScaleCrop>
  <LinksUpToDate>false</LinksUpToDate>
  <CharactersWithSpaces>15547</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2026-09-10T09:09:00Z</dcterms:created>
  <dc:creator>赵 恺（预算处）</dc:creator>
  <cp:lastModifiedBy>Lenovo</cp:lastModifiedBy>
  <cp:lastPrinted>2018-12-31T10:56:00Z</cp:lastPrinted>
  <dcterms:modified xsi:type="dcterms:W3CDTF">2026-09-14T03:32:26Z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AC8D1C95289B424182C977C1902B2A2F</vt:lpwstr>
  </property>
</Properties>
</file>