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left"/>
        <w:rPr>
          <w:rFonts w:hint="eastAsia" w:ascii="仿宋" w:hAnsi="仿宋" w:eastAsia="仿宋" w:cs="宋体"/>
          <w:kern w:val="0"/>
          <w:sz w:val="32"/>
          <w:szCs w:val="32"/>
        </w:rPr>
      </w:pPr>
      <w:r>
        <w:rPr>
          <w:rFonts w:hint="eastAsia" w:ascii="仿宋" w:hAnsi="仿宋" w:eastAsia="仿宋" w:cs="宋体"/>
          <w:kern w:val="0"/>
          <w:sz w:val="32"/>
          <w:szCs w:val="32"/>
        </w:rPr>
        <w:t>附件</w:t>
      </w:r>
      <w:r>
        <w:rPr>
          <w:rFonts w:eastAsia="仿宋"/>
          <w:kern w:val="0"/>
          <w:sz w:val="32"/>
          <w:szCs w:val="32"/>
        </w:rPr>
        <w:t>2</w:t>
      </w:r>
      <w:r>
        <w:rPr>
          <w:rFonts w:hint="eastAsia" w:ascii="仿宋" w:hAnsi="仿宋" w:eastAsia="仿宋" w:cs="宋体"/>
          <w:kern w:val="0"/>
          <w:sz w:val="32"/>
          <w:szCs w:val="32"/>
        </w:rPr>
        <w:t>：</w:t>
      </w:r>
    </w:p>
    <w:p>
      <w:pPr>
        <w:spacing w:line="540" w:lineRule="exact"/>
        <w:jc w:val="center"/>
        <w:rPr>
          <w:rFonts w:hint="eastAsia" w:ascii="华文中宋" w:hAnsi="华文中宋" w:eastAsia="华文中宋" w:cs="宋体"/>
          <w:b/>
          <w:kern w:val="0"/>
          <w:sz w:val="52"/>
          <w:szCs w:val="52"/>
        </w:rPr>
      </w:pPr>
    </w:p>
    <w:p>
      <w:pPr>
        <w:spacing w:line="540" w:lineRule="exact"/>
        <w:jc w:val="center"/>
        <w:rPr>
          <w:rFonts w:hint="eastAsia" w:ascii="华文中宋" w:hAnsi="华文中宋" w:eastAsia="华文中宋" w:cs="宋体"/>
          <w:b/>
          <w:kern w:val="0"/>
          <w:sz w:val="52"/>
          <w:szCs w:val="52"/>
        </w:rPr>
      </w:pPr>
    </w:p>
    <w:p>
      <w:pPr>
        <w:spacing w:line="540" w:lineRule="exact"/>
        <w:jc w:val="center"/>
        <w:rPr>
          <w:rFonts w:hint="eastAsia" w:ascii="华文中宋" w:hAnsi="华文中宋" w:eastAsia="华文中宋" w:cs="宋体"/>
          <w:b/>
          <w:kern w:val="0"/>
          <w:sz w:val="52"/>
          <w:szCs w:val="52"/>
        </w:rPr>
      </w:pPr>
    </w:p>
    <w:p>
      <w:pPr>
        <w:spacing w:line="540" w:lineRule="exact"/>
        <w:jc w:val="center"/>
        <w:rPr>
          <w:rFonts w:hint="eastAsia" w:ascii="华文中宋" w:hAnsi="华文中宋" w:eastAsia="华文中宋" w:cs="宋体"/>
          <w:b/>
          <w:kern w:val="0"/>
          <w:sz w:val="52"/>
          <w:szCs w:val="52"/>
        </w:rPr>
      </w:pPr>
    </w:p>
    <w:p>
      <w:pPr>
        <w:spacing w:line="540" w:lineRule="exact"/>
        <w:jc w:val="center"/>
        <w:rPr>
          <w:rFonts w:hint="eastAsia" w:ascii="华文中宋" w:hAnsi="华文中宋" w:eastAsia="华文中宋" w:cs="宋体"/>
          <w:b/>
          <w:kern w:val="0"/>
          <w:sz w:val="52"/>
          <w:szCs w:val="52"/>
        </w:rPr>
      </w:pPr>
    </w:p>
    <w:p>
      <w:pPr>
        <w:spacing w:line="540" w:lineRule="exact"/>
        <w:jc w:val="center"/>
        <w:rPr>
          <w:rFonts w:hint="eastAsia" w:ascii="华文中宋" w:hAnsi="华文中宋" w:eastAsia="华文中宋" w:cs="宋体"/>
          <w:b/>
          <w:kern w:val="0"/>
          <w:sz w:val="52"/>
          <w:szCs w:val="52"/>
        </w:rPr>
      </w:pPr>
    </w:p>
    <w:p>
      <w:pPr>
        <w:spacing w:line="560" w:lineRule="exact"/>
        <w:jc w:val="center"/>
        <w:rPr>
          <w:rFonts w:hint="eastAsia" w:ascii="方正小标宋_GBK" w:hAnsi="华文中宋" w:eastAsia="方正小标宋_GBK" w:cs="宋体"/>
          <w:b/>
          <w:kern w:val="0"/>
          <w:sz w:val="52"/>
          <w:szCs w:val="52"/>
        </w:rPr>
      </w:pPr>
      <w:r>
        <w:rPr>
          <w:rFonts w:hint="eastAsia" w:ascii="方正小标宋_GBK" w:hAnsi="华文中宋" w:eastAsia="方正小标宋_GBK" w:cs="宋体"/>
          <w:b/>
          <w:kern w:val="0"/>
          <w:sz w:val="52"/>
          <w:szCs w:val="52"/>
        </w:rPr>
        <w:t>项目支出绩效自评报告</w:t>
      </w:r>
    </w:p>
    <w:p>
      <w:pPr>
        <w:spacing w:line="540" w:lineRule="exact"/>
        <w:jc w:val="center"/>
        <w:rPr>
          <w:rFonts w:hint="eastAsia" w:ascii="华文中宋" w:hAnsi="华文中宋" w:eastAsia="华文中宋" w:cs="宋体"/>
          <w:b/>
          <w:kern w:val="0"/>
          <w:sz w:val="52"/>
          <w:szCs w:val="52"/>
        </w:rPr>
      </w:pPr>
    </w:p>
    <w:p>
      <w:pPr>
        <w:spacing w:line="540" w:lineRule="exact"/>
        <w:jc w:val="center"/>
        <w:rPr>
          <w:rFonts w:hint="eastAsia" w:hAnsi="宋体" w:eastAsia="仿宋_GB2312" w:cs="宋体"/>
          <w:kern w:val="0"/>
          <w:sz w:val="36"/>
          <w:szCs w:val="36"/>
        </w:rPr>
      </w:pPr>
      <w:r>
        <w:rPr>
          <w:rFonts w:hint="eastAsia" w:hAnsi="宋体" w:eastAsia="仿宋_GB2312" w:cs="宋体"/>
          <w:kern w:val="0"/>
          <w:sz w:val="36"/>
          <w:szCs w:val="36"/>
        </w:rPr>
        <w:t xml:space="preserve">（   </w:t>
      </w:r>
      <w:r>
        <w:rPr>
          <w:rStyle w:val="18"/>
          <w:rFonts w:eastAsia="楷体"/>
          <w:spacing w:val="-4"/>
          <w:sz w:val="32"/>
          <w:szCs w:val="32"/>
        </w:rPr>
        <w:t>2025</w:t>
      </w:r>
      <w:r>
        <w:rPr>
          <w:rFonts w:hint="eastAsia" w:hAnsi="宋体" w:eastAsia="仿宋_GB2312" w:cs="宋体"/>
          <w:kern w:val="0"/>
          <w:sz w:val="36"/>
          <w:szCs w:val="36"/>
        </w:rPr>
        <w:t xml:space="preserve">  年度）</w:t>
      </w:r>
    </w:p>
    <w:p>
      <w:pPr>
        <w:spacing w:line="540" w:lineRule="exact"/>
        <w:jc w:val="center"/>
        <w:rPr>
          <w:rFonts w:hint="eastAsia" w:hAnsi="宋体" w:eastAsia="仿宋_GB2312" w:cs="宋体"/>
          <w:kern w:val="0"/>
          <w:sz w:val="30"/>
          <w:szCs w:val="30"/>
        </w:rPr>
      </w:pPr>
    </w:p>
    <w:p>
      <w:pPr>
        <w:spacing w:line="540" w:lineRule="exact"/>
        <w:jc w:val="center"/>
        <w:rPr>
          <w:rFonts w:hint="eastAsia" w:hAnsi="宋体" w:eastAsia="仿宋_GB2312" w:cs="宋体"/>
          <w:kern w:val="0"/>
          <w:sz w:val="30"/>
          <w:szCs w:val="30"/>
        </w:rPr>
      </w:pPr>
    </w:p>
    <w:p>
      <w:pPr>
        <w:spacing w:line="700" w:lineRule="exact"/>
        <w:jc w:val="left"/>
        <w:rPr>
          <w:rStyle w:val="18"/>
          <w:rFonts w:ascii="楷体" w:hAnsi="楷体" w:eastAsia="楷体"/>
          <w:spacing w:val="-4"/>
          <w:sz w:val="32"/>
          <w:szCs w:val="32"/>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组织部工作经费</w:t>
      </w:r>
    </w:p>
    <w:p>
      <w:pPr>
        <w:spacing w:line="700" w:lineRule="exact"/>
        <w:jc w:val="left"/>
        <w:rPr>
          <w:rFonts w:hint="eastAsia" w:hAnsi="宋体" w:eastAsia="仿宋_GB2312" w:cs="宋体"/>
          <w:kern w:val="0"/>
          <w:sz w:val="36"/>
          <w:szCs w:val="36"/>
        </w:rPr>
      </w:pPr>
      <w:r>
        <w:rPr>
          <w:rFonts w:hint="eastAsia" w:hAnsi="宋体" w:eastAsia="仿宋_GB2312" w:cs="宋体"/>
          <w:kern w:val="0"/>
          <w:sz w:val="36"/>
          <w:szCs w:val="36"/>
        </w:rPr>
        <w:t>实施单位（公章）：</w:t>
      </w:r>
      <w:r>
        <w:rPr>
          <w:rStyle w:val="18"/>
          <w:rFonts w:hint="eastAsia" w:ascii="楷体" w:hAnsi="楷体" w:eastAsia="楷体"/>
          <w:spacing w:val="-4"/>
          <w:sz w:val="28"/>
          <w:szCs w:val="28"/>
        </w:rPr>
        <w:t>中共乌鲁木齐市委员会组织部</w:t>
      </w:r>
    </w:p>
    <w:p>
      <w:pPr>
        <w:spacing w:line="540" w:lineRule="exact"/>
        <w:rPr>
          <w:rFonts w:hint="eastAsia"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中共乌鲁木齐市委员会组织部</w:t>
      </w:r>
    </w:p>
    <w:p>
      <w:pPr>
        <w:spacing w:line="540" w:lineRule="exact"/>
        <w:rPr>
          <w:rFonts w:hint="eastAsia"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高宇</w:t>
      </w:r>
    </w:p>
    <w:p>
      <w:pPr>
        <w:spacing w:line="540" w:lineRule="exact"/>
        <w:rPr>
          <w:rStyle w:val="18"/>
          <w:rFonts w:hint="eastAsia" w:ascii="楷体" w:hAnsi="楷体" w:eastAsia="楷体"/>
          <w:spacing w:val="-4"/>
          <w:sz w:val="32"/>
          <w:szCs w:val="32"/>
        </w:rPr>
      </w:pPr>
      <w:r>
        <w:rPr>
          <w:rFonts w:hint="eastAsia" w:hAnsi="宋体" w:eastAsia="仿宋_GB2312" w:cs="宋体"/>
          <w:kern w:val="0"/>
          <w:sz w:val="36"/>
          <w:szCs w:val="36"/>
        </w:rPr>
        <w:t>填报时间：</w:t>
      </w:r>
      <w:r>
        <w:rPr>
          <w:rStyle w:val="18"/>
          <w:rFonts w:eastAsia="楷体"/>
          <w:spacing w:val="-4"/>
          <w:sz w:val="32"/>
          <w:szCs w:val="32"/>
        </w:rPr>
        <w:t>2026年04月22日</w:t>
      </w:r>
    </w:p>
    <w:p>
      <w:pPr>
        <w:spacing w:line="700" w:lineRule="exact"/>
        <w:ind w:firstLine="708" w:firstLineChars="236"/>
        <w:jc w:val="left"/>
        <w:rPr>
          <w:rFonts w:hint="eastAsia" w:hAnsi="宋体" w:eastAsia="仿宋_GB2312" w:cs="宋体"/>
          <w:kern w:val="0"/>
          <w:sz w:val="30"/>
          <w:szCs w:val="30"/>
        </w:rPr>
      </w:pPr>
    </w:p>
    <w:p>
      <w:pPr>
        <w:spacing w:line="540" w:lineRule="exact"/>
        <w:rPr>
          <w:rStyle w:val="18"/>
          <w:rFonts w:hint="eastAsia" w:ascii="黑体" w:hAnsi="黑体" w:eastAsia="黑体"/>
          <w:b w:val="0"/>
          <w:spacing w:val="-4"/>
          <w:sz w:val="32"/>
          <w:szCs w:val="32"/>
        </w:rPr>
      </w:pPr>
    </w:p>
    <w:p>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一、基本情况</w:t>
      </w:r>
    </w:p>
    <w:p>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（一）项目概况</w:t>
      </w:r>
    </w:p>
    <w:p>
      <w:pPr>
        <w:spacing w:line="540" w:lineRule="exact"/>
        <w:ind w:firstLine="624" w:firstLineChars="200"/>
        <w:rPr>
          <w:rStyle w:val="18"/>
          <w:rFonts w:eastAsia="楷体"/>
          <w:b w:val="0"/>
          <w:bCs w:val="0"/>
          <w:spacing w:val="-4"/>
          <w:sz w:val="32"/>
          <w:szCs w:val="32"/>
        </w:rPr>
      </w:pPr>
      <w:r>
        <w:rPr>
          <w:rStyle w:val="18"/>
          <w:rFonts w:eastAsia="楷体"/>
          <w:b w:val="0"/>
          <w:bCs w:val="0"/>
          <w:spacing w:val="-4"/>
          <w:sz w:val="32"/>
          <w:szCs w:val="32"/>
        </w:rPr>
        <w:t>1. 项目背景</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随着国家对基层党组织建设的重视程度不断提升，中央和地方政府相继出台了一系列加强和改进组织工作的政策措施，强调组织部门在推动党的建设和人才发展中的核心作用。市委组织部作为市委主管组织工作和干部工作的职能部门，承担着干部教育培训、公务员管理、人才工作、基层党建、干部档案管理等重要职责。</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当前，组织部门在日常工作中面临着办公设施、信息化建设、培训资源等方面的实际需求，为深入贯彻落实新时代党的建设总要求和新时代党的组织路线，保障市委组织部各项工作正常有序开展，根据《干部教育培训工作条例》《公务员奖励规定》《干部人事档案工作条例》等文件要求，结合部门年度工作计划设立本项目。通过设立组织部工作经费项目，为各项组织工作的顺利开展提供必要的经费保障，确保干部教育培训、公务用车保障、人事档案管理等重点工作落实到位，持续提升组织工作质量和效能。</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2.主要内容</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本项目主要用于保障2025年度市委组织部各项工作的正常开展，资金支出范围主要包括以下五个方面：</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一是干部教育培训费用，主要用于组织开展干部外出考察、培训、学习等活动支出，包括师资费、住宿费、伙食费、场地费、资料费、交通费等；</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二是公务用车租赁经费，主要用于从市本级公务用车定点租赁公司租赁6辆新能源轿车、1辆商务车，保障日常公务出行及重要会议、活动用车需求；</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三是两会专项工作费用，主要用于印制全年两会会议参会代表各类干部名册及选票，购置会议所需用品，以及迎接各类考核工作中所需印制的考核手册、会议用表及办公用品、办公耗材等支出；</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四是人事档案管理经费，主要用于全市县级及以上干部人事档案日常管理维护所需的档案盒、封条、工具等日常耗材购置，以及聘请专业公司协助开展档案数字化、电子文件归档、电子档案管理等支出；</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五是制作奖励证书和奖章经费，主要用于全市公务员奖励证书、三等功奖章的制作支出。</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3.实施情况</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实施主体：中共乌鲁木齐市委员会组织部。</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实施时间：本项目实施时间为2025年1月—2025年12月。</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实施情况：本项目属于单位运转类项目，是保障市委组织部有效履行各项核心职能的重要支撑。项目实施严格按照年度工作计划和财政预算管理要求，坚持“保障运转、服务履职、提升效能”的原则。前期准备阶段，根据《组织部工作经费项目实施方案》确定的内容和测算依据，结合各科室年度工作任务和实际需求，科学测算各项经费预算，经部务会审议通过后报财政部门批复。</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在实施过程中，各块工作协同推进：干部教育培训紧扣干部队伍建设需求，结合各科室人员岗位职责及历年培训安排，统筹制定外出考察培训计划，有效提升了干部队伍的政治素养和履职能力；公务用车保障严格执行租赁管理制度，建立车辆使用台账和调度机制，有力保障了各项工作的高效调度与及时响应；两会保障工作充分利用现有资源和统筹协调，圆满完成了会议期间各项组织服务任务，确保了全市重要政治任务的顺利推进；人事档案管理依托现有人员和设备开展，实现了全市县级及以上干部人事档案的规范、安全管理；表彰奖励工作根据实际培训开展情况，合理制作奖励证书和奖章，有效激励了全市公务员队伍担当作为。</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4.项目实施主体</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项目单位情况：本项目实施单位为中共乌鲁木齐市委员会组织部，是市委主管组织工作和干部工作的职能部门。其主要职责包括但不限于：负责党的组织制度建设、基层组织和党员队伍建设；负责领导班子和领导干部队伍建设；负责干部教育培训、管理监督工作；负责党的建设和组织工作研究等。该项目具体由办公室牵头，相关业务科室按职责分工负责组织实施。</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项目管理架构：为确保项目顺利实施，市委组织部成立项目实施小组，其中：项目办公室2人，负责项目实施工作，财务室1人，负责票据审核报账工作。该项目的实施管理人员结构完整、功能齐全。项目实施过程中，严格执行部机关经费支出审批流程，确保资金使用规范、安全、高效。</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5.资金投入和使用情况</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（1）项目资金安排落实、总投入等情况分析</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本项目预算安排总额为95.00万元，资金来源为本级部门预算，其中：财政资金95.00万元，其他资金0.00万元，2025年实际收到预算资金95.00万元，预算资金到位率为100%。</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（2）项目资金实际使用情况分析</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本项目实际支付资金56.52万元，预算执行率59.49%，结余资金额度38.48万元。本项目资金主要用于支付办公费5.49万元、差旅费8.45万元、其他交通费用42.58万元。</w:t>
      </w:r>
    </w:p>
    <w:p>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（二）项目绩效目标</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1.项目绩效总目标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通过组织部工作经费的规范使用和有效管理，切实保障市委组织部机关日常运转和各项组织工作的正常开展，重点支持干部教育培训、公务用车保障、两会专项工作、人事档案管理及奖励证书制作等核心业务。持续提升干部教育培训质量，优化外出考察培训安排；保障公务用车租赁规范高效，满足日常公务出行及重要会议用车需求；规范人事档案日常管理和数字化建设；做好表彰奖励证书和奖章的制作发放工作。通过项目实施，有效提升组织部队伍素质，可持续推动组织部工作发展，为全市党的建设和组织工作高质量发展提供坚实的经费保障和运行支撑。</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2.年度目标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根据《中华人民共和国预算法》《财政支出绩效评价管理暂行办法》（财预〔2020〕10号）、《中共中央 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（1）项目产出指标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①数量指标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“干部教育外出考察、培训、学习次数”指标，预期指标值为“&gt;=5次”；</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“租赁公务用车辆数”指标，预期指标值为“&gt;=7辆”；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“开展全年保障英吉沙县两会会议次数”指标，预期指标值为“&gt;=2次”；</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“管理全市工作人员人事档案量”指标，预期指标值为“&gt;=4800本”；</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“制作奖励证书和奖章量”指标，预期指标值为“&gt;=3300个”；</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②质量指标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“资金支付合规率”指标，预期指标值为“=100%”；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③时效指标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“资金支付及时率”指标，预期指标值为“&gt;=95%”；</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（2）项目成本指标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①经济成本指标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“干部教育培训费用”指标，预期指标值为“&lt;=20万元”；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“公务用车租赁经费”指标，预期指标值为“&lt;=45万元”；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“两会专项工作费用”指标，预期指标值为“&lt;=18万元”；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“人事档案管理经费”指标，预期指标值为“&lt;=3万元”；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“制作奖励证书和奖章经费”指标，预期指标值为“&lt;=9万元”；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②社会成本指标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③生态环境成本指标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（3）项目效益指标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①经济效益指标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②社会效益指标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“保障单位工作正常开展”指标，预期指标值为“有效保障”；</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③生态效益指标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（4）项目满意度指标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p>
    <w:p>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（一）绩效评价目的、对象和范围</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 绩效评价的目的</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为全面实施预算绩效管理，建立科学、合理的项目支出绩效评价管理体系，提高财政资源配置效率和使用效益，根据财政部印发《项目支出绩效评价管理办法》（财预〔2020〕10号）、《关于印发〈中央部门项目支出核心绩效目标和指标设置及取值指引（试行）〉的通知》（财预〔2021〕101号）、《关于印发〈自治区项目支出绩效目标设置指引〉的通知》（新财预〔2022〕42号）、《自治区财政支出绩效评价管理暂行办法》（新财预〔2018〕189号）文件精神，开展本次部门项目支出绩效评价工作。通过绩效评价，促进本单位总结经验、发现问题、改进工作，旨在评价本项目前期审批、实施过程及实施效果，促进预算管理不断完善，加快绩效目标的实现，保证财政资金有效、合理使用，具体绩效评价的目的细分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一是通过部门项目支出绩效评价，进一步严格落实《中华人民共和国预算法》以及党中央、国务院关于加强预算绩效管理的指示精神，建立健全“花钱必问效、无效必问责”的绩效预算管理机制、提升财政资金的使用效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是通过部门项目支出绩效评价，进一步完善绩效目标，根据项目绩效目标设立情况，细化形成多维度绩效指标，将绩效指标细化为数量指标、质量指标、时效指标、成本指标、经济效益指标、社会效益指标、可持续影响指标、服务对象满意度指标等内容，保证项目绩效指标设置科学、规范、合理、可衡量。</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是通过部门项目支出绩效评价，进一步纠正对绩效管理理解上的偏差，建立更加全面科学的绩效指标体系，督促在预算编制中，将资金申请、绩效目标和具体指标统筹考虑，形成“花钱问效”的责任契约机制，进一步强化预算绩效管理的严肃性和约束力，推动绩效管理向全方位的绩效预算转变，逐步建立“以绩效目标为导向，以绩效评价为手段，以评价结果应用为保障，全方位、全覆盖、全过程”的绩效预算管理新体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四是通过部门项目支出绩效评价，从绩效的角度发现本项目在决策、实施和管理过程中存在的问题，寻求解决方案，为进一步深化项目管理工作提供依据，促进项目进一步的推进和后期项目维护和评价工作提供更深一步的理论和实际支持。</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 绩效评价对象</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此次我单位根据《财政支出绩效评价管理暂行办法》（财预〔2020〕10号）文件要求实施评价工作，本次评价对象为组织部工作经费，评价核心为项目资金、项目产出、项目效益。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3.绩效评价范围</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本次评价范围涵盖项目总体绩效目标、各项绩效指标完成情况以及预算执行情况。覆盖项目预算资金支出的所有内容进行评价。包括项目决策、项目实施和项目成果验收流程等。</w:t>
      </w:r>
    </w:p>
    <w:p>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 绩效评价原则</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依据《中华人民共和国预算法》《中共中央 国务院关于全面实施预算绩效管理的意见》（中发〔2018〕34号）、《项目支出绩效评价管理办法》（财预〔2020〕10号）、《自治区党委自治区人民政府关于全面实施预算绩效管理的实施意见》（新党发〔2018〕30号）、《自治区财政支出绩效评价管理暂行办法》（新财预〔2018〕189号）等要求，绩效评价应遵循如下原则：</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（1）科学公正。绩效评价应当运用科学合理的方法，按照规范的程序，对项目绩效进行客观、公正的反映。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（4）公开透明。绩效评价结果应依法依规公开，并自觉接受社会监督。</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根据以上原则，绩效评价应遵循如下要求:</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（1）在数据采集时，采取客观数据，主管部门审查、社会中介组织复查，与问卷调查相结合的形式，以保证各项指标的真实性。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（2）保证评价结果的真实性、公正性，提高评价报告的公信力。</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绩效评价报告应当简明扼要，除了对绩效评价的过程、结果描述外，还应总结经验，指出问题，并就共性问题提出可操作性改进建议。评价工作组本着科学规范、公平公正、绩效相关的原则，采用全面、重点、现场和非现场相结合的方式进行评价。</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 绩效评价指标体系</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我单位通过实施资料研读及前期调研，结合项目的实际开展情况，按照《项目支出绩效评价管理办法》（财预〔2020〕10号）文件要求，结合项目特点，经与专家组充分协商，设置指标体系结构如下：设置一级指标共4个，包括：决策指标（21.00%）、过程指标（19.00%）、产出指标（41.00%）、效益指标（19.00%）四类指标。主要围绕资金使用、项目管理、资源配置等方面，客观分析项目的产出和效果，从而考察项目预算定额标准的合理性，进而提出完善意见。整个评价框架构成体现从投入、过程到产出、效果和影响的绩效逻辑路径。详细指标体系见“附件1:组织部工作经费支出绩效评价指标体系”。</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实际评价过程中根据实际完成情况，对照标准进行量化评分。最终根据总分（满分100分）确定绩效等级：90（含）-100分为“优”、80（含）-90分为“良”、70（含）-80分为“中”、70分以下为“差”。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 评价方法</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评价方法主要包括成本效益分析法、比较法、因素分析法、最低成本法、公众评判法、标杆管理法等。我单位根据本项目资金的性质和特点，选用比较法、因素分析法、成本效益分析法、实地勘察法以及文献法对项目进行评价，旨在通过综合分析影响绩效目标实现、实施效果的内外部因素，从而评价本项目绩效。</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三级指标分析环节：总体采用比较法，同时辅以文献法、成本效益法以及因素分析法，根据不同三级指标类型进行逐项分析。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定量指标分析环节：主要采用对比三级指标预期指标值和三级指标截至评价日的完成情况，综合分析绩效目标实现程度。将实际完成值与年初指标值相比，完成指标值该指标赋全部分值；对完成值高于指标值较多的，要分析原因，如果是由于年初指标值设定明显偏低造成的，要按照偏离度适度调减分值；未完成指标值的，按照完成值与指标值的比例计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定性指标分析环节：主要采用文献法，通过查阅项目实施方案、年度工作总结、相关数据文件等资料，综合评价本项目实施后所产生的社会效益。将结果按照《项目支出绩效评价管理办法》（财预〔2020〕10号）文件要求分为达成年度指标、部分达成年度指标并具有一定效果、未达成年度指标且效果较差三档，分别按照该指标对应分值区间100.00%-80.00%（含）、80.00%-60.00%（含）、60.00%-0.00%合理确定分值，详细评价方法的应用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立项依据充分性：比较法、文献法，查找法律法规政策以及规划，对比实际执行内容和政策支持内容是否匹配。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立项程序规范性：比较法、文献法，查找相关项目设立的政策和文件要求，对比分析实际执行程序是否按照政策及文件要求执行，分析立项程序的规范性。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绩效目标合理性：比较法，对比分析年初编制项目支出绩效目标表与项目内容的相关性、资金的匹配性等。</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绩效指标明确性：比较法，比较分析年初编制项目支出绩效目标表是否符合双七原则，是否可衡量。</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预算编制科学性：成本效益分析法</w:t>
      </w:r>
      <w:r>
        <w:rPr>
          <w:rStyle w:val="18"/>
          <w:rFonts w:hint="eastAsia" w:eastAsia="楷体"/>
          <w:b w:val="0"/>
          <w:bCs w:val="0"/>
          <w:spacing w:val="-4"/>
          <w:sz w:val="32"/>
          <w:szCs w:val="32"/>
        </w:rPr>
        <w:tab/>
      </w:r>
      <w:r>
        <w:rPr>
          <w:rStyle w:val="18"/>
          <w:rFonts w:hint="eastAsia" w:eastAsia="楷体"/>
          <w:b w:val="0"/>
          <w:bCs w:val="0"/>
          <w:spacing w:val="-4"/>
          <w:sz w:val="32"/>
          <w:szCs w:val="32"/>
        </w:rPr>
        <w:t>分析在产出一定的情况下，成本取值是否有依据，是否经过询价，是否按照市场最低成本编制。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资金分配合理性：因素分析法，综合分析资金的分配依据是否充分，分配金额是否与项目实施单位需求金额一致，</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资金到位率：比较法，资金到位率预期指标值应为100.00%，通过实际计算，分析实际完成值和预期指标值之间的差距和原因。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预算执行率：比较法，预算执行率预期指标值应为100.00%，通过实际计算，分析实际完成值和预期指标值之间的差距和原因。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资金使用合规性：文献法、实地勘察法，一是查找资金管理办法，包括专项资金管理办法和单位自有资金管理办法；二是通过查账了解具体开支情况，是否专款专用，是否按照标准支出。</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管理制度健全性：文献法、比较法，查阅项目实施人员提供的财务和业务管理制度，将已建立的制度与现行的法律法规和政策要求进行对比，分析项目制度的合法性、合规性、完整性。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制度执行有效性：比较法，结合项目实际实施过程性文件，根据已建设的财务管理制度和项目管理制度综合分析制度执行的有效性。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定量指标：干部教育外出考察、培训、学习次数、租赁公务用车辆数、开展全年保障英吉沙县两会会议次数、管理全市工作人员人事档案量、制作奖励证书和奖章量、资金支付合规率、资金支付及时率、干部教育培训费用、公务用车租赁经费、两会专项工作费用、人事档案管理经费、制作奖励证书和奖章经费，使用比较法，将实际完成值与年初指标值相比，完成指标值该指标赋全部分值；对完成值高于指标值较多的，要分析原因，如果是由于年初指标值设定明显偏低造成的，要按照偏离度适度调减分值；未完成指标值的，按照完成值与指标值的比例计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定性指标：保障单位工作正常开展，使用文献法，通过查阅项目实施方案、年度工作总结、相关数据文件等资料，综合评价本项目实施后所产生的社会效益。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 评价标准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定量指标：通过公式等方式予以量化，可以准确衡量，并设定目标值的考核指标；定性指标：通过问卷调查及访谈方式，采集相关数据，运用等级描述法，设置分级标准，体现该指标认可程度的差异。</w:t>
      </w:r>
    </w:p>
    <w:p>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（三）绩效评价工作过程</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 前期准备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我单位于2026年4月1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宋昊坤（评价小组组长）：主要负责绩效评价工作的全面统筹与组织协调，审定评价方案及指标体系，审核评价报告，对评价结论负总责；</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黄宝阳（评价小组组员）：主要负责收集、整理项目相关资料，开展现场调研与数据采集，数据分析与核验，组织实施指标打分，撰写评价报告等。</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2.组织实施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2026年4月6日-4月9日，评价工作进入实施阶段。在数据采集方面，评价小组整理单位前期提交的资料，与项目实施负责人沟通，了解资金的内容、操作流程、管理机制、资金使用方向等情况并采集信息，了解项目设置背景及资金使用等情况。</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3.分析评价</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2026年4月10日-4月17日，评价小组按照绩效评价的原则和规范，对取得的资料进行审查核实，对采集的数据进行分析，按照绩效评价指标评分表逐项进行打分、分析、汇总各方评价结果。</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4.撰写与提交评价报告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2026年4月18日-4月24日，评价小组撰写绩效评价报告，按照新疆维吾尔自治区财政绩效管理信息系统绩效评价模块中统一格式和文本框架撰写绩效评价报告并提交审核。</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5.问题整改</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审核通过后，由评价人员将报告推送至项目实施人员，由项目实施人员根据报告评价结论、存在的问题以及改进建议落实问题整改，并形成整改报告，由评价人员负责监督和核查整改落实情况，确保绩效评价落到实处。</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6.档案整理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建立和落实档案管理制度，将项目相关资料存档，包括但不限于：评价项目基本情况和相关文件、评价实施方案、项目支付资料等相关档案。</w:t>
      </w:r>
    </w:p>
    <w:p>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（一）综合评价情况</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经评价，本项目较大程度达成年初设立的绩效目标，在实施过程中取得了良好的成效，具体表现在以下三方面：</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一是全面保障了组织部门核心职能的有效履行。？通过本项目的实施，干部教育培训、公务出行保障、人事档案管理、表彰激励等各项基础性工作得到稳定支撑，有效避免了因经费不足或保障缺位导致的工作停滞或降效，确保了市委组织部在干部队伍建设、人才工作、基层党建等方面的职能持续、正常、高效运转。</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是显著提升了机关运行效率和工作响应能力。？项目实施优化了公务出行保障机制，提升了重要会议、考核、调研等工作的调度效率；规范了人事档案日常管理流程，减少了业务办理中的协调成本；完善了表彰奖励发放渠道，增强了激励工作的及时性和覆盖面。整体上，单位内部运行更加顺畅，对外工作响应更加高效。</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是有效促进了组织工作的规范化、精细化水平提升。？通过项目运行过程中的制度执行和流程管控，进一步检验和强化了单位内控机制，推动了经费使用、资产调配、业务协同等方面的精细化管理。组织工作的制度化水平持续提升，为全市党的建设和组织工作高质量发展奠定了更加坚实的运行基础。</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（二）评价结论</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依据《中共中央国务院关于全面实施预算绩效管理的意见》《项目支出绩效评价管理办法》（财预〔2020〕10号）等文件，绩效评价总分设置为100分，划分为四档：90（含）-100分为“优”、80（含）-90分为“良”、70（含）-80分为“中”、70分以下为“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级绩效评价遵循科学规范、公开公正、绩效相关和问题导向的原则、重点评价项目的资金投入与财务管理、组织管理、产出与效益效果。在此基础上，以相关的项目数据为基础，综合运用不同的评价方法，结合评价标准和评分规则。经评价分析，项目总体实施情况较好，项目综合得分为89.14分，评价结果为良好。实际已完成2025年度组织部各项工作保障任务，全年完成干部教育外出考察、培训、学习21次，租赁公务用车7辆，开展全年保障英吉沙县两会会议2次，管理全市工作人员人事档案4800本，制作奖励证书和奖章3200个，资金支付合规率和支付及时率均达到100%，干部教育培训费用实际支出12.68万元，公务用车租赁经费实际支出38.35万元，制作奖励证书和奖章经费实际支出5.49万元，两会专项工作费用和人事档案管理经费通过内部资源整合实际支出为0。通过项目实施，有效保障了组织部机关日常运转和各项组织工作的正常开展。具体得分情况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表3-1 部门单位项目支出绩效评价得分表</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指标</w:t>
      </w:r>
      <w:r>
        <w:rPr>
          <w:rStyle w:val="18"/>
          <w:rFonts w:hint="eastAsia" w:eastAsia="楷体"/>
          <w:b w:val="0"/>
          <w:bCs w:val="0"/>
          <w:spacing w:val="-4"/>
          <w:sz w:val="32"/>
          <w:szCs w:val="32"/>
        </w:rPr>
        <w:tab/>
      </w:r>
      <w:r>
        <w:rPr>
          <w:rStyle w:val="18"/>
          <w:rFonts w:hint="eastAsia" w:eastAsia="楷体"/>
          <w:b w:val="0"/>
          <w:bCs w:val="0"/>
          <w:spacing w:val="-4"/>
          <w:sz w:val="32"/>
          <w:szCs w:val="32"/>
        </w:rPr>
        <w:t>项目决策类</w:t>
      </w:r>
      <w:r>
        <w:rPr>
          <w:rStyle w:val="18"/>
          <w:rFonts w:hint="eastAsia" w:eastAsia="楷体"/>
          <w:b w:val="0"/>
          <w:bCs w:val="0"/>
          <w:spacing w:val="-4"/>
          <w:sz w:val="32"/>
          <w:szCs w:val="32"/>
        </w:rPr>
        <w:tab/>
      </w:r>
      <w:r>
        <w:rPr>
          <w:rStyle w:val="18"/>
          <w:rFonts w:hint="eastAsia" w:eastAsia="楷体"/>
          <w:b w:val="0"/>
          <w:bCs w:val="0"/>
          <w:spacing w:val="-4"/>
          <w:sz w:val="32"/>
          <w:szCs w:val="32"/>
        </w:rPr>
        <w:t>过程管理类</w:t>
      </w:r>
      <w:r>
        <w:rPr>
          <w:rStyle w:val="18"/>
          <w:rFonts w:hint="eastAsia" w:eastAsia="楷体"/>
          <w:b w:val="0"/>
          <w:bCs w:val="0"/>
          <w:spacing w:val="-4"/>
          <w:sz w:val="32"/>
          <w:szCs w:val="32"/>
        </w:rPr>
        <w:tab/>
      </w:r>
      <w:r>
        <w:rPr>
          <w:rStyle w:val="18"/>
          <w:rFonts w:hint="eastAsia" w:eastAsia="楷体"/>
          <w:b w:val="0"/>
          <w:bCs w:val="0"/>
          <w:spacing w:val="-4"/>
          <w:sz w:val="32"/>
          <w:szCs w:val="32"/>
        </w:rPr>
        <w:t>项目产出类</w:t>
      </w:r>
      <w:r>
        <w:rPr>
          <w:rStyle w:val="18"/>
          <w:rFonts w:hint="eastAsia" w:eastAsia="楷体"/>
          <w:b w:val="0"/>
          <w:bCs w:val="0"/>
          <w:spacing w:val="-4"/>
          <w:sz w:val="32"/>
          <w:szCs w:val="32"/>
        </w:rPr>
        <w:tab/>
      </w:r>
      <w:r>
        <w:rPr>
          <w:rStyle w:val="18"/>
          <w:rFonts w:hint="eastAsia" w:eastAsia="楷体"/>
          <w:b w:val="0"/>
          <w:bCs w:val="0"/>
          <w:spacing w:val="-4"/>
          <w:sz w:val="32"/>
          <w:szCs w:val="32"/>
        </w:rPr>
        <w:t>项目效益类</w:t>
      </w:r>
      <w:r>
        <w:rPr>
          <w:rStyle w:val="18"/>
          <w:rFonts w:hint="eastAsia" w:eastAsia="楷体"/>
          <w:b w:val="0"/>
          <w:bCs w:val="0"/>
          <w:spacing w:val="-4"/>
          <w:sz w:val="32"/>
          <w:szCs w:val="32"/>
        </w:rPr>
        <w:tab/>
      </w:r>
      <w:r>
        <w:rPr>
          <w:rStyle w:val="18"/>
          <w:rFonts w:hint="eastAsia" w:eastAsia="楷体"/>
          <w:b w:val="0"/>
          <w:bCs w:val="0"/>
          <w:spacing w:val="-4"/>
          <w:sz w:val="32"/>
          <w:szCs w:val="32"/>
        </w:rPr>
        <w:t>合计</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权重</w:t>
      </w:r>
      <w:r>
        <w:rPr>
          <w:rStyle w:val="18"/>
          <w:rFonts w:hint="eastAsia" w:eastAsia="楷体"/>
          <w:b w:val="0"/>
          <w:bCs w:val="0"/>
          <w:spacing w:val="-4"/>
          <w:sz w:val="32"/>
          <w:szCs w:val="32"/>
        </w:rPr>
        <w:tab/>
      </w:r>
      <w:r>
        <w:rPr>
          <w:rStyle w:val="18"/>
          <w:rFonts w:hint="eastAsia" w:eastAsia="楷体"/>
          <w:b w:val="0"/>
          <w:bCs w:val="0"/>
          <w:spacing w:val="-4"/>
          <w:sz w:val="32"/>
          <w:szCs w:val="32"/>
        </w:rPr>
        <w:t>21.00</w:t>
      </w:r>
      <w:r>
        <w:rPr>
          <w:rStyle w:val="18"/>
          <w:rFonts w:hint="eastAsia" w:eastAsia="楷体"/>
          <w:b w:val="0"/>
          <w:bCs w:val="0"/>
          <w:spacing w:val="-4"/>
          <w:sz w:val="32"/>
          <w:szCs w:val="32"/>
        </w:rPr>
        <w:tab/>
      </w:r>
      <w:r>
        <w:rPr>
          <w:rStyle w:val="18"/>
          <w:rFonts w:hint="eastAsia" w:eastAsia="楷体"/>
          <w:b w:val="0"/>
          <w:bCs w:val="0"/>
          <w:spacing w:val="-4"/>
          <w:sz w:val="32"/>
          <w:szCs w:val="32"/>
        </w:rPr>
        <w:t>19.00</w:t>
      </w:r>
      <w:r>
        <w:rPr>
          <w:rStyle w:val="18"/>
          <w:rFonts w:hint="eastAsia" w:eastAsia="楷体"/>
          <w:b w:val="0"/>
          <w:bCs w:val="0"/>
          <w:spacing w:val="-4"/>
          <w:sz w:val="32"/>
          <w:szCs w:val="32"/>
        </w:rPr>
        <w:tab/>
      </w:r>
      <w:r>
        <w:rPr>
          <w:rStyle w:val="18"/>
          <w:rFonts w:hint="eastAsia" w:eastAsia="楷体"/>
          <w:b w:val="0"/>
          <w:bCs w:val="0"/>
          <w:spacing w:val="-4"/>
          <w:sz w:val="32"/>
          <w:szCs w:val="32"/>
        </w:rPr>
        <w:t>41.00</w:t>
      </w:r>
      <w:r>
        <w:rPr>
          <w:rStyle w:val="18"/>
          <w:rFonts w:hint="eastAsia" w:eastAsia="楷体"/>
          <w:b w:val="0"/>
          <w:bCs w:val="0"/>
          <w:spacing w:val="-4"/>
          <w:sz w:val="32"/>
          <w:szCs w:val="32"/>
        </w:rPr>
        <w:tab/>
      </w:r>
      <w:r>
        <w:rPr>
          <w:rStyle w:val="18"/>
          <w:rFonts w:hint="eastAsia" w:eastAsia="楷体"/>
          <w:b w:val="0"/>
          <w:bCs w:val="0"/>
          <w:spacing w:val="-4"/>
          <w:sz w:val="32"/>
          <w:szCs w:val="32"/>
        </w:rPr>
        <w:t>19.00</w:t>
      </w:r>
      <w:r>
        <w:rPr>
          <w:rStyle w:val="18"/>
          <w:rFonts w:hint="eastAsia" w:eastAsia="楷体"/>
          <w:b w:val="0"/>
          <w:bCs w:val="0"/>
          <w:spacing w:val="-4"/>
          <w:sz w:val="32"/>
          <w:szCs w:val="32"/>
        </w:rPr>
        <w:tab/>
      </w:r>
      <w:r>
        <w:rPr>
          <w:rStyle w:val="18"/>
          <w:rFonts w:hint="eastAsia" w:eastAsia="楷体"/>
          <w:b w:val="0"/>
          <w:bCs w:val="0"/>
          <w:spacing w:val="-4"/>
          <w:sz w:val="32"/>
          <w:szCs w:val="32"/>
        </w:rPr>
        <w:t>100.00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得分</w:t>
      </w:r>
      <w:r>
        <w:rPr>
          <w:rStyle w:val="18"/>
          <w:rFonts w:hint="eastAsia" w:eastAsia="楷体"/>
          <w:b w:val="0"/>
          <w:bCs w:val="0"/>
          <w:spacing w:val="-4"/>
          <w:sz w:val="32"/>
          <w:szCs w:val="32"/>
        </w:rPr>
        <w:tab/>
      </w:r>
      <w:r>
        <w:rPr>
          <w:rStyle w:val="18"/>
          <w:rFonts w:hint="eastAsia" w:eastAsia="楷体"/>
          <w:b w:val="0"/>
          <w:bCs w:val="0"/>
          <w:spacing w:val="-4"/>
          <w:sz w:val="32"/>
          <w:szCs w:val="32"/>
        </w:rPr>
        <w:t>21.00</w:t>
      </w:r>
      <w:r>
        <w:rPr>
          <w:rStyle w:val="18"/>
          <w:rFonts w:hint="eastAsia" w:eastAsia="楷体"/>
          <w:b w:val="0"/>
          <w:bCs w:val="0"/>
          <w:spacing w:val="-4"/>
          <w:sz w:val="32"/>
          <w:szCs w:val="32"/>
        </w:rPr>
        <w:tab/>
      </w:r>
      <w:r>
        <w:rPr>
          <w:rStyle w:val="18"/>
          <w:rFonts w:hint="eastAsia" w:eastAsia="楷体"/>
          <w:b w:val="0"/>
          <w:bCs w:val="0"/>
          <w:spacing w:val="-4"/>
          <w:sz w:val="32"/>
          <w:szCs w:val="32"/>
        </w:rPr>
        <w:t>16.97</w:t>
      </w:r>
      <w:r>
        <w:rPr>
          <w:rStyle w:val="18"/>
          <w:rFonts w:hint="eastAsia" w:eastAsia="楷体"/>
          <w:b w:val="0"/>
          <w:bCs w:val="0"/>
          <w:spacing w:val="-4"/>
          <w:sz w:val="32"/>
          <w:szCs w:val="32"/>
        </w:rPr>
        <w:tab/>
      </w:r>
      <w:r>
        <w:rPr>
          <w:rStyle w:val="18"/>
          <w:rFonts w:hint="eastAsia" w:eastAsia="楷体"/>
          <w:b w:val="0"/>
          <w:bCs w:val="0"/>
          <w:spacing w:val="-4"/>
          <w:sz w:val="32"/>
          <w:szCs w:val="32"/>
        </w:rPr>
        <w:t>32.17</w:t>
      </w:r>
      <w:r>
        <w:rPr>
          <w:rStyle w:val="18"/>
          <w:rFonts w:hint="eastAsia" w:eastAsia="楷体"/>
          <w:b w:val="0"/>
          <w:bCs w:val="0"/>
          <w:spacing w:val="-4"/>
          <w:sz w:val="32"/>
          <w:szCs w:val="32"/>
        </w:rPr>
        <w:tab/>
      </w:r>
      <w:r>
        <w:rPr>
          <w:rStyle w:val="18"/>
          <w:rFonts w:hint="eastAsia" w:eastAsia="楷体"/>
          <w:b w:val="0"/>
          <w:bCs w:val="0"/>
          <w:spacing w:val="-4"/>
          <w:sz w:val="32"/>
          <w:szCs w:val="32"/>
        </w:rPr>
        <w:t>19.00</w:t>
      </w:r>
      <w:r>
        <w:rPr>
          <w:rStyle w:val="18"/>
          <w:rFonts w:hint="eastAsia" w:eastAsia="楷体"/>
          <w:b w:val="0"/>
          <w:bCs w:val="0"/>
          <w:spacing w:val="-4"/>
          <w:sz w:val="32"/>
          <w:szCs w:val="32"/>
        </w:rPr>
        <w:tab/>
      </w:r>
      <w:r>
        <w:rPr>
          <w:rStyle w:val="18"/>
          <w:rFonts w:hint="eastAsia" w:eastAsia="楷体"/>
          <w:b w:val="0"/>
          <w:bCs w:val="0"/>
          <w:spacing w:val="-4"/>
          <w:sz w:val="32"/>
          <w:szCs w:val="32"/>
        </w:rPr>
        <w:t>89.14</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得分率</w:t>
      </w:r>
      <w:r>
        <w:rPr>
          <w:rStyle w:val="18"/>
          <w:rFonts w:hint="eastAsia" w:eastAsia="楷体"/>
          <w:b w:val="0"/>
          <w:bCs w:val="0"/>
          <w:spacing w:val="-4"/>
          <w:sz w:val="32"/>
          <w:szCs w:val="32"/>
        </w:rPr>
        <w:tab/>
      </w:r>
      <w:r>
        <w:rPr>
          <w:rStyle w:val="18"/>
          <w:rFonts w:hint="eastAsia" w:eastAsia="楷体"/>
          <w:b w:val="0"/>
          <w:bCs w:val="0"/>
          <w:spacing w:val="-4"/>
          <w:sz w:val="32"/>
          <w:szCs w:val="32"/>
        </w:rPr>
        <w:t>100.0%</w:t>
      </w:r>
      <w:r>
        <w:rPr>
          <w:rStyle w:val="18"/>
          <w:rFonts w:hint="eastAsia" w:eastAsia="楷体"/>
          <w:b w:val="0"/>
          <w:bCs w:val="0"/>
          <w:spacing w:val="-4"/>
          <w:sz w:val="32"/>
          <w:szCs w:val="32"/>
        </w:rPr>
        <w:tab/>
      </w:r>
      <w:r>
        <w:rPr>
          <w:rStyle w:val="18"/>
          <w:rFonts w:hint="eastAsia" w:eastAsia="楷体"/>
          <w:b w:val="0"/>
          <w:bCs w:val="0"/>
          <w:spacing w:val="-4"/>
          <w:sz w:val="32"/>
          <w:szCs w:val="32"/>
        </w:rPr>
        <w:t>89.32%</w:t>
      </w:r>
      <w:r>
        <w:rPr>
          <w:rStyle w:val="18"/>
          <w:rFonts w:hint="eastAsia" w:eastAsia="楷体"/>
          <w:b w:val="0"/>
          <w:bCs w:val="0"/>
          <w:spacing w:val="-4"/>
          <w:sz w:val="32"/>
          <w:szCs w:val="32"/>
        </w:rPr>
        <w:tab/>
      </w:r>
      <w:r>
        <w:rPr>
          <w:rStyle w:val="18"/>
          <w:rFonts w:hint="eastAsia" w:eastAsia="楷体"/>
          <w:b w:val="0"/>
          <w:bCs w:val="0"/>
          <w:spacing w:val="-4"/>
          <w:sz w:val="32"/>
          <w:szCs w:val="32"/>
        </w:rPr>
        <w:t>78.47%</w:t>
      </w:r>
      <w:r>
        <w:rPr>
          <w:rStyle w:val="18"/>
          <w:rFonts w:hint="eastAsia" w:eastAsia="楷体"/>
          <w:b w:val="0"/>
          <w:bCs w:val="0"/>
          <w:spacing w:val="-4"/>
          <w:sz w:val="32"/>
          <w:szCs w:val="32"/>
        </w:rPr>
        <w:tab/>
      </w:r>
      <w:r>
        <w:rPr>
          <w:rStyle w:val="18"/>
          <w:rFonts w:hint="eastAsia" w:eastAsia="楷体"/>
          <w:b w:val="0"/>
          <w:bCs w:val="0"/>
          <w:spacing w:val="-4"/>
          <w:sz w:val="32"/>
          <w:szCs w:val="32"/>
        </w:rPr>
        <w:t>100.0%</w:t>
      </w:r>
      <w:r>
        <w:rPr>
          <w:rStyle w:val="18"/>
          <w:rFonts w:hint="eastAsia" w:eastAsia="楷体"/>
          <w:b w:val="0"/>
          <w:bCs w:val="0"/>
          <w:spacing w:val="-4"/>
          <w:sz w:val="32"/>
          <w:szCs w:val="32"/>
        </w:rPr>
        <w:tab/>
      </w:r>
      <w:r>
        <w:rPr>
          <w:rStyle w:val="18"/>
          <w:rFonts w:hint="eastAsia" w:eastAsia="楷体"/>
          <w:b w:val="0"/>
          <w:bCs w:val="0"/>
          <w:spacing w:val="-4"/>
          <w:sz w:val="32"/>
          <w:szCs w:val="32"/>
        </w:rPr>
        <w:t>89.14%</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（三）预算执行进度与绩效指标偏差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年初预算资金总额为95.00万元，全年预算数为95万元，全年执行数为56.52万元，预算执行率为59.49%，组织部工作经费支出绩效评价指标体系总体完成率为100.04%，项目预算执行率与组织部工作经费支出绩效评价指标体系总体完成率之间的偏差为40.55%。</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造成偏差的主要原因在于：预算编制阶段对现有资源配置的统筹评估不够充分，两会专项工作及人事档案管理等合计21万元实际通过优化资源配置实现零支出，反映出预算编制与执行之间的衔接机制尚不完善；同时，干部教育培训及奖励证书制作等经费节约幅度较大，深层原因在于预算编制未能充分预见到执行中通过优化安排、厉行节约可实现的管理增效；此外，部分支出年初预算下达后缺乏年中动态评估与调剂机制，已明确无需支出的资金未能及时收回，形成资金沉淀；</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下一步改进措施：建立预算编制前资源评估与需求论证机制，在充分评估现有资源承载能力的基础上科学申报预算，从源头减少预算虚高；构建预算执行与成本控制的联动机制，参考近三年实际支出水平合理设定预算额度；完善预算执行动态监控机制，建立支出进度定期对账制度，实现预算执行与工作任务推进的动态匹配。</w:t>
      </w:r>
    </w:p>
    <w:p>
      <w:pPr>
        <w:spacing w:line="540" w:lineRule="exact"/>
        <w:ind w:firstLine="624" w:firstLineChars="200"/>
        <w:rPr>
          <w:rStyle w:val="18"/>
          <w:rFonts w:hint="eastAsia"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pPr>
        <w:spacing w:line="540" w:lineRule="exact"/>
        <w:ind w:firstLine="627" w:firstLineChars="200"/>
        <w:rPr>
          <w:rFonts w:hint="eastAsia"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项目决策类指标由3个二级指标和6个三级指标构成，权重分21.00分，实际得分21.00分,得分率为100.00%。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1.项目立项情况分析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（1）立项依据充分性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立项符合《干部教育培训工作条例》第七章第五十条中“干部教育培训经费列入各级政府年度财政预算，保证干部教育培训工作需要”的规定，符合国家关于干部教育培训的相关政策要求；本项目立项符合《公务员奖励规定》第十一条、第十二条中“对获得奖励的公务员、公务员集体，由审批机关颁布奖励决定，颁发奖励证书，所需经费应当列入各部门预算”的规定，符合自治区党委组织部《关于规范公务员奖励证书、奖章、奖牌制作有关事宜的通知》相关要求；本项目立项符合《干部人事档案工作条例》第二章第九条中“各级党委（党组）领导本地区本部门本单位干部人事档案工作，研究解决经费和条件保障等问题”的规定，符合《中华人民共和国档案法》《机关档案管理规定》中关于档案信息化建设的要求；</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立项符合《中共乌鲁木齐市委组织部单位配置内设机构和人员编制规定》中职责范围中的“负责领导班子和领导干部队伍特别是优秀年轻干部队伍建设；负责实施干部队伍建设和干部教育培训、管理监督工作；负责党的建设和组织工作研究”，属于我单位履职所需；</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根据《财政资金直接支付申请书》，本项目资金性质为“公共财政预算”功能分类为“一般行政管理事务”经济分类为“商品和服务支出（办公费、差旅费、其他交通费用）”属于公共财政支持范围，符合中央、地方事权支出责任划分原则；</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经检查我单位财政应用平台指标，本项目不存在重复。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综上所述，本指标满分为5分，根据评分标准得5分，本项目立项依据充分。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（2）立项程序规范性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为非基础建设类项目，不涉及发改立项批复流程，项目立项严格按照单位“三重一大”集体决策机制执行，由业务科室根据年度工作计划和实际需求提出项目设立建议及预算申请，经财务科室审核后，提交部务会集体研究审议，审议通过后按规定程序报请财政部门纳入年度部门预算。经核查，项目立项过程中形成的会议记录、审批文件等资料齐全，符合《干部教育培训工作条例》《公务员奖励规定》及单位“三重一大”决策制度和预算管理相关规定，立项程序规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综上所述，本指标满分为3分，根据评分标准得3分，本项目立项程序规范。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2.绩效目标情况分析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（1）绩效目标合理性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已设置年度绩效目标，具体内容为“保障我单位各项工作正常开展，通过本项目的实施，可有效提升组织部队伍素质，可持续推动组织部工作发展”；本项目实际工作内容为：全年共完成干部教育外出考察、培训、学习21次，租赁公务用车7辆保障日常公务出行及重要会议用车需求，圆满完成全年两次英吉沙县两会会议的组织保障任务，规范管理全市约4800本干部人事档案，合理制作发放奖励证书及奖章。通过上述工作的有序开展，有效保障了市委组织部机关日常运转和各项组织工作的正常推进，干部队伍整体素质得到提升，组织工作规范化水平进一步提高；绩效目标与实际工作内容一致，两者具有相关性；本项目按照绩效目标完成了数量指标、质量指标、时效指标、成本指标，有效保障了组织部机关日常运转和各项组织工作的正常开展，年度绩效目标完成，预期产出效益和效果符合正常的业绩水平。</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综上所述，本指标满分为4分，根据评分标准得4分，本项目绩效目标设置合理。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（2）绩效指标明确性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检查我单位年初设置的《项目支出绩效目标表》，得出如下结论：本项目已将年度绩效目标进行细化为绩效指标体系，共设置一级指标3个，二级指标5个，三级指标13个，定量指标12个，定性指标1个，指标量化率为92.31%，量化率达70.00%以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综上所述，本指标满分为3分，根据评分标准得3分，本项目所设置绩效指标明确。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3.资金投入情况分析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（1）预算编制科学性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本项目预算编制依据《干部教育培训工作条例》《公务员奖励规定》《干部人事档案工作条例》等政策文件，结合各科室年度工作任务和实际需求进行测算。其中：</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干部教育培训费用依据《干部教育培训工作条例》关于“干部教育培训经费列入各级政府年度财政预算”的规定，参照《乌鲁木齐市本级党政机关培训费管理办法》明确的综合定额标准（住宿费、伙食费、场地费、资料费等合计不超过400元/人·天）及师资费标准（正高级技术职称专业人员每学时不超过1000元）进行测算，结合年度培训计划人数、天数及班次安排；</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公务用车租赁经费依据预计使用频次及市本级公务用车定点租赁政府采购协议价格，结合年度租赁车辆类型（6辆新能源轿车、1辆商务车）综合测算，相关协议价格通过公开招标确定的定点租赁公司中标价格确定；</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两会专项工作费用依据全年两次会议期间代表名册及选票印制、会议用品购置、考核手册印制等实际需求，参照市场价格进行测算；</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人事档案管理经费依据全市约4800本干部人事档案日常管理需求，参照档案盒、封条、工具等日常耗材的市场采购单价，结合档案数字化服务市场价格及年度数字化任务量综合测算；</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制作奖励证书和奖章经费依据全市市本级公务员约1.3万名、按20%评优比例测算奖励证书需求量约2600本，依据政府采购云平台同类产品成交价格及上年度实际采购单价，结合年度预计表彰人数综合确定预算。</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预算编制经过部务会集体论证，即预算编制较科学且经过论证；</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预算申请内容为2025年度组织部工作经费，包括干部教育培训费用、公务用车租赁经费、两会专项工作费用、人事档案管理经费、制作奖励证书和奖章经费。项目实际内容为组织开展干部教育外出考察培训、保障公务出行、保障英吉沙县两会会议、管理人事档案、制作奖励证书和奖章等工作，预算申请与《组织部工作经费项目实施方案》中涉及的项目内容匹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综上所述，本指标满分为4分，根据评分标准4分，本项目预算编制科学。</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（2）资金分配合理性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实际分配资金以我单位《组织部工作经费项目实施方案》为依据进行资金分配，预算资金分配依据充分。根据《关于批复2025年部门预算的通知》（乌财行〔2025〕1号）文件显示，本项目实际到位资金95.00万元，实际分配资金与我单位提交申请的资金额度一致，资金分配额度合理，与我单位实际需求相适应。</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综上所述，本指标满分为2分，根据评分标准得2分，本项目资金分配合理。</w:t>
      </w:r>
      <w:r>
        <w:rPr>
          <w:rStyle w:val="18"/>
          <w:rFonts w:hint="eastAsia" w:eastAsia="楷体"/>
          <w:b w:val="0"/>
          <w:bCs w:val="0"/>
          <w:spacing w:val="-4"/>
          <w:sz w:val="32"/>
          <w:szCs w:val="32"/>
        </w:rPr>
        <w:tab/>
      </w:r>
    </w:p>
    <w:p>
      <w:pPr>
        <w:spacing w:line="540" w:lineRule="exact"/>
        <w:ind w:firstLine="627" w:firstLineChars="200"/>
        <w:rPr>
          <w:rStyle w:val="18"/>
          <w:rFonts w:hint="eastAsia"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项目过程管理类指标由2个二级指标和5个三级指标构成，权重分19.00分，实际得分16.97分,得分率为89.32%。</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1.资金管理情况分析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（1）资金到位率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本项目预算资金为95.00万元，其中：本级财政安排资金95万元，其他资金0.00万元，实际到位资金95.00万元，资金到位率=（实际到位资金/预算资金）×100.00%=（95.00/ 95.00）*100.00%= 100.00%。得分=资金到位率*分值= 100.00%*4= 4.00分。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（2）预算执行率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本项目实际支出资金56.52万元，预算执行率=（实际支出资金/实际到位资金）×100.00%=（56.52/ 95.00）*100.00%= 59.49%。得分=预算执行率*分值= 59.49%*5.00= 2.97分。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综上所述，本指标满分为5分，根据评分标准得2.97分。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（3）资金使用合规性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通过检查本项目签订的合同、资金申请文件、发票等财务付款凭证，得出本项目资金支出符合国家财经法规、《政府会计制度》以及《乌鲁木齐市委组织部财务预算管理制度》《市委组织部经费支出审批流程（定稿）》，资金的拨付有完整的审批程序和手续，资金实际使用方向与预算批复用途一致，不存在截留、挤占、挪用、虚列支出的情况。</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综上所述，本指标满分为4分，根据评分标准得4分，资金支出符合我单位财务管理制度规定。</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2.组织实施情况分析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（1）管理制度健全性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我单位已制定《市委组织部“三重一大”事项集体集体机制》《乌鲁木齐市委组织部财务预算管理制度》《市委组织部经费支出审批流程（定稿）》《乌鲁木齐市委组织部采购管理办法》《乌鲁木齐市委组织部采购验收制度》《乌鲁木齐市委组织部合同管理办法》《实物资产管理办法》（包含车辆管理制度），上述已建立的制度均符合行政事业单位内控管理要求，财务和业务管理制度合法、合规、完整，本项目执行符合上述制度规定。</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综上所述，本指标满分为2分，根据评分标准得2分，项目制度建设健全。</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（2）制度执行有效性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市以及本单位资金管理办法执行，项目启动实施后，为了加快本项目的实施，成立组织部工作经费项目实施小组，各环节均按照单位管理要求履行审批程序。</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综上所述，本指标满分为4分，根据评分标准得4分，本项目所建立制度执行有效。</w:t>
      </w:r>
    </w:p>
    <w:p>
      <w:pPr>
        <w:spacing w:line="540" w:lineRule="exact"/>
        <w:ind w:firstLine="627" w:firstLineChars="200"/>
        <w:rPr>
          <w:rFonts w:hint="eastAsia"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项目产出类指标由4个二级指标和12个三级指标构成，权重分41.00分，实际得分32.17分，得分率为78.47%。</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1.数量指标完成情况分析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干部教育外出考察、培训、学习次数”指标：预期指标值为大于等于5次，实际完成指标值为等于21次，指标完成率为420.0%。偏差率为320.0%，偏差原因主要为：根据年度干部教育培训工作安排和各单位实际需求，统筹增加了外出考察培训频次，全年累计开展21次，超出预期值，产生正向偏差；下一步整改措施：下年度将参考近三年实际完成情况，科学设定绩效目标值，确保目标值与预算资金规模及年度培训计划相匹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“租赁公务用车辆数”指标：预期指标值为大于等于7辆，实际完成指标值为等于7辆，指标完成率为100.0%。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“开展全年保障英吉沙县</w:t>
      </w:r>
      <w:bookmarkStart w:id="0" w:name="_GoBack"/>
      <w:bookmarkEnd w:id="0"/>
      <w:r>
        <w:rPr>
          <w:rStyle w:val="18"/>
          <w:rFonts w:hint="eastAsia" w:eastAsia="楷体"/>
          <w:b w:val="0"/>
          <w:bCs w:val="0"/>
          <w:spacing w:val="-4"/>
          <w:sz w:val="32"/>
          <w:szCs w:val="32"/>
        </w:rPr>
        <w:t>两会会议次数”指标：预期指标值为大于等于2次，实际完成指标值为等于2次，指标完成率为100.0%。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“管理全市工作人员人事档案量”指标：预期指标值为大于等于4800本，实际完成指标值为等于4800本，指标完成率为100.0%。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制作奖励证书和奖章量”指标：预期指标值为大于等于3300个，实际完成指标值为等于3200个，指标完成率为96.97%。偏差率为3.03%，扣分原因主要为：根据实际培训开展情况合理制作奖励证书和奖章数，因此实际制作3200个，低于预期值；下一步整改措施：将进一步加强年初需求摸底，依据年度培训计划人数、历史平均合格率等数据，科学测算证书及奖章需求量，力争实现精准制作、按需发放。</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综上所述，本指标满分为4分，根据评分标准得3.88分。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2.质量指标完成情况分析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“资金支付合规率”指标：预期指标值为等于100%，实际完成指标值为等于100%，指标完成率为100.0%。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综上所述，本指标满分为3分，根据评分标准得3分。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3.时效指标完成情况分析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“资金支付及时率”指标：预期指标值为大于等于95%，实际完成指标值为等于100%，指标完成率为100.0%。扣分原因分析：无。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综上所述，本指标满分为3分，根据评分标准得3分。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4.经济成本指标完成情况分析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干部教育培训费用”指标：预期指标值为小于等于20万元，实际完成指标值为等于12.68万元，指标完成率为63.42%。偏差率为36.58%，扣分原因主要为：在保障培训质量和效果的前提下，通过优化培训安排、统筹利用资源，严格控制支出，导致实际支出低于预算；下一步整改措施：下年度将依据近三年实际支出平均水平，结合年度工作安排，科学编制培训费预算，缩小预算与执行差距，提高财政资金使用效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综上所述，本指标满分为3分，根据评分标准得1.90分。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公务用车租赁经费”指标：预期指标值为小于等于45万元，实际完成指标值为等于38.35万元，指标完成率为85.22%，偏差率为14.78%，扣分原因主要为：在保障公务用车正常需求的前提下，通过优化车辆使用调度、减少非必要出行里程等，有效控制了租赁费用支出，有效降低了车辆在使用环节产生的油费、维修及保养等连带成本，从而控制了租赁经费总支出，实际支出低于预期值。下一步改进措施为：在后续年度预算编制时，进一步缩小预算上限与实际需求之间的差距，提高预算编制的精准度。</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综上所述，本指标满分为3分，根据评分标准得2.56分。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两会专项工作费用”指标：预期指标值为小于等于18万元，实际完成指标值为等于0万元，指标完成率为0.0%。偏差率为100%，扣分原因主要为：两会保障工作充分利用现有资源和统筹协调，未产生额外专项费用，导致实际支出为0；下一步整改措施：着重提升预算编制的精细化水平，依据实际业务需求逐项测算并申报经费，进一步提高预算申报的准确性，确保预算规模与工作任务紧密匹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人事档案管理经费”指标：预期指标值为小于等于3万元，实际完成指标值为等于0万元，指标完成率为0.0%。偏差率为100%，扣分原因主要为：档案管理工作依托现有人员和设备开展，通过内部资源整合，未产生新增支出，因此实际支出为0；下一步整改措施：提高预算编制精准度，在充分盘点现有人员和设备承载能力的基础上，按照实际需求申报经费。</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制作奖励证书和奖章经费”指标：预期指标值为小于等于9万元，实际完成指标值为等于5.49万元，指标完成率为61.0%。偏差率为39%，扣分原因主要为：通过集中采购、优化设计等方式控制成本，因此实际支出低于预算；下一步整改措施：依据近三年实际支出水平科学编制预算，提高预算测算精准度，同时继续坚持厉行节约原则。</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综上所述，本指标满分为3分，根据评分标准得1.83分。</w:t>
      </w:r>
    </w:p>
    <w:p>
      <w:pPr>
        <w:spacing w:line="540" w:lineRule="exact"/>
        <w:ind w:firstLine="627" w:firstLineChars="200"/>
        <w:rPr>
          <w:rFonts w:hint="eastAsia"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项目效益类指标由1个二级指标和1个三级指标构成，权重分19.00分，实际得分19.00分。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1.社会效益指标完成情况分析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“保障单位工作正常开展”指标：预期指标值为有效保障，实际完成指标值为基本达成目标，指标完成率为100.0%。扣分原因分析：无。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综上所述，本指标满分为19分，根据评分标准得19分。</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该项目未设置满意度指标。</w:t>
      </w:r>
    </w:p>
    <w:p>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五、主要经验及做法、存在的问题及原因分析</w:t>
      </w:r>
    </w:p>
    <w:p>
      <w:pPr>
        <w:spacing w:line="540" w:lineRule="exact"/>
        <w:ind w:firstLine="624" w:firstLineChars="200"/>
        <w:rPr>
          <w:rStyle w:val="18"/>
          <w:rFonts w:eastAsia="楷体"/>
        </w:rPr>
      </w:pPr>
      <w:r>
        <w:rPr>
          <w:rStyle w:val="18"/>
          <w:rFonts w:hint="eastAsia" w:eastAsia="楷体"/>
          <w:b w:val="0"/>
          <w:bCs w:val="0"/>
          <w:spacing w:val="-4"/>
          <w:sz w:val="32"/>
          <w:szCs w:val="32"/>
        </w:rPr>
        <w:t>（一）主要经验及做法</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本年度组织部工作经费项目实施过程中，形成了一些行之有效的经验做法。</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一是建立重点工作统筹保障机制，提升履职能力。围绕干部教育培训、人事档案管理、考核表彰等核心职能，项目实施过程中由办公室牵头，各科室协同配合，对车辆调度、会议保障、物资采购等事项实行统一管理。在两会保障、考核迎检等任务中，通过提前对接需求、统筹调配资源，有效避免了多头对接、重复保障等问题，确保了各项职能任务按时保质完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是建立培训成果分享交流机制，放大外出培训的辐射效应。在外出考察培训结束后，组织参训人员在一定范围内交流心得经验，将培训中学到的新理念、新方法传达给更多未参训人员。通过内部交流，实现了“一人参训、多人受益”的培训成果共享，有效提升了培训经费的综合使用效益，实现培训资源效益最大化。</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是依托现有人员力量，规范人事档案日常管理流程。在人事档案管理工作中，由现有档案管理人员承担日常维护任务，建立档案耗材按需申领、定期盘点制度。同时，优化档案查阅、转递、归档等业务流程，减少重复劳动和非必要环节，以管理优化替代经费投入，确保档案管理工作规范有序开展。</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（二）存在的问题及原因分析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 关键岗位干部培训安排还需优化，培训资源统筹有待加强</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根据2025年干部教育培训工作总结，区（县）党政班子中部分关键岗位干部因日常工作较为繁重，脱产参训的频次相对偏低，完成规定学时任务的形式以网络培训为主。产生上述情况的主要原因在于：关键岗位干部工学矛盾较为突出，年初制定培训计划时对脱产培训时间的预留不够充分，调训安排与岗位工作实际衔接还有提升空间；同时，市区两级党校培训承载能力有限，优质培训资源向基层延伸的覆盖面尚需进一步扩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 项目前期统筹谋划不够系统，各科室需求缺乏统一整合</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在实施过程中，各科室分别提出工作需求和经费申请，但缺少统一的需求整合和资源盘点机制。两会保障、档案管理等多项工作任务，实际执行中通过科室间协调即可完成，但前期未能提前明确资源调配方案和工作分工，导致部分工作安排较为被动。产生上述问题的主要原因是：项目启动前缺乏统一的资源盘点和工作对接机制，各科室各自为战，办公室的统筹协调作用未能充分发挥。</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（三）下一步改进措施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1.提高调训精准性，优化干部培训安排</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下年度统筹制定并实施市级全年培训方案，对长期未训的关键岗位干部加大点名、点岗调训力度，有效提升干部参训比例。继续加大合作办班和网络培训力度，探索灵活多样的培训方式，缓解工学矛盾。同时，抓好各类培训资源的优化升级，优化整合红山干部教育培训基地及现场教学点等现有资源，持续提升培训承载能力。</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2.建立项目前期需求统筹和资源盘点机制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下年度项目启动前，由办公室牵头组织各科室开展年度工作任务对接和现有资源全面盘点，对各科室拟开展的工作进行统一梳理和整合，明确资源调配方案和工作分工。同时建立跨科室工作会商和信息共享制度，由办公室定期召集各科室通报工作进展和计划安排，确保各项工作衔接顺畅、协同高效。</w:t>
      </w:r>
    </w:p>
    <w:p>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六、有关建议</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一是建立健全跨科室资源统筹调配机制。建议在项目启动前，由办公室牵头组织各科室对现有车辆、设备、耗材等资源进行统一盘点，对可调剂使用的资源优先内部调配，减少重复采购和资源闲置，提高现有资源配置效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是优化干部教育培训组织方式。建议结合各科室岗位职责和干部实际需求，采取“统筹安排、合并开展”的方式组织外出培训，将相近主题、同区域的培训班次合并进行，减少外出频次，降低培训成本的同时保障正常工作秩序。</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三是规范人事档案日常管理流程。建议依托现有档案管理人员，建立耗材按需申领、定期盘点制度，优化档案查阅、转递、归档等业务流程，以管理优化替代经费追加，确保档案工作在低投入下规范运行。</w:t>
      </w:r>
    </w:p>
    <w:p>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七、其他需要说明的问题</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（一）本项目产生的部分间接性效果无法在短期内进行衡量，因此很难认定项目产生的全部效果。通过指标来反映绩效，指标的科学性和全面性需要不断地完善和研究。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（三）评价结果分别编入政府决算和部门预算，报送本级人民代表大会常务委员会，并依法予以公开。</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四）对使用财政资金严重低效无效并造成重大损失的责任人，要按照相关规定追责问责。对绩效评价过程中发现的资金使用单位和个人的财政违法行为，依照《中华人民共和国预算法》《财政违法行为处罚处分条例》等有关规定追究责任，发现违纪违法问题线索的，应当及时移送纪检监察机关。</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五）工作人员在绩效评价管理工作中存在违反《项目支出绩效评价管理办法》（财预〔2020〕10号）文件行为的，其他滥用职权、徇私舞弊等违法违纪行为的，依照《中华人民共和国预算法》《中华人民共和国公务员法》《中华人民共和国监察法》《财政违法行为处罚处分条例》等国家有关规定追究相应责任，涉嫌犯罪的，依法移送司法机关处理。</w:t>
      </w:r>
    </w:p>
    <w:p>
      <w:pPr>
        <w:spacing w:line="540" w:lineRule="exact"/>
        <w:ind w:firstLine="624" w:firstLineChars="200"/>
        <w:rPr>
          <w:rStyle w:val="18"/>
          <w:rFonts w:hint="eastAsia" w:ascii="仿宋" w:hAnsi="仿宋" w:eastAsia="仿宋"/>
          <w:b w:val="0"/>
          <w:spacing w:val="-4"/>
          <w:sz w:val="32"/>
          <w:szCs w:val="32"/>
        </w:rPr>
      </w:pPr>
    </w:p>
    <w:p>
      <w:pPr>
        <w:spacing w:line="540" w:lineRule="exact"/>
        <w:ind w:firstLine="624" w:firstLineChars="200"/>
        <w:rPr>
          <w:rStyle w:val="18"/>
          <w:rFonts w:hint="eastAsia" w:ascii="仿宋" w:hAnsi="仿宋" w:eastAsia="仿宋"/>
          <w:b w:val="0"/>
          <w:spacing w:val="-4"/>
          <w:sz w:val="32"/>
          <w:szCs w:val="32"/>
        </w:rPr>
      </w:pPr>
    </w:p>
    <w:p>
      <w:pPr>
        <w:spacing w:line="540" w:lineRule="exact"/>
        <w:ind w:firstLine="624" w:firstLineChars="200"/>
        <w:rPr>
          <w:rStyle w:val="18"/>
          <w:rFonts w:hint="eastAsia" w:ascii="仿宋" w:hAnsi="仿宋" w:eastAsia="仿宋"/>
          <w:b w:val="0"/>
          <w:spacing w:val="-4"/>
          <w:sz w:val="32"/>
          <w:szCs w:val="32"/>
        </w:rPr>
      </w:pPr>
    </w:p>
    <w:p>
      <w:pPr>
        <w:spacing w:line="540" w:lineRule="exact"/>
        <w:ind w:firstLine="624" w:firstLineChars="200"/>
        <w:rPr>
          <w:rStyle w:val="18"/>
          <w:rFonts w:hint="eastAsia" w:ascii="仿宋" w:hAnsi="仿宋" w:eastAsia="仿宋"/>
          <w:b w:val="0"/>
          <w:spacing w:val="-4"/>
          <w:sz w:val="32"/>
          <w:szCs w:val="32"/>
        </w:rPr>
      </w:pPr>
    </w:p>
    <w:p>
      <w:pPr>
        <w:spacing w:line="540" w:lineRule="exact"/>
        <w:ind w:firstLine="624" w:firstLineChars="200"/>
        <w:rPr>
          <w:rStyle w:val="18"/>
          <w:rFonts w:hint="eastAsia"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pPr>
          <w:pStyle w:val="12"/>
          <w:jc w:val="center"/>
        </w:pPr>
        <w:r>
          <w:fldChar w:fldCharType="begin"/>
        </w:r>
        <w:r>
          <w:instrText xml:space="preserve">PAGE   \* MERGEFORMAT</w:instrText>
        </w:r>
        <w:r>
          <w:fldChar w:fldCharType="separate"/>
        </w:r>
        <w:r>
          <w:rPr>
            <w:lang w:val="zh-CN"/>
          </w:rPr>
          <w:t>2</w:t>
        </w:r>
        <w:r>
          <w:fldChar w:fldCharType="end"/>
        </w:r>
      </w:p>
    </w:sdtContent>
  </w:sdt>
  <w:p>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457"/>
    <w:rsid w:val="000048AA"/>
    <w:rsid w:val="00056465"/>
    <w:rsid w:val="000B0B98"/>
    <w:rsid w:val="00102DFF"/>
    <w:rsid w:val="001071A7"/>
    <w:rsid w:val="00121AE4"/>
    <w:rsid w:val="00146AAD"/>
    <w:rsid w:val="001B3A40"/>
    <w:rsid w:val="00291BC0"/>
    <w:rsid w:val="00311DBE"/>
    <w:rsid w:val="00334096"/>
    <w:rsid w:val="003A1721"/>
    <w:rsid w:val="004366A8"/>
    <w:rsid w:val="00491B24"/>
    <w:rsid w:val="00502BA7"/>
    <w:rsid w:val="005162F1"/>
    <w:rsid w:val="00535153"/>
    <w:rsid w:val="00541A11"/>
    <w:rsid w:val="005450E2"/>
    <w:rsid w:val="00554F82"/>
    <w:rsid w:val="0056390D"/>
    <w:rsid w:val="005719B0"/>
    <w:rsid w:val="005B400A"/>
    <w:rsid w:val="005D10D6"/>
    <w:rsid w:val="00603483"/>
    <w:rsid w:val="00687BD3"/>
    <w:rsid w:val="007E3CE9"/>
    <w:rsid w:val="0083370B"/>
    <w:rsid w:val="00855E3A"/>
    <w:rsid w:val="0091457F"/>
    <w:rsid w:val="00922CB9"/>
    <w:rsid w:val="009C229E"/>
    <w:rsid w:val="009E5CD9"/>
    <w:rsid w:val="00A26421"/>
    <w:rsid w:val="00A34588"/>
    <w:rsid w:val="00A4293B"/>
    <w:rsid w:val="00A67D50"/>
    <w:rsid w:val="00A8691A"/>
    <w:rsid w:val="00AC1946"/>
    <w:rsid w:val="00B13637"/>
    <w:rsid w:val="00B40063"/>
    <w:rsid w:val="00B41F61"/>
    <w:rsid w:val="00BA46E6"/>
    <w:rsid w:val="00C56C72"/>
    <w:rsid w:val="00CA6457"/>
    <w:rsid w:val="00CE2FD9"/>
    <w:rsid w:val="00D17F2E"/>
    <w:rsid w:val="00D30354"/>
    <w:rsid w:val="00DF42A0"/>
    <w:rsid w:val="00E30E91"/>
    <w:rsid w:val="00E769FE"/>
    <w:rsid w:val="00EA2CBE"/>
    <w:rsid w:val="00F32FEE"/>
    <w:rsid w:val="00FB10BB"/>
    <w:rsid w:val="07261865"/>
    <w:rsid w:val="0856517C"/>
    <w:rsid w:val="0BFB189F"/>
    <w:rsid w:val="11BD75F7"/>
    <w:rsid w:val="13BE561A"/>
    <w:rsid w:val="14AC5202"/>
    <w:rsid w:val="15392994"/>
    <w:rsid w:val="18FE139B"/>
    <w:rsid w:val="21FF4239"/>
    <w:rsid w:val="297F67E6"/>
    <w:rsid w:val="2A891760"/>
    <w:rsid w:val="3029612C"/>
    <w:rsid w:val="32A221C5"/>
    <w:rsid w:val="33F20F2A"/>
    <w:rsid w:val="34C44675"/>
    <w:rsid w:val="38C22245"/>
    <w:rsid w:val="3B5B5607"/>
    <w:rsid w:val="3CE21B3C"/>
    <w:rsid w:val="4D2606A1"/>
    <w:rsid w:val="4F5B09F5"/>
    <w:rsid w:val="51830480"/>
    <w:rsid w:val="53A616BE"/>
    <w:rsid w:val="54662BFB"/>
    <w:rsid w:val="5A4B2822"/>
    <w:rsid w:val="62051CA5"/>
    <w:rsid w:val="6C3A69EF"/>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uiPriority w:val="99"/>
    <w:tblPr>
      <w:tblLayout w:type="fixed"/>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字符"/>
    <w:basedOn w:val="17"/>
    <w:link w:val="2"/>
    <w:qFormat/>
    <w:uiPriority w:val="9"/>
    <w:rPr>
      <w:rFonts w:asciiTheme="majorHAnsi" w:hAnsiTheme="majorHAnsi" w:eastAsiaTheme="majorEastAsia"/>
      <w:b/>
      <w:bCs/>
      <w:kern w:val="32"/>
      <w:sz w:val="32"/>
      <w:szCs w:val="32"/>
    </w:rPr>
  </w:style>
  <w:style w:type="character" w:customStyle="1" w:styleId="21">
    <w:name w:val="标题 2 字符"/>
    <w:basedOn w:val="17"/>
    <w:link w:val="3"/>
    <w:semiHidden/>
    <w:qFormat/>
    <w:uiPriority w:val="9"/>
    <w:rPr>
      <w:rFonts w:asciiTheme="majorHAnsi" w:hAnsiTheme="majorHAnsi" w:eastAsiaTheme="majorEastAsia"/>
      <w:b/>
      <w:bCs/>
      <w:i/>
      <w:iCs/>
      <w:sz w:val="28"/>
      <w:szCs w:val="28"/>
    </w:rPr>
  </w:style>
  <w:style w:type="character" w:customStyle="1" w:styleId="22">
    <w:name w:val="标题 3 字符"/>
    <w:basedOn w:val="17"/>
    <w:link w:val="4"/>
    <w:semiHidden/>
    <w:qFormat/>
    <w:uiPriority w:val="9"/>
    <w:rPr>
      <w:rFonts w:asciiTheme="majorHAnsi" w:hAnsiTheme="majorHAnsi" w:eastAsiaTheme="majorEastAsia"/>
      <w:b/>
      <w:bCs/>
      <w:sz w:val="26"/>
      <w:szCs w:val="26"/>
    </w:rPr>
  </w:style>
  <w:style w:type="character" w:customStyle="1" w:styleId="23">
    <w:name w:val="标题 4 字符"/>
    <w:basedOn w:val="17"/>
    <w:link w:val="5"/>
    <w:semiHidden/>
    <w:qFormat/>
    <w:uiPriority w:val="9"/>
    <w:rPr>
      <w:b/>
      <w:bCs/>
      <w:sz w:val="28"/>
      <w:szCs w:val="28"/>
    </w:rPr>
  </w:style>
  <w:style w:type="character" w:customStyle="1" w:styleId="24">
    <w:name w:val="标题 5 字符"/>
    <w:basedOn w:val="17"/>
    <w:link w:val="6"/>
    <w:semiHidden/>
    <w:qFormat/>
    <w:uiPriority w:val="9"/>
    <w:rPr>
      <w:b/>
      <w:bCs/>
      <w:i/>
      <w:iCs/>
      <w:sz w:val="26"/>
      <w:szCs w:val="26"/>
    </w:rPr>
  </w:style>
  <w:style w:type="character" w:customStyle="1" w:styleId="25">
    <w:name w:val="标题 6 字符"/>
    <w:basedOn w:val="17"/>
    <w:link w:val="7"/>
    <w:semiHidden/>
    <w:qFormat/>
    <w:uiPriority w:val="9"/>
    <w:rPr>
      <w:b/>
      <w:bCs/>
    </w:rPr>
  </w:style>
  <w:style w:type="character" w:customStyle="1" w:styleId="26">
    <w:name w:val="标题 7 字符"/>
    <w:basedOn w:val="17"/>
    <w:link w:val="8"/>
    <w:semiHidden/>
    <w:qFormat/>
    <w:uiPriority w:val="9"/>
    <w:rPr>
      <w:sz w:val="24"/>
      <w:szCs w:val="24"/>
    </w:rPr>
  </w:style>
  <w:style w:type="character" w:customStyle="1" w:styleId="27">
    <w:name w:val="标题 8 字符"/>
    <w:basedOn w:val="17"/>
    <w:link w:val="9"/>
    <w:semiHidden/>
    <w:qFormat/>
    <w:uiPriority w:val="9"/>
    <w:rPr>
      <w:i/>
      <w:iCs/>
      <w:sz w:val="24"/>
      <w:szCs w:val="24"/>
    </w:rPr>
  </w:style>
  <w:style w:type="character" w:customStyle="1" w:styleId="28">
    <w:name w:val="标题 9 字符"/>
    <w:basedOn w:val="17"/>
    <w:link w:val="10"/>
    <w:semiHidden/>
    <w:qFormat/>
    <w:uiPriority w:val="9"/>
    <w:rPr>
      <w:rFonts w:asciiTheme="majorHAnsi" w:hAnsiTheme="majorHAnsi" w:eastAsiaTheme="majorEastAsia"/>
    </w:rPr>
  </w:style>
  <w:style w:type="character" w:customStyle="1" w:styleId="29">
    <w:name w:val="标题 字符"/>
    <w:basedOn w:val="17"/>
    <w:link w:val="15"/>
    <w:qFormat/>
    <w:uiPriority w:val="10"/>
    <w:rPr>
      <w:rFonts w:asciiTheme="majorHAnsi" w:hAnsiTheme="majorHAnsi" w:eastAsiaTheme="majorEastAsia"/>
      <w:b/>
      <w:bCs/>
      <w:kern w:val="28"/>
      <w:sz w:val="32"/>
      <w:szCs w:val="32"/>
    </w:rPr>
  </w:style>
  <w:style w:type="character" w:customStyle="1" w:styleId="30">
    <w:name w:val="副标题 字符"/>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字符"/>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字符"/>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字符"/>
    <w:basedOn w:val="17"/>
    <w:link w:val="13"/>
    <w:qFormat/>
    <w:uiPriority w:val="99"/>
    <w:rPr>
      <w:rFonts w:ascii="Calibri" w:hAnsi="Calibri" w:eastAsia="宋体"/>
      <w:kern w:val="2"/>
      <w:sz w:val="18"/>
      <w:szCs w:val="18"/>
    </w:rPr>
  </w:style>
  <w:style w:type="character" w:customStyle="1" w:styleId="44">
    <w:name w:val="页脚 字符"/>
    <w:basedOn w:val="17"/>
    <w:link w:val="12"/>
    <w:qFormat/>
    <w:uiPriority w:val="99"/>
    <w:rPr>
      <w:rFonts w:ascii="Calibri" w:hAnsi="Calibri" w:eastAsia="宋体"/>
      <w:kern w:val="2"/>
      <w:sz w:val="18"/>
      <w:szCs w:val="18"/>
    </w:rPr>
  </w:style>
  <w:style w:type="character" w:customStyle="1" w:styleId="45">
    <w:name w:val="批注框文本 字符"/>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593703-A468-49BC-AE4F-6232593CBF82}">
  <ds:schemaRefs/>
</ds:datastoreItem>
</file>

<file path=docProps/app.xml><?xml version="1.0" encoding="utf-8"?>
<Properties xmlns="http://schemas.openxmlformats.org/officeDocument/2006/extended-properties" xmlns:vt="http://schemas.openxmlformats.org/officeDocument/2006/docPropsVTypes">
  <Template>Normal</Template>
  <Company>市财政资金综合评价中心</Company>
  <Pages>40</Pages>
  <Words>2612</Words>
  <Characters>14893</Characters>
  <Lines>124</Lines>
  <Paragraphs>34</Paragraphs>
  <TotalTime>2</TotalTime>
  <ScaleCrop>false</ScaleCrop>
  <LinksUpToDate>false</LinksUpToDate>
  <CharactersWithSpaces>17471</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2026-09-10T09:09:00Z</dcterms:created>
  <dc:creator>赵 恺（预算处）</dc:creator>
  <cp:lastModifiedBy>Administrator</cp:lastModifiedBy>
  <cp:lastPrinted>2018-12-31T10:56:00Z</cp:lastPrinted>
  <dcterms:modified xsi:type="dcterms:W3CDTF">2026-10-12T03:22:34Z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AC8D1C95289B424182C977C1902B2A2F</vt:lpwstr>
  </property>
</Properties>
</file>