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hint="eastAsia" w:ascii="仿宋" w:hAnsi="仿宋" w:eastAsia="仿宋" w:cs="宋体"/>
          <w:kern w:val="0"/>
          <w:sz w:val="32"/>
          <w:szCs w:val="32"/>
        </w:rPr>
      </w:pPr>
      <w:r>
        <w:rPr>
          <w:rFonts w:hint="eastAsia" w:ascii="仿宋" w:hAnsi="仿宋" w:eastAsia="仿宋" w:cs="宋体"/>
          <w:kern w:val="0"/>
          <w:sz w:val="32"/>
          <w:szCs w:val="32"/>
        </w:rPr>
        <w:t>附件</w:t>
      </w:r>
      <w:r>
        <w:rPr>
          <w:rFonts w:eastAsia="仿宋"/>
          <w:kern w:val="0"/>
          <w:sz w:val="32"/>
          <w:szCs w:val="32"/>
        </w:rPr>
        <w:t>2</w:t>
      </w:r>
      <w:r>
        <w:rPr>
          <w:rFonts w:hint="eastAsia" w:ascii="仿宋" w:hAnsi="仿宋" w:eastAsia="仿宋" w:cs="宋体"/>
          <w:kern w:val="0"/>
          <w:sz w:val="32"/>
          <w:szCs w:val="32"/>
        </w:rPr>
        <w:t>：</w:t>
      </w: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ascii="华文中宋" w:hAnsi="华文中宋" w:eastAsia="华文中宋" w:cs="宋体"/>
          <w:b/>
          <w:kern w:val="0"/>
          <w:sz w:val="52"/>
          <w:szCs w:val="52"/>
        </w:rPr>
      </w:pPr>
    </w:p>
    <w:p>
      <w:pPr>
        <w:spacing w:line="560" w:lineRule="exact"/>
        <w:jc w:val="center"/>
        <w:rPr>
          <w:rFonts w:hint="eastAsia" w:ascii="方正小标宋_GBK" w:hAnsi="华文中宋" w:eastAsia="方正小标宋_GBK" w:cs="宋体"/>
          <w:b/>
          <w:kern w:val="0"/>
          <w:sz w:val="52"/>
          <w:szCs w:val="52"/>
        </w:rPr>
      </w:pPr>
      <w:r>
        <w:rPr>
          <w:rFonts w:hint="eastAsia" w:ascii="方正小标宋_GBK" w:hAnsi="华文中宋" w:eastAsia="方正小标宋_GBK" w:cs="宋体"/>
          <w:b/>
          <w:kern w:val="0"/>
          <w:sz w:val="52"/>
          <w:szCs w:val="52"/>
        </w:rPr>
        <w:t>项目支出绩效自评报告</w:t>
      </w:r>
    </w:p>
    <w:p>
      <w:pPr>
        <w:spacing w:line="540" w:lineRule="exact"/>
        <w:jc w:val="center"/>
        <w:rPr>
          <w:rFonts w:hint="eastAsia" w:ascii="华文中宋" w:hAnsi="华文中宋" w:eastAsia="华文中宋" w:cs="宋体"/>
          <w:b/>
          <w:kern w:val="0"/>
          <w:sz w:val="52"/>
          <w:szCs w:val="52"/>
        </w:rPr>
      </w:pPr>
    </w:p>
    <w:p>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eastAsia="楷体"/>
          <w:spacing w:val="-4"/>
          <w:sz w:val="32"/>
          <w:szCs w:val="32"/>
        </w:rPr>
        <w:t>2025</w:t>
      </w:r>
      <w:r>
        <w:rPr>
          <w:rFonts w:hint="eastAsia" w:hAnsi="宋体" w:eastAsia="仿宋_GB2312" w:cs="宋体"/>
          <w:kern w:val="0"/>
          <w:sz w:val="36"/>
          <w:szCs w:val="36"/>
        </w:rPr>
        <w:t xml:space="preserve">  年度）</w:t>
      </w:r>
    </w:p>
    <w:p>
      <w:pPr>
        <w:spacing w:line="540" w:lineRule="exact"/>
        <w:jc w:val="center"/>
        <w:rPr>
          <w:rFonts w:hint="eastAsia" w:hAnsi="宋体" w:eastAsia="仿宋_GB2312" w:cs="宋体"/>
          <w:kern w:val="0"/>
          <w:sz w:val="30"/>
          <w:szCs w:val="30"/>
        </w:rPr>
      </w:pPr>
    </w:p>
    <w:p>
      <w:pPr>
        <w:spacing w:line="540" w:lineRule="exact"/>
        <w:jc w:val="center"/>
        <w:rPr>
          <w:rFonts w:hint="eastAsia" w:hAnsi="宋体" w:eastAsia="仿宋_GB2312" w:cs="宋体"/>
          <w:kern w:val="0"/>
          <w:sz w:val="30"/>
          <w:szCs w:val="30"/>
        </w:rPr>
      </w:pPr>
    </w:p>
    <w:p>
      <w:pPr>
        <w:spacing w:line="700" w:lineRule="exact"/>
        <w:jc w:val="left"/>
        <w:rPr>
          <w:rFonts w:hint="eastAsia" w:hAnsi="宋体" w:eastAsia="仿宋_GB2312" w:cs="宋体"/>
          <w:kern w:val="0"/>
          <w:sz w:val="28"/>
          <w:szCs w:val="28"/>
        </w:rPr>
      </w:pPr>
      <w:r>
        <w:rPr>
          <w:rFonts w:hint="eastAsia" w:hAnsi="宋体" w:eastAsia="仿宋_GB2312" w:cs="宋体"/>
          <w:kern w:val="0"/>
          <w:sz w:val="28"/>
          <w:szCs w:val="28"/>
        </w:rPr>
        <w:t>项目名称：</w:t>
      </w:r>
      <w:r>
        <w:rPr>
          <w:rStyle w:val="18"/>
          <w:rFonts w:hint="eastAsia" w:ascii="楷体" w:hAnsi="楷体" w:eastAsia="楷体"/>
          <w:spacing w:val="-4"/>
          <w:sz w:val="28"/>
          <w:szCs w:val="28"/>
        </w:rPr>
        <w:t>运行经费</w:t>
      </w:r>
    </w:p>
    <w:p>
      <w:pPr>
        <w:spacing w:line="540" w:lineRule="exact"/>
        <w:rPr>
          <w:rFonts w:hint="eastAsia" w:ascii="楷体" w:hAnsi="楷体" w:eastAsia="楷体"/>
          <w:b/>
          <w:bCs/>
          <w:spacing w:val="-4"/>
          <w:sz w:val="28"/>
          <w:szCs w:val="28"/>
        </w:rPr>
      </w:pPr>
      <w:r>
        <w:rPr>
          <w:rFonts w:hint="eastAsia" w:hAnsi="宋体" w:eastAsia="仿宋_GB2312" w:cs="宋体"/>
          <w:kern w:val="0"/>
          <w:sz w:val="28"/>
          <w:szCs w:val="28"/>
        </w:rPr>
        <w:t>实施单位（公章）：</w:t>
      </w:r>
      <w:r>
        <w:rPr>
          <w:rStyle w:val="18"/>
          <w:rFonts w:hint="eastAsia" w:ascii="楷体" w:hAnsi="楷体" w:eastAsia="楷体"/>
          <w:spacing w:val="-4"/>
          <w:sz w:val="28"/>
          <w:szCs w:val="28"/>
        </w:rPr>
        <w:t>中共乌鲁木齐市委员会办公室（乌鲁木齐市档案局）</w:t>
      </w:r>
    </w:p>
    <w:p>
      <w:pPr>
        <w:spacing w:line="540" w:lineRule="exact"/>
        <w:rPr>
          <w:rFonts w:hint="eastAsia" w:ascii="楷体" w:hAnsi="楷体" w:eastAsia="楷体"/>
          <w:b/>
          <w:bCs/>
          <w:spacing w:val="-4"/>
          <w:sz w:val="28"/>
          <w:szCs w:val="28"/>
        </w:rPr>
      </w:pPr>
      <w:r>
        <w:rPr>
          <w:rFonts w:hint="eastAsia" w:hAnsi="宋体" w:eastAsia="仿宋_GB2312" w:cs="宋体"/>
          <w:kern w:val="0"/>
          <w:sz w:val="28"/>
          <w:szCs w:val="28"/>
        </w:rPr>
        <w:t>主管部门（公章）：</w:t>
      </w:r>
      <w:r>
        <w:rPr>
          <w:rStyle w:val="18"/>
          <w:rFonts w:hint="eastAsia" w:ascii="楷体" w:hAnsi="楷体" w:eastAsia="楷体"/>
          <w:spacing w:val="-4"/>
          <w:sz w:val="28"/>
          <w:szCs w:val="28"/>
        </w:rPr>
        <w:t>中共乌鲁木齐市委员会办公室（乌鲁木齐市档案局）</w:t>
      </w:r>
    </w:p>
    <w:p>
      <w:pPr>
        <w:spacing w:line="540" w:lineRule="exact"/>
        <w:rPr>
          <w:rFonts w:hint="eastAsia" w:ascii="楷体" w:hAnsi="楷体" w:eastAsia="楷体"/>
          <w:b/>
          <w:bCs/>
          <w:spacing w:val="-4"/>
          <w:sz w:val="28"/>
          <w:szCs w:val="28"/>
        </w:rPr>
      </w:pPr>
      <w:r>
        <w:rPr>
          <w:rFonts w:hint="eastAsia" w:hAnsi="宋体" w:eastAsia="仿宋_GB2312" w:cs="宋体"/>
          <w:kern w:val="0"/>
          <w:sz w:val="28"/>
          <w:szCs w:val="28"/>
        </w:rPr>
        <w:t>项目负责人（签章）：</w:t>
      </w:r>
      <w:r>
        <w:rPr>
          <w:rStyle w:val="18"/>
          <w:rFonts w:hint="eastAsia" w:ascii="楷体" w:hAnsi="楷体" w:eastAsia="楷体"/>
          <w:spacing w:val="-4"/>
          <w:sz w:val="28"/>
          <w:szCs w:val="28"/>
        </w:rPr>
        <w:t>张道华</w:t>
      </w:r>
    </w:p>
    <w:p>
      <w:pPr>
        <w:spacing w:line="540" w:lineRule="exact"/>
        <w:rPr>
          <w:rStyle w:val="18"/>
          <w:rFonts w:eastAsia="楷体"/>
          <w:spacing w:val="-4"/>
          <w:sz w:val="28"/>
          <w:szCs w:val="28"/>
        </w:rPr>
      </w:pPr>
      <w:r>
        <w:rPr>
          <w:rFonts w:hint="eastAsia" w:hAnsi="宋体" w:eastAsia="仿宋_GB2312" w:cs="宋体"/>
          <w:kern w:val="0"/>
          <w:sz w:val="28"/>
          <w:szCs w:val="28"/>
        </w:rPr>
        <w:t>填报时间：</w:t>
      </w:r>
      <w:r>
        <w:rPr>
          <w:rStyle w:val="18"/>
          <w:rFonts w:eastAsia="楷体"/>
          <w:spacing w:val="-4"/>
          <w:sz w:val="28"/>
          <w:szCs w:val="28"/>
        </w:rPr>
        <w:t>2026年04月24日</w:t>
      </w:r>
    </w:p>
    <w:p>
      <w:pPr>
        <w:spacing w:line="540" w:lineRule="exact"/>
        <w:rPr>
          <w:rStyle w:val="18"/>
          <w:rFonts w:eastAsia="楷体"/>
          <w:spacing w:val="-4"/>
          <w:sz w:val="32"/>
          <w:szCs w:val="32"/>
        </w:rPr>
      </w:pPr>
    </w:p>
    <w:p>
      <w:pPr>
        <w:spacing w:line="540" w:lineRule="exact"/>
        <w:rPr>
          <w:rStyle w:val="18"/>
          <w:rFonts w:hint="eastAsia" w:eastAsia="楷体"/>
          <w:spacing w:val="-4"/>
          <w:sz w:val="32"/>
          <w:szCs w:val="32"/>
        </w:rPr>
      </w:pPr>
    </w:p>
    <w:p>
      <w:pPr>
        <w:spacing w:line="540" w:lineRule="exact"/>
        <w:ind w:firstLine="312" w:firstLineChars="1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pPr>
        <w:spacing w:line="540" w:lineRule="exact"/>
        <w:ind w:firstLine="624" w:firstLineChars="200"/>
        <w:rPr>
          <w:rStyle w:val="18"/>
          <w:rFonts w:eastAsia="楷体"/>
          <w:b w:val="0"/>
          <w:bCs w:val="0"/>
          <w:spacing w:val="-4"/>
          <w:sz w:val="32"/>
          <w:szCs w:val="32"/>
        </w:rPr>
      </w:pPr>
      <w:r>
        <w:rPr>
          <w:rStyle w:val="18"/>
          <w:rFonts w:eastAsia="楷体"/>
          <w:b w:val="0"/>
          <w:bCs w:val="0"/>
          <w:spacing w:val="-4"/>
          <w:sz w:val="32"/>
          <w:szCs w:val="32"/>
        </w:rPr>
        <w:t>1.项目背景</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中共乌鲁木齐市委员会办公室（乌鲁木齐市档案局）作为市委的综合办事机构和档案行政管理部门，承担着保障市委机关高效运转、统筹协调全市各项工作落实的重要职责。机关运行经费是保障单位日常运转、履行基本职能的基础性支出，涵盖办公设备购置、差旅费、办公费、劳务费、委托业务费、维修（护）费和印刷费等多项必要开支。</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长期以来，市级机关运行经费保障工作面临着以下实际情况：一是机关日常运转涉及的支出项目多、覆盖面广，各项基础运行保障需求较为刚性；二是随着办公自动化、信息化水平的不断提高，对办公设备更新维护、网络通信保障等方面的经费需求相应增加；三是机关运行经费作为经常性项目，需要在保障基本运转与提高资金使用效益之间实现平衡。</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为此，设立中共乌鲁木齐市委员会办公室（乌鲁木齐市档案局）运行经费项目，旨在保障机关日常工作的正常有序开展，确保各项公务活动顺利推进，提升档案管理和服务水平。通过本项目的实施，能够有效保障市委办公室（市档案局）各项职能的正常履行，提高机关运行效率，改善办公条件和工作环境，为全市各项工作的统筹协调和有效落实提供坚实的后勤保障基础，同时对提升办公规范化、信息化水平具有重要的支撑作用。</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2.主要内容</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为中共乌鲁木齐市委员会办公室运行经费项目，属于经常性项目。项目主要用于保障机关日常运转所需的基本支出，涵盖办公设备购置、差旅费、办公费、劳务费、委托业务费、维修（护）费和印刷费等相关支出。项目覆盖中共乌鲁木齐市委员会办公室多个内设机构及所属科室，保障其履行综合协调、文稿起草、信息报送、督促检查、后勤保障等各项职能。项目主要内容包括但不限于：一是保障机关日常办公运转所需的基础运行费用；二是保障文件资料印制、办公耗材购置、办公设备更新维护等办公性支出；三是保障公务出差等工作性支出；四是保障办公用房及设施设备的日常维修维护等。通过本项目的实施，确保市委办公室各项工作正常有序开展，提升机关运行效率和工作保障水平。</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3.实施情况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实施主体：中共乌鲁木齐市委员会办公室（乌鲁木齐市档案局）。</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实施时间：本项目实施时间为2025年1月—2025年12月。</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情况：本项目为机关运行经费项目，属于经常性项目。在前期准备阶段，办公室根据上年度经费使用情况和本年度工作计划，结合内设各科室实际需求，科学编制年度预算，明确各项支出规模和用途。在预算执行过程中，严格按照财务管理制度和预算绩效管理要求，规范各项经费的审批和使用流程，对办公费、差旅费、维修（护）费、办公设备购置等各项支出实行分类管理、逐级审批。对于涉及政府采购的事项，严格按照政府采购相关规定和程序办理。在经费使用过程中，财务部门定期对预算执行情况进行跟踪监测，确保各项支出控制在预算范围内，资金使用合规、高效。项目完成后，对全年预算执行情况进行汇总分析，开展绩效自评。通过本项目的实施，有效保障了市委办公室各项工作的正常有序开展，提升了机关运行效率和工作保障水平。</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4.项目实施主体</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单位情况：本项目实施单位为中共乌鲁木齐市委员会办公室（乌鲁木齐市档案局），为市委工作机关，是市委的综合办事机构。其主要职责包括但不限于：负责市委日常工作的综合协调，承担与市委各议事协调机构办公室的协调工作；负责市委日常文电的处理工作，承担市委、市委办公室文件文稿的草拟、修改、审核和制发、立卷、归档工作；负责市委、市委办公室有关会议和文件材料的翻译工作；负责市委系统信息化建设的统一规划、协调和建设管理工作等。</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管理架构：为确保项目顺利实施和资金规范使用，建立了由分管财务的办公室领导牵头、财务科室具体负责、各内设科室协同配合的管理架构。财务科室负责年度预算的编制申报、资金使用的审核支付、预算执行情况的跟踪监测及绩效自评工作的组织实施；各内设科室根据本科室实际工作需要，提出年度经费需求，按规定履行审批程序后使用经费。通过明确职责分工，形成了预算编制、执行、监督、评价各环节有效衔接的管理机制，保障了项目资金的安全、规范、高效使用。</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5.资金投入和使用情况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（1）项目资金安排落实、总投入等情况分析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本项目预算安排总额为399.20万元，资金来源为本级部门预算，其中：财政资金399.20万元，其他资金0.00万元，2025年实际收到预算资金399.20万元，预算资金到位率为100%。</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（2）项目资金实际使用情况分析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本项目实际支付资金286.51万元，预算执行率71.77%，结余112.69万元。本项目资金主要用于支付办公费48.62万元、印刷费1.35万元、差旅费16.09万元、委托业务费34.91万元、其他交通费92.72万元和办公设备购置92.82万元。</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1.项目绩效总目标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围绕保障中共乌鲁木齐市委员会办公室高效有序运转的核心任务，通过科学合理配置机关运行经费，全面保障办公室日常办公、公务活动、后勤服务等各项基础性支出需求。在确保资金使用安全、规范、高效的前提下，持续提升机关运行效率和工作保障水平，为市委各项决策部署的贯彻落实提供坚实的后勤支撑。通过本项目的实施，进一步优化办公条件和工作环境，提高干部职工的工作积极性和满意度，增强办公室综合协调和服务保障能力，推动机关运转向规范化、精细化、高效化方向持续改进，最终实现以高效机关运行服务全市工作大局的目标，为乌鲁木齐市经济社会高质量发展提供有力的政务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2.年度目标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（1）项目产出指标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①数量指标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“采购办公设备（包括电脑、打印机）数量”指标，预期指标值为“&gt;=26台”；</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“采购生产型黑白数码印刷系统”指标，预期指标值为“&gt;=1台”；</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②质量指标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“设备验收合格率”指标，预期指标值为“&gt;=95%”；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③时效指标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（2）项目成本指标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“办公设备及其他商品购置费用”指标，预期指标值为“&lt;=88万元”；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“差旅费成本”指标，预期指标值为“&lt;=50万元”；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“其他交通费”指标，预期指标值为“&lt;=93万元”；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“办公费”指标，预期指标值为“&lt;=55万元”；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“发放劳务费、委托业务费、印刷费、维修维护费等费用”指标，预期指标值为“&lt;=113.2万元”；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③生态环境成本指标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（3）项目效益指标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“保障单位工作效率”指标，预期指标值为“有效保障”；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（4）项目满意度指标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1.绩效评价的目的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通过部门项目支出绩效评价，从绩效的角度发现本项目在决策、实施和管理过程中存在的问题，寻求解决方案，为进一步深化项目管理工作提供依据，为促进项目进一步的推进和后期项目维护和评价工作提供更深一步的理论和实际支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2.绩效评价对象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此次我单位根据《财政支出绩效评价管理暂行办法》（财预〔2020〕10号）文件要求实施评价工作，本次评价对象为运行经费，评价核心为项目资金、项目产出、项目效益。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3.绩效评价范围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本次评价范围涵盖项目总体绩效目标、各项绩效指标完成情况以及预算执行情况。覆盖项目预算资金支出的所有内容进行评价。包括项目决策、项目实施和项目成果验收流程等。</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1.绩效评价原则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依据《中华人民共和国预算法》《中共中央 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等要求，绩效评价应遵循如下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（1）科学公正。绩效评价应当运用科学合理的方法，按照规范的程序，对项目绩效进行客观、公正的反映。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（4）公开透明。绩效评价结果应依法依规公开，并自觉接受社会监督。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根据以上原则，绩效评价应遵循如下要求：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（1）在数据采集时，采取客观数据，由主管部门审查、社会中介组织复查，与问卷调查相结合的形式，以保证各项指标的真实性。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（2）保证评价结果的真实性、公正性，提高评价报告的公信力。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4个，包括：决策指标（21.00%）、过程指标（19.00%）、产出指标（39.00%）、效益指标（21.00%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运行经费支出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实际评价过程中根据实际完成情况，对照标准进行量化评分。最终根据总分（满分100分）确定绩效等级：90（含）-100分为“优”、80（含）-90分为“良”、70（含）-80分为“中”、70分以下为“差”。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3.评价方法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方法主要包括成本效益分析法、比较法、因素分析法、最低成本法、公众评判法、标杆管理法等。我单位根据本项目资金的性质和特点，选用比较法、因素分析法和公众评判法对项目进行评价，旨在通过综合分析影响绩效目标实现、实施效果的内外部因素，从而评价本项目绩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三级指标分析环节：总体采用比较法，同时辅以文献法、成本效益法、因素分析法以及公众评判法，根据不同三级指标类型进行逐项分析。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定量指标分析环节：主要采用对比三级指标预期指标值和三级指标截至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定性指标分析环节：主要采用公众评判法，通过问卷及抽样调查等方式评价本项目实施后社会公众对其实施效果的满意程度，将调研结果按照《项目支出绩效评价管理办法》（财预〔2020〕10号）文件要求分为达成年度指标、部分达成年度指标并具有一定效果、未达成年度指标且效果较差三档，分别按照该指标对应分值区间100.00%—80.00%（含）、80.00%—60.00%（含）、60.00%—0.00%合理确定分值，详细评价方法的应用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立项依据充分性：比较法、文献法，查找法律法规政策以及规划，对比实际执行内容和政策支持内容是否匹配。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绩效目标合理性：比较法，对比分析年初编制项目支出绩效目标表与项目内容的相关性、资金的匹配性等。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绩效指标明确性：比较法，比较分析年初编制项目支出绩效目标表是否符合双七原则，是否可衡量。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预算编制科学性：成本效益分析法</w:t>
      </w:r>
      <w:r>
        <w:rPr>
          <w:rStyle w:val="18"/>
          <w:rFonts w:hint="eastAsia" w:eastAsia="楷体"/>
          <w:b w:val="0"/>
          <w:bCs w:val="0"/>
          <w:spacing w:val="-4"/>
          <w:sz w:val="32"/>
          <w:szCs w:val="32"/>
        </w:rPr>
        <w:tab/>
      </w:r>
      <w:r>
        <w:rPr>
          <w:rStyle w:val="18"/>
          <w:rFonts w:hint="eastAsia" w:eastAsia="楷体"/>
          <w:b w:val="0"/>
          <w:bCs w:val="0"/>
          <w:spacing w:val="-4"/>
          <w:sz w:val="32"/>
          <w:szCs w:val="32"/>
        </w:rPr>
        <w:t>分析在产出一定的情况下，成本取值是否有依据，是否经过询价，是否按照市场最低成本编制。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资金分配合理性：因素分析法，综合分析资金的分配依据是否充分，分配金额是否与项目实施单位需求金额一致，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资金到位率：比较法，资金到位率预期指标值应为100.00%，通过实际计算，分析实际完成值和预期指标值之间的差距和原因。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预算执行率：比较法，预算执行率预期指标值应为100.00%，通过实际计算，分析实际完成值和预期指标值之间的差距和原因。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制度执行有效性：比较法，结合项目实际实施过程性文件，根据已建设的财务管理制度和项目管理制度综合分析制度执行的有效性。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量指标：采购办公设备（包括电脑、打印机）数量、采购生产型黑白数码印刷系统、设备验收合格率、办公设备及其他商品购置费用、差旅费成本、其他交通费、办公费、发放劳务费、委托业务费、印刷费、维修维护费等费用，使用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定性指标：保障单位工作效率，使用公众评判法，通过问卷及抽样调查等方式评价本项目实施后社会公众对其实施效果的满意程度。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4.评价标准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spacing w:line="540" w:lineRule="exact"/>
        <w:ind w:firstLine="627" w:firstLineChars="200"/>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1.前期准备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于2026年4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张振毅（评价小组组长）：主要负责绩效评价工作的全面统筹与组织协调，审定评价方案及指标体系，审核评价报告，对评价结论负总责；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张晗（评价小组组员）：主要负责收集、整理项目相关资料，开展现场调研与数据采集，数据分析与核验，组织实施指标打分，撰写评价报告等。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6日—4月9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3.分析评价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2026年4月10日—4月17日，评价小组按照绩效评价的原则和规范，对取得的资料进行审查核实，对采集的数据进行分析，按照绩效评价指标评分表逐项进行打分、分析、汇总各方评价结果。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4.撰写与提交评价报告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2026年4月21日—4月24日，评价小组撰写绩效评价报告，按照新疆维吾尔自治区财政绩效管理信息系统绩效评价模块中统一格式和文本框架撰写绩效评价报告并提交审核。</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5.问题整改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6.档案整理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建立和落实档案管理制度，将项目相关资料存档，包括但不限于：评价项目基本情况和相关文件、评价实施方案、项目支付资料等相关档案。</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（一）综合评价情况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经评价，本项目较大程度达成年初设立的绩效目标，在实施过程中取得了良好的成效，具体表现在以下三个方面：</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紧紧围绕市委决策部署和全市工作大局，勤勉履职、担当作为，推动各项工作提质增效、晋位升级。始终坚持以市委中心工作为导向，充分发挥参谋辅政作用，建立并动态完善市委重大会议、重要调研活动领导选题酝酿机制，科学精细统筹市委主要领导调研、会议、活动等各项安排。单位全体干部立足岗位、围绕中心、服务大局，高标准做好“三服务”工作，圆满完成全年各项任务，有力保障了市委各项工作高效运转和决策部署落地生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机关运行保障有力，日常工作正常有序。通过运行经费的持续投入，有效保障了办公室日常办公、公务活动、后勤服务等各项基础性支出需求。办公用房及设施设备的日常维修维护及时到位，办公耗材、设备更新等办公性支出保障充分，公务出差等工作性支出安排合理，为市委办公室各项工作的正常有序开展提供了坚实的经费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运行效率稳步提升，服务保障能力不断增强。通过本项目的实施，办公条件和工作环境得到进一步优化，干部职工的工作积极性和满意度有所提升，办公室综合协调和服务保障能力持续增强，机关运转向规范化、精细化方向不断改进，为市委各项决策部署的贯彻落实提供了有力的政务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共中央、国务院关于全面实施预算绩效管理的意见》《项目支出绩效评价管理办法》（财预〔2020〕10号）等文件，绩效评价总分设置为100分，划分为四档：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91.59分，评价结果为优。实际已完成办公设备（包括电脑、打印机）采购26台，采购生产型黑白数码印刷系统1台，设备验收合格率达100%，办公设备及其他商品购置费用实际支出92.81万元，差旅费实际支出16.09万元，其他交通费实际支出92.71万元，办公费实际支出48.62万元，劳务费、委托业务费、印刷费、维修维护费等费用实际支出36.27万元，各项支出有效保障了市委办公室各项工作的正常有序开展，资金使用合规，设备采购达标，全面完成了年度设定的各项绩效指标。具体得分情况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表3-1 部门单位项目支出绩效评价得分表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指标</w:t>
      </w:r>
      <w:r>
        <w:rPr>
          <w:rStyle w:val="18"/>
          <w:rFonts w:hint="eastAsia" w:eastAsia="楷体"/>
          <w:b w:val="0"/>
          <w:bCs w:val="0"/>
          <w:spacing w:val="-4"/>
          <w:sz w:val="32"/>
          <w:szCs w:val="32"/>
        </w:rPr>
        <w:tab/>
      </w:r>
      <w:r>
        <w:rPr>
          <w:rStyle w:val="18"/>
          <w:rFonts w:hint="eastAsia" w:eastAsia="楷体"/>
          <w:b w:val="0"/>
          <w:bCs w:val="0"/>
          <w:spacing w:val="-4"/>
          <w:sz w:val="32"/>
          <w:szCs w:val="32"/>
        </w:rPr>
        <w:t>项目决策类</w:t>
      </w:r>
      <w:r>
        <w:rPr>
          <w:rStyle w:val="18"/>
          <w:rFonts w:hint="eastAsia" w:eastAsia="楷体"/>
          <w:b w:val="0"/>
          <w:bCs w:val="0"/>
          <w:spacing w:val="-4"/>
          <w:sz w:val="32"/>
          <w:szCs w:val="32"/>
        </w:rPr>
        <w:tab/>
      </w:r>
      <w:r>
        <w:rPr>
          <w:rStyle w:val="18"/>
          <w:rFonts w:hint="eastAsia" w:eastAsia="楷体"/>
          <w:b w:val="0"/>
          <w:bCs w:val="0"/>
          <w:spacing w:val="-4"/>
          <w:sz w:val="32"/>
          <w:szCs w:val="32"/>
        </w:rPr>
        <w:t>过程管理类</w:t>
      </w:r>
      <w:r>
        <w:rPr>
          <w:rStyle w:val="18"/>
          <w:rFonts w:hint="eastAsia" w:eastAsia="楷体"/>
          <w:b w:val="0"/>
          <w:bCs w:val="0"/>
          <w:spacing w:val="-4"/>
          <w:sz w:val="32"/>
          <w:szCs w:val="32"/>
        </w:rPr>
        <w:tab/>
      </w:r>
      <w:r>
        <w:rPr>
          <w:rStyle w:val="18"/>
          <w:rFonts w:hint="eastAsia" w:eastAsia="楷体"/>
          <w:b w:val="0"/>
          <w:bCs w:val="0"/>
          <w:spacing w:val="-4"/>
          <w:sz w:val="32"/>
          <w:szCs w:val="32"/>
        </w:rPr>
        <w:t>项目产出类</w:t>
      </w:r>
      <w:r>
        <w:rPr>
          <w:rStyle w:val="18"/>
          <w:rFonts w:hint="eastAsia" w:eastAsia="楷体"/>
          <w:b w:val="0"/>
          <w:bCs w:val="0"/>
          <w:spacing w:val="-4"/>
          <w:sz w:val="32"/>
          <w:szCs w:val="32"/>
        </w:rPr>
        <w:tab/>
      </w:r>
      <w:r>
        <w:rPr>
          <w:rStyle w:val="18"/>
          <w:rFonts w:hint="eastAsia" w:eastAsia="楷体"/>
          <w:b w:val="0"/>
          <w:bCs w:val="0"/>
          <w:spacing w:val="-4"/>
          <w:sz w:val="32"/>
          <w:szCs w:val="32"/>
        </w:rPr>
        <w:t>项目效益类</w:t>
      </w:r>
      <w:r>
        <w:rPr>
          <w:rStyle w:val="18"/>
          <w:rFonts w:hint="eastAsia" w:eastAsia="楷体"/>
          <w:b w:val="0"/>
          <w:bCs w:val="0"/>
          <w:spacing w:val="-4"/>
          <w:sz w:val="32"/>
          <w:szCs w:val="32"/>
        </w:rPr>
        <w:tab/>
      </w:r>
      <w:r>
        <w:rPr>
          <w:rStyle w:val="18"/>
          <w:rFonts w:hint="eastAsia" w:eastAsia="楷体"/>
          <w:b w:val="0"/>
          <w:bCs w:val="0"/>
          <w:spacing w:val="-4"/>
          <w:sz w:val="32"/>
          <w:szCs w:val="32"/>
        </w:rPr>
        <w:t>合计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权重</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19.00</w:t>
      </w:r>
      <w:r>
        <w:rPr>
          <w:rStyle w:val="18"/>
          <w:rFonts w:hint="eastAsia" w:eastAsia="楷体"/>
          <w:b w:val="0"/>
          <w:bCs w:val="0"/>
          <w:spacing w:val="-4"/>
          <w:sz w:val="32"/>
          <w:szCs w:val="32"/>
        </w:rPr>
        <w:tab/>
      </w:r>
      <w:r>
        <w:rPr>
          <w:rStyle w:val="18"/>
          <w:rFonts w:hint="eastAsia" w:eastAsia="楷体"/>
          <w:b w:val="0"/>
          <w:bCs w:val="0"/>
          <w:spacing w:val="-4"/>
          <w:sz w:val="32"/>
          <w:szCs w:val="32"/>
        </w:rPr>
        <w:t>39.00</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17.59</w:t>
      </w:r>
      <w:r>
        <w:rPr>
          <w:rStyle w:val="18"/>
          <w:rFonts w:hint="eastAsia" w:eastAsia="楷体"/>
          <w:b w:val="0"/>
          <w:bCs w:val="0"/>
          <w:spacing w:val="-4"/>
          <w:sz w:val="32"/>
          <w:szCs w:val="32"/>
        </w:rPr>
        <w:tab/>
      </w:r>
      <w:r>
        <w:rPr>
          <w:rStyle w:val="18"/>
          <w:rFonts w:hint="eastAsia" w:eastAsia="楷体"/>
          <w:b w:val="0"/>
          <w:bCs w:val="0"/>
          <w:spacing w:val="-4"/>
          <w:sz w:val="32"/>
          <w:szCs w:val="32"/>
        </w:rPr>
        <w:t>32.00</w:t>
      </w:r>
      <w:r>
        <w:rPr>
          <w:rStyle w:val="18"/>
          <w:rFonts w:hint="eastAsia" w:eastAsia="楷体"/>
          <w:b w:val="0"/>
          <w:bCs w:val="0"/>
          <w:spacing w:val="-4"/>
          <w:sz w:val="32"/>
          <w:szCs w:val="32"/>
        </w:rPr>
        <w:tab/>
      </w:r>
      <w:r>
        <w:rPr>
          <w:rStyle w:val="18"/>
          <w:rFonts w:hint="eastAsia" w:eastAsia="楷体"/>
          <w:b w:val="0"/>
          <w:bCs w:val="0"/>
          <w:spacing w:val="-4"/>
          <w:sz w:val="32"/>
          <w:szCs w:val="32"/>
        </w:rPr>
        <w:t>21.00</w:t>
      </w:r>
      <w:r>
        <w:rPr>
          <w:rStyle w:val="18"/>
          <w:rFonts w:hint="eastAsia" w:eastAsia="楷体"/>
          <w:b w:val="0"/>
          <w:bCs w:val="0"/>
          <w:spacing w:val="-4"/>
          <w:sz w:val="32"/>
          <w:szCs w:val="32"/>
        </w:rPr>
        <w:tab/>
      </w:r>
      <w:r>
        <w:rPr>
          <w:rStyle w:val="18"/>
          <w:rFonts w:hint="eastAsia" w:eastAsia="楷体"/>
          <w:b w:val="0"/>
          <w:bCs w:val="0"/>
          <w:spacing w:val="-4"/>
          <w:sz w:val="32"/>
          <w:szCs w:val="32"/>
        </w:rPr>
        <w:t>91.59</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得分率</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92.58%</w:t>
      </w:r>
      <w:r>
        <w:rPr>
          <w:rStyle w:val="18"/>
          <w:rFonts w:hint="eastAsia" w:eastAsia="楷体"/>
          <w:b w:val="0"/>
          <w:bCs w:val="0"/>
          <w:spacing w:val="-4"/>
          <w:sz w:val="32"/>
          <w:szCs w:val="32"/>
        </w:rPr>
        <w:tab/>
      </w:r>
      <w:r>
        <w:rPr>
          <w:rStyle w:val="18"/>
          <w:rFonts w:hint="eastAsia" w:eastAsia="楷体"/>
          <w:b w:val="0"/>
          <w:bCs w:val="0"/>
          <w:spacing w:val="-4"/>
          <w:sz w:val="32"/>
          <w:szCs w:val="32"/>
        </w:rPr>
        <w:t>82.05%</w:t>
      </w:r>
      <w:r>
        <w:rPr>
          <w:rStyle w:val="18"/>
          <w:rFonts w:hint="eastAsia" w:eastAsia="楷体"/>
          <w:b w:val="0"/>
          <w:bCs w:val="0"/>
          <w:spacing w:val="-4"/>
          <w:sz w:val="32"/>
          <w:szCs w:val="32"/>
        </w:rPr>
        <w:tab/>
      </w:r>
      <w:r>
        <w:rPr>
          <w:rStyle w:val="18"/>
          <w:rFonts w:hint="eastAsia" w:eastAsia="楷体"/>
          <w:b w:val="0"/>
          <w:bCs w:val="0"/>
          <w:spacing w:val="-4"/>
          <w:sz w:val="32"/>
          <w:szCs w:val="32"/>
        </w:rPr>
        <w:t>100.0%</w:t>
      </w:r>
      <w:r>
        <w:rPr>
          <w:rStyle w:val="18"/>
          <w:rFonts w:hint="eastAsia" w:eastAsia="楷体"/>
          <w:b w:val="0"/>
          <w:bCs w:val="0"/>
          <w:spacing w:val="-4"/>
          <w:sz w:val="32"/>
          <w:szCs w:val="32"/>
        </w:rPr>
        <w:tab/>
      </w:r>
      <w:r>
        <w:rPr>
          <w:rStyle w:val="18"/>
          <w:rFonts w:hint="eastAsia" w:eastAsia="楷体"/>
          <w:b w:val="0"/>
          <w:bCs w:val="0"/>
          <w:spacing w:val="-4"/>
          <w:sz w:val="32"/>
          <w:szCs w:val="32"/>
        </w:rPr>
        <w:t>91.59%</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（三）预算执行进度与绩效指标偏差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年初预算资金总额为399.20万元，全年预算数为399.2万元，全年执行数为286.51万元，预算执行率为71.77%，运行经费支出绩效评价指标体系总体完成率为86.80%，项目预算执行率与运行经费支出绩效评价指标体系总体完成率之间的偏差为15.03%。</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造成偏差的主要原因如下：一是部分成本指标测算不够精准，导致指标完成率偏低。差旅费、劳务费、委托业务费、印刷费、维修维护费等成本指标在设定时主要参考历年实际发生情况，但本年度因工作任务安排变化，实际出差频次、委托业务量及印刷需求较往年有所减少，上述费用实际发生额低于年初预设目标值，拉低了绩效指标总体完成率；二是重大活动导致个别成本指标超支。因系列活动，本年度保障任务大幅增加，为</w:t>
      </w:r>
      <w:r>
        <w:rPr>
          <w:rStyle w:val="18"/>
          <w:rFonts w:hint="eastAsia" w:eastAsia="楷体"/>
          <w:b w:val="0"/>
          <w:bCs w:val="0"/>
          <w:spacing w:val="-4"/>
          <w:sz w:val="32"/>
          <w:szCs w:val="32"/>
          <w:lang w:val="en-US" w:eastAsia="zh-CN"/>
        </w:rPr>
        <w:t>保障</w:t>
      </w:r>
      <w:bookmarkStart w:id="0" w:name="_GoBack"/>
      <w:bookmarkEnd w:id="0"/>
      <w:r>
        <w:rPr>
          <w:rStyle w:val="18"/>
          <w:rFonts w:hint="eastAsia" w:eastAsia="楷体"/>
          <w:b w:val="0"/>
          <w:bCs w:val="0"/>
          <w:spacing w:val="-4"/>
          <w:sz w:val="32"/>
          <w:szCs w:val="32"/>
        </w:rPr>
        <w:t>活动期间各项工作正常开展，办公设备及其他商品购置费用实际支出92.81万元，超出年初预设目标值88万元，导致该成本指标不得分，影响了绩效指标总体完成率。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一步改进措施是：一是优化绩效指标测算方法。在参考历史数据的基础上，结合年度工作计划和预期任务量进行动态调整，使指标设定更加科学合理。对于差旅费、委托业务费等与实际工作任务关联度较高的支出，应建立年度工作任务与经费预算的联动测算机制，避免单纯依赖历史数据导致指标偏差；二是强化预算编制与工作计划的衔接。在每年预算编制前，由各内设科室提报下一年度重点工作任务及经费需求，由财务科室统筹汇总后科学编制预算，提高预算安排的精准性和执行率，减少预算执行与绩效指标之间的偏差。</w:t>
      </w:r>
    </w:p>
    <w:p>
      <w:pPr>
        <w:spacing w:line="540" w:lineRule="exact"/>
        <w:ind w:firstLine="624" w:firstLineChars="20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项目决策类指标由3个二级指标和6个三级指标构成，权重分21.00分，实际得分21.00分，得分率为100.00%。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1.项目立项情况分析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（1）立项依据充分性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为单位运行经费，属于行政单位和参照公务员法管理的事业单位为保障其机构正常运转、完成日常工作任务所必需的综合性费用支出，立项符合《中华人民共和国预算法》及国家、自治区关于机关运行经费保障的相关规定，符合《党政机关厉行节约反对浪费条例》中“党政机关应当加强预算编制管理，按照加强财政资源和预算统筹的要求，将各项收入和支出全部纳入预算”的核心要求，符合机关运行保障的相关政策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中共乌鲁木齐市委员会办公室（乌鲁木齐市档案局）单位配置内设机构和人员编制规定》中职责范围中的“负责市委日常工作的综合协调；负责市委日常文电的处理工作；负责市委系统信息化建设的统一规划、协调和建设管理工作”等多项职能，属于我单位履职所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财政资金直接支付申请书》，本项目资金性质为“公共财政预算”，功能分类为“一般行政管理事务”，经济分类为“办公费、印刷费、差旅费、委托业务费、其他交通费、办公设备购置”，属于公共财政支持范围，符合中央、地方事权支出责任划分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经检查我单位财政应用平台指标，本项目不存在重复。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综上所述，本指标满分为5分，根据评分标准得5分，本项目立项依据充分。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（2）立项程序规范性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中产生的相关文件，符合相关要求。本项目为非基础建设类项目，属于我单位经常性项目，不涉及事前绩效评估、可行性研究以及风险评估，由我单位严格按照《中华人民共和国预算法》《关于批复2025年部门预算的通知》（乌财行〔2025〕1号）及财政部门关于部门预算编制的相关要求，结合我单位《市委办公室室务会议事决策规则》要求设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2.绩效目标情况分析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（1）绩效目标合理性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已设置年度绩效目标，具体内容为“通过采购办公设备及耗材等支付其办公场所运行所需费用，维持办公场所基本运行，有效保障单位工作正常开展。计划采购办公设备（包括电脑、打印机）26台，采购生产型黑白数码印刷系统1台，文印中心印制设备及耗材，有效保障单位工作效率”；本项目实际工作内容为：完成办公设备（包括电脑、打印机）采购26台，采购生产型黑白数码印刷系统1台，设备验收合格率达100%，办公设备及其他商品购置费用实际支出92.81万元，差旅费实际支出16.09万元，其他交通费实际支出92.71万元，办公费实际支出48.62万元，劳务费、委托业务费、印刷费、维修维护费等费用实际支出36.27万元；绩效目标与实际工作内容一致，两者具有相关性；本项目按照绩效目标完成了数量指标、质量指标、成本指标、社会效益指标，有效保障了市委办公室各项工作的正常有序开展，年度绩效目标完成，预期产出效益和效果符合正常的业绩水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综上所述，本指标满分为4分，根据评分标准得4分，本项目绩效目标设置合理。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（2）绩效指标明确性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年初设置的《项目支出绩效目标表》，得出如下结论：本项目已将年度绩效目标进行细化为绩效指标体系，共设置一级指标3个，二级指标4个，三级指标9个，定量指标8个，定性指标1个，指标量化率为88.89%，量化率达70.00%以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综上所述，本指标满分为3分，根据评分标准得3分，本项目所设置绩效指标明确。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3.资金投入情况分析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（1）预算编制科学性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编制依据《中华人民共和国预算法》及财政部门关于部门预算编制的相关要求，结合我单位上年度经费使用情况和本年度实际工作需求进行测算。预算编制过程中，办公费、差旅费等日常公用经费按照财政部门核定的定额标准及单位在职实有人数进行测算；办公设备购置按照实际需求和政府采购相关规定，参考历年或同类设备市场价格后编制预算；其他交通费按照公务用车改革后的相关标准核定。预算编制经财务科室初审、分管领导审核、党委会研究确定后报送财政部门，预算编制较为科学且经过论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申请内容为机关运行所需办公费、印刷费、差旅费、委托业务费、其他交通费、办公设备购置等各项支出，项目实际内容为保障机关日常运转的各项经费支出，预算申请方向与我单位年度工作计划及实际需求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申请资金399.20万元，我单位在预算申请中严格按照财政部门核定的定额标准及实际需求进行核算，其中：日常公用经费按照人均定额标准及在职人数测算，设备购置按照实际需求及政府采购程序编制。本项目预算额度测算依据充分，严格按照标准编制，预算确定资金量与实际工作任务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综上所述，本指标满分为4分，根据评分标准4分，本项目预算编制科学。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（2）资金分配合理性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分配资金以我单位年度预算申请报告及经党委会研究确定的预算方案为依据进行资金分配，预算资金分配依据充分。根据《关于批复2025年部门预算的通知》（乌财行〔2025〕1号）文件显示，本项目实际到位资金399.20万元，实际分配资金与我单位提交申请的资金额度一致，资金分配额度合理，与我单位实际需求相适应。</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综上所述，本指标满分为2分，根据评分标准得2分，本项目资金分配合理。</w:t>
      </w:r>
      <w:r>
        <w:rPr>
          <w:rStyle w:val="18"/>
          <w:rFonts w:hint="eastAsia" w:eastAsia="楷体"/>
          <w:b w:val="0"/>
          <w:bCs w:val="0"/>
          <w:spacing w:val="-4"/>
          <w:sz w:val="32"/>
          <w:szCs w:val="32"/>
        </w:rPr>
        <w:tab/>
      </w:r>
    </w:p>
    <w:p>
      <w:pPr>
        <w:spacing w:line="540" w:lineRule="exact"/>
        <w:ind w:firstLine="627" w:firstLineChars="200"/>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项目过程管理类指标由2个二级指标和5个三级指标构成，权重分19.00分，实际得分17.59分，得分率为92.58%。</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1.资金管理情况分析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（1）资金到位率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资金为399.20万元，其中：本级财政安排资金399.2万元，其他资金0万元，实际到位资金399.20万元，资金到位率=（实际到位资金/预算资金）×100.00%=（399.20/399.20）*100.00%=100.00%。得分=资金到位率*分值=100.00%*4=4.00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本项目实际支出资金286.51万元，预算执行率=（实际支出资金/实际到位资金）×100.00%=（286.51/399.20）*100.00%=71.77%。得分=预算执行率*分值=71.77%*5.00=3.59分。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综上所述，本指标满分为5分，根据评分标准得3.59分。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（3）资金使用合规性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检查本项目签订的合同、资金申请文件、发票等财务付款凭证，得出本项目资金支出符合国家财经法规、《政府会计制度》《行政单位财务规则》《事业单位财务规则》《乌鲁木齐市委办公室财务管理办法（试行）》及《市委办财务预算管理制度》，资金的拨付有完整的审批程序和手续，资金实际使用方向与预算批复用途一致，不存在截留、挤占、挪用、虚列支出的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综上所述，本指标满分为4分，根据评分标准得4分，资金支出符合我单位财务管理制度规定。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（1）管理制度健全性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已制定《市委办财务预算管理制度》《市委办财务收支业务管理办法》《市委办采购管理办法》《市委办实物资产管理办法》《市委办合同管理办法》等制度，上述已建立的制度均符合行政事业单位内控管理要求，财务和业务管理制度合法、合规、完整，本项目执行符合上述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综上所述，本指标满分为2分，根据评分标准得2分，项目制度建设健全。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（2）制度执行有效性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运行经费项目工作领导小组，由行政科副科长朱渊任组长，负责项目的组织工作；王培杰任组员，负责项目的具体实施工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综上所述，本指标满分为4分，根据评分标准得4分，本项目所建立制度执行有效。</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项目产出类指标由3个二级指标和8个三级指标构成，权重分39.00分，实际得分32.00分，得分率为82.05%。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1.数量指标完成情况分析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“采购办公设备（包括电脑、打印机）数量”指标：预期指标值为大于等于26台，实际完成指标值为等于26台，指标完成率为100.0%。扣分原因分析：无。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综上所述，本指标满分为10分，根据评分标准得10分。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“采购生产型黑白数码印刷系统”指标：预期指标值为大于等于1台，实际完成指标值为等于1台，指标完成率为100.0%。扣分原因分析：无。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综上所述，本指标满分为10分，根据评分标准得10分。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2.质量指标完成情况分析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“设备验收合格率”指标：预期指标值为大于等于95%，实际完成指标值为等于100%，指标完成率为100.0%。扣分原因分析：无。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3.经济成本指标完成情况分析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办公设备及其他商品购置费用”指标：预期指标值为小于等于88万元，实际完成指标值为等于92.81万元，指标完成率为0.0%。偏差率为100%，扣分原因主要为：因自治区成立70周年的系列庆祝活动原因，本年度办公设备及其他商品购置费用采购较多，故实际执行超目标值；下一步整改措施：在今后年度预算编制过程中，充分考虑重大活动、临时性任务等不可预见因素对经费支出的影响，适当预留弹性空间。同时，加强对预算执行过程的动态监测，对于确需超支的情形，及时履行预算调整报批程序，确保支出合规。此外，进一步优化设备采购计划，坚持“按需采购、厉行节约”原则，在保障机关正常运转的前提下，严格控制非必要购置支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差旅费成本”指标：预期指标值为小于等于50万元，实际完成指标值为等于16.09万元，指标完成率为32.18%。偏差率为67.82%，扣分原因主要为：设置绩效目标时参考历年差旅费情况，但差旅以实际发生情况为准，本年度实际发生差旅成本较小；下一步整改措施：在今后年度预算编制及绩效目标设置过程中，进一步优化指标测算方法，在参考历史数据的基础上，结合年度工作计划和预计出差任务进行动态调整，使指标设定更加科学合理。同时，继续严格执行差旅费管理相关规定，按照“厉行节约、规范高效”的原则控制差旅支出，在保障工作正常开展的前提下，确保经费使用合规、节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综上所述，本指标满分为1分，根据评分标准得0分。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“其他交通费”指标：预期指标值为小于等于93万元，实际完成指标值为等于92.71万元，指标完成率为100.0%。扣分原因分析：无。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“办公费”指标：预期指标值为小于等于55万元，实际完成指标值为等于48.62万元，指标完成率为100.0%。扣分原因分析：无。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发放劳务费、委托业务费、印刷费、维修维护费等费用”指标：预期指标值为小于等于113.2万元，实际完成指标值为等于36.27万元，指标完成率为32.04%。偏差率为67.96%，扣分原因主要为：设置绩效目标时参考历年发放劳务费、委托业务费、印刷费、维修维护费等费用情况，但办公费以实际发生情况为准，本年度实际采购办公用品较少。下一步整改措施：在今后年度预算编制及绩效目标设置过程中，进一步优化指标测算方法，在参考历史数据的基础上，结合年度工作计划和预计任务量进行动态调整，使指标设定更加科学合理。同时，继续严格执行各项经费管理规定，按照“厉行节约、规范高效”的原则控制相关支出，在保障工作正常开展的前提下，确保经费使用合规、节约，避免预算编制与实际情况脱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综上所述，本指标满分为3分，根据评分标准得0分。</w:t>
      </w:r>
    </w:p>
    <w:p>
      <w:pPr>
        <w:spacing w:line="540" w:lineRule="exact"/>
        <w:ind w:firstLine="627" w:firstLineChars="200"/>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项目效益类指标由1个二级指标和1个三级指标构成，权重分21.00分，实际得分21.00分。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1.社会效益指标完成情况分析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“保障单位工作效率”指标：预期指标值为有效保障，实际完成指标值为基本达成目标，指标完成率为100.0%。扣分原因分析：无。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综上所述，本指标满分为21分，根据评分标准得21分。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该项目未设置满意度指标。</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五、主要经验及做法、存在的问题及原因分析</w:t>
      </w:r>
    </w:p>
    <w:p>
      <w:pPr>
        <w:spacing w:line="540" w:lineRule="exact"/>
        <w:ind w:firstLine="624" w:firstLineChars="200"/>
        <w:rPr>
          <w:rStyle w:val="18"/>
          <w:rFonts w:eastAsia="楷体"/>
        </w:rPr>
      </w:pPr>
      <w:r>
        <w:rPr>
          <w:rStyle w:val="18"/>
          <w:rFonts w:hint="eastAsia" w:eastAsia="楷体"/>
          <w:b w:val="0"/>
          <w:bCs w:val="0"/>
          <w:spacing w:val="-4"/>
          <w:sz w:val="32"/>
          <w:szCs w:val="32"/>
        </w:rPr>
        <w:t>（一）主要经验及做法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本项目在机关运行经费管理过程中，形成了一系列行之有效的经验和做法。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坚持“预算引领、厉行节约”的原则，在预算编制阶段充分征求各内设科室意见，结合年度重点工作任务科学测算经费需求，确保预算安排与实际工作相匹配，同时严格控制非必要支出，将厉行节约要求贯穿预算管理全过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二是建立健全“财务统管、分级审批”的资金管理机制，明确各层级审批权限和流程，大额支出经党委会集体研究决定，日常支出按权限分级审批，确保资金使用规范透明；</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三是严格执行政府采购相关规定，办公设备购置等支出全部纳入政府采购管理，通过公开询价、协议供货等方式降低采购成本，确保采购行为规范、透明、高效；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四是注重绩效评价结果应用，将绩效评价发现的问题作为下一年度预算编制和改进管理的重要依据，形成“预算编制—执行监控—绩效评价—结果应用”的闭环管理机制。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（二）存在的问题及原因分析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绩效指标设置较为片面，未能全面反映运行经费的核心支出方向</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数量指标仅设置了办公设备、生产型黑白数码印刷系统等设备采购类指标，但运行经费支出涵盖办公费、印刷费、差旅费、维修费、劳务费、委托业务费和其他交通费等多项内容，仅以设备采购数量作为核心产出指标，无法全面反映运行经费的整体保障效果。原因分析：一是对运行经费项目的绩效管理特点认识不足，未根据其“支出内容多、覆盖面广”的特点设计差异化指标体系；二是存在“重采购、轻日常”的思维定式，对日常运转支出的绩效表现缺乏有效量化考核手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部分委托业务费和印刷费支付不及时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部分委托业务费和下半年印刷费，因商家开票不及时，未能按时提供合规发票，导致支付审批流程无法及时启动，造成支付进度滞后。经分析，一是对服务供应商的发票开具时限缺乏明确约定和有效约束；二是缺乏支付进度跟踪预警机制，对即将到期的支付事项未能提前提醒和督办。</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（三）下一步改进措施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提高绩效目标设置的科学性、合理性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运行经费“支出内容多、覆盖面广”的特点，重新设计差异化、多维度的绩效指标体系。可设置构建涵盖采购类、日常运转类、服务保障类的立体化指标体系，从经费保障的及时性、支出的合规性、运行的稳定性、保障的全面性等多个维度综合衡量运行经费的使用效益，全面客观反映机关运行保障的整体水平和效果。通过优化指标结构，使绩效目标更加契合运行经费项目的实际特点，切实提升绩效目标设置的科学性、合理性和可衡量性，真正发挥绩效工作对预算编制和经费管理的引导作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健全经费支付保障机制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完善服务合同条款，在委托业务及印刷服务合同中明确约定供应商发票开具时限及违约责任，增强对供应商的约束力，确保服务完成后及时提供合规发票；二是建立支付进度跟踪预警机制，由财务科室牵头，对即将到期的支付事项进行提前提醒和督办，业务科室指定专人负责跟进催票和报账工作，确保支付流程及时启动；三是加强业务经办人员培训，组织学习财务管理制度和支付流程时限要求，提高经办人员的规范意识和业务能力，确保服务完成后及时完成报账手续，避免因人为因素导致支付滞后。</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六、有关建议</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完善预算编制与执行管理机制。建议在每年预算编制前，建立财务科室与业务科室的常态化沟通协调机制，充分了解下一年度重点工作任务和经费需求，将年度工作计划作为预算编制的重要依据，提高预算安排的精准性。同时，建立预算执行月度分析制度，对各项支出进度进行跟踪监测，发现偏差及时预警并分析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强化日常运行保障的规范化管理。建议对办公费、印刷费、差旅费、维修维护费等日常运行支出，进一步细化管理流程和审批权限，明确各类支出的标准和上限。同时，加强对委托业务费、劳务费等支出的合同管理和验收管理，确保支出内容真实、合规、必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建议在委托业务及印刷服务合同中明确约定供应商发票开具时限及违约责任，增强合同条款的履约约束力。建立项目支付进度跟踪预警机制，明确各环节责任主体和时限要求，指定专人负责发票催收及报账工作，确保项目款项及时支付。同时，加强对委托业务、印刷服务等项目的合同管理和验收管理，规范项目执行过程中的资料归档和流程管控。</w:t>
      </w:r>
    </w:p>
    <w:p>
      <w:pPr>
        <w:spacing w:line="540" w:lineRule="exact"/>
        <w:ind w:firstLine="624" w:firstLineChars="20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七、其他需要说明的问题</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（一）本项目产生的部分间接性效果无法在短期内进行衡量，因此很难认定项目产生的全部效果。通过指标来反映绩效，指标的科学性和全面性需要不断地完善和研究。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（三）评价结果分别编入政府决算和部门预算，报送本级人民代表大会常务委员会，并依法予以公开。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p>
      <w:pPr>
        <w:spacing w:line="540" w:lineRule="exact"/>
        <w:ind w:firstLine="624" w:firstLineChars="200"/>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457"/>
    <w:rsid w:val="000048AA"/>
    <w:rsid w:val="00056465"/>
    <w:rsid w:val="000B0B98"/>
    <w:rsid w:val="00102DFF"/>
    <w:rsid w:val="001071A7"/>
    <w:rsid w:val="00121AE4"/>
    <w:rsid w:val="00146AAD"/>
    <w:rsid w:val="001B3A40"/>
    <w:rsid w:val="0026189E"/>
    <w:rsid w:val="00291BC0"/>
    <w:rsid w:val="00311DBE"/>
    <w:rsid w:val="003A1721"/>
    <w:rsid w:val="004366A8"/>
    <w:rsid w:val="00491B24"/>
    <w:rsid w:val="00502BA7"/>
    <w:rsid w:val="005162F1"/>
    <w:rsid w:val="00535153"/>
    <w:rsid w:val="00554F82"/>
    <w:rsid w:val="0056390D"/>
    <w:rsid w:val="005719B0"/>
    <w:rsid w:val="005D10D6"/>
    <w:rsid w:val="00603483"/>
    <w:rsid w:val="00687BD3"/>
    <w:rsid w:val="00755044"/>
    <w:rsid w:val="007E3CE9"/>
    <w:rsid w:val="0083370B"/>
    <w:rsid w:val="00855E3A"/>
    <w:rsid w:val="0091457F"/>
    <w:rsid w:val="00922CB9"/>
    <w:rsid w:val="009B42AF"/>
    <w:rsid w:val="009C229E"/>
    <w:rsid w:val="009E5CD9"/>
    <w:rsid w:val="00A26421"/>
    <w:rsid w:val="00A34588"/>
    <w:rsid w:val="00A4293B"/>
    <w:rsid w:val="00A67D50"/>
    <w:rsid w:val="00A857FA"/>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7261865"/>
    <w:rsid w:val="0856517C"/>
    <w:rsid w:val="0BFB189F"/>
    <w:rsid w:val="0EC465C7"/>
    <w:rsid w:val="11BD75F7"/>
    <w:rsid w:val="13BE561A"/>
    <w:rsid w:val="14AC5202"/>
    <w:rsid w:val="15392994"/>
    <w:rsid w:val="158540DD"/>
    <w:rsid w:val="18FE139B"/>
    <w:rsid w:val="28690B4C"/>
    <w:rsid w:val="297F67E6"/>
    <w:rsid w:val="2A891760"/>
    <w:rsid w:val="3029612C"/>
    <w:rsid w:val="32A221C5"/>
    <w:rsid w:val="33F20F2A"/>
    <w:rsid w:val="34C44675"/>
    <w:rsid w:val="38C22245"/>
    <w:rsid w:val="3B5B5607"/>
    <w:rsid w:val="3CE21B3C"/>
    <w:rsid w:val="3E322D18"/>
    <w:rsid w:val="4A2758B7"/>
    <w:rsid w:val="4CF3124D"/>
    <w:rsid w:val="4D2606A1"/>
    <w:rsid w:val="51830480"/>
    <w:rsid w:val="53A616BE"/>
    <w:rsid w:val="54662BFB"/>
    <w:rsid w:val="596851E9"/>
    <w:rsid w:val="62051CA5"/>
    <w:rsid w:val="64EE476F"/>
    <w:rsid w:val="6AB208A3"/>
    <w:rsid w:val="6C3A69EF"/>
    <w:rsid w:val="7DB12889"/>
    <w:rsid w:val="7DFD0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市财政资金综合评价中心</Company>
  <Pages>38</Pages>
  <Words>2531</Words>
  <Characters>14430</Characters>
  <Lines>120</Lines>
  <Paragraphs>33</Paragraphs>
  <TotalTime>3</TotalTime>
  <ScaleCrop>false</ScaleCrop>
  <LinksUpToDate>false</LinksUpToDate>
  <CharactersWithSpaces>16928</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2026-09-10T09:55:00Z</dcterms:created>
  <dc:creator>赵 恺（预算处）</dc:creator>
  <cp:lastModifiedBy>Lenovo</cp:lastModifiedBy>
  <cp:lastPrinted>2018-12-31T10:56:00Z</cp:lastPrinted>
  <dcterms:modified xsi:type="dcterms:W3CDTF">2026-09-29T09:37:27Z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AC8D1C95289B424182C977C1902B2A2F</vt:lpwstr>
  </property>
</Properties>
</file>