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bCs/>
          <w:color w:val="333333"/>
          <w:sz w:val="32"/>
          <w:szCs w:val="32"/>
        </w:rPr>
      </w:pPr>
      <w:bookmarkStart w:id="0" w:name="_GoBack"/>
      <w:bookmarkEnd w:id="0"/>
      <w:r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  <w:t>附件1</w:t>
      </w:r>
    </w:p>
    <w:p>
      <w:pPr>
        <w:pStyle w:val="6"/>
        <w:spacing w:before="0" w:beforeAutospacing="0" w:after="0" w:afterAutospacing="0" w:line="560" w:lineRule="exact"/>
        <w:ind w:firstLine="880" w:firstLineChars="200"/>
        <w:jc w:val="center"/>
        <w:rPr>
          <w:rStyle w:val="9"/>
          <w:rFonts w:hint="default" w:ascii="Times New Roman" w:hAnsi="Times New Roman" w:eastAsia="方正小标宋_GBK" w:cs="Times New Roman"/>
          <w:b w:val="0"/>
          <w:bCs/>
          <w:color w:val="333333"/>
          <w:sz w:val="44"/>
          <w:szCs w:val="44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880" w:firstLineChars="200"/>
        <w:jc w:val="center"/>
        <w:rPr>
          <w:rFonts w:hint="default" w:ascii="Times New Roman" w:hAnsi="Times New Roman" w:eastAsia="方正小标宋_GBK" w:cs="Times New Roman"/>
          <w:bCs/>
          <w:color w:val="333333"/>
          <w:sz w:val="44"/>
          <w:szCs w:val="44"/>
        </w:rPr>
      </w:pPr>
      <w:r>
        <w:rPr>
          <w:rStyle w:val="9"/>
          <w:rFonts w:hint="default" w:ascii="Times New Roman" w:hAnsi="Times New Roman" w:eastAsia="方正小标宋_GBK" w:cs="Times New Roman"/>
          <w:b w:val="0"/>
          <w:bCs/>
          <w:color w:val="333333"/>
          <w:sz w:val="44"/>
          <w:szCs w:val="44"/>
          <w:shd w:val="clear" w:color="auto" w:fill="FFFFFF"/>
        </w:rPr>
        <w:t>平台申报材料提纲（模板）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一、平台概况及相应资质证明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（一）平台简介（含平台概况、主要业务情况等）、2025年6月至今任意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个月的依法纳税和缴纳社保的证明材料。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（二）平台发放其他省份电影消费券案例及经验做法（不少于3个省、市的类似经验，需提供合同或甲方加盖公章的验收材料加以证明）。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（三）《关于公开征选2026年乌鲁木齐电影消费券发放平台的通知》中“一、发放平台应具备的条件”所要求的证明材料。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二、发放方案（评审分值50分）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（一）专区搭建；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（二）活动实施；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（三）技术支持；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（四）宣传推广；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（五）数据收集；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（六）客诉处理；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（七）风险防控；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（八）资金结算；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（九）预期成效。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三、保障措施（评审分值50分）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（一）风险防控；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（二）投诉及应急处理；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（三）结算和财务；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（四）团队组成。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评审小组将对</w:t>
      </w:r>
      <w:r>
        <w:rPr>
          <w:rFonts w:hint="eastAsia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申报材料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进行审查，评审得分由高到低排序，排名第1的企业入选票务平台企业。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附件1.2</w:t>
      </w:r>
    </w:p>
    <w:p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小标宋_GBK" w:cs="Times New Roman"/>
          <w:color w:val="333333"/>
          <w:sz w:val="44"/>
          <w:szCs w:val="44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center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color w:val="333333"/>
          <w:sz w:val="44"/>
          <w:szCs w:val="44"/>
          <w:shd w:val="clear" w:color="auto" w:fill="FFFFFF"/>
        </w:rPr>
        <w:t>评分标准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本次评审总分100分，其中发放方案50分、保障措施50分，按四个档次评定。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一、发放方案（50分）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（一）专区搭建（5分）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第一档（4—5分）：完成全国电影票务系统对接，覆盖乌鲁木齐省95%以上影院；乌鲁木齐专属专区设计完整，实现抢券、购票、核销全闭环，贴合活动主题。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第二档（2—3分）：完成系统对接，覆盖乌鲁木齐省90%-94%影院；专区设计完整，闭环流程顺畅，主题适配度良好。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第三档（1分）：完成基础对接，覆盖乌鲁木齐省80%-89%影院；专区框架完整，闭环流程偶有卡顿。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第四档（0分）：未提供专区搭建方案或其内容与本项目无关。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（二）活动实施（8分）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第一档（6—8分）：完全贴合发放规则；能够叠加平台专属优惠，在重要时间节点活动方案翔实、可落地。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第二档（3—5分）：贴合发放规则，叠加基础优惠；节点活动有完整方案，执行路径清晰。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第三档（1—2分）：基本贴合发放规则，无叠加优惠；节点活动仅提及方向，执行方案不具体。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第四档（0分）：未提供执行方案或其内容与本项目无关。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（三）技术支持（7分）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第一档（5—7分）：系统高并发承载能力强，抢券无卡顿；具备消费者信息核验能力；故障响应≤10分钟，实时监控系统运行。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第二档（2—4分）：系统稳定，支持常规并发；具备基础核验能力；故障响应≤30分钟，可快速处置。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第三档（1分）：系统无重大故障，并发承载有限；核验能力薄弱；故障响应≤60分钟，处置效率低。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第四档（0分）：未提供技术支持或其内容与本项目无关。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（四）宣传推广（7分）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第一档（5—7分）：多渠道（自有+主流媒体）宣传，精准推送方案详实；节点联动宣传策划完整，可显著提升核销率。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第二档（2—4分）：多渠道宣传，精准推送有可行方案；节点联动宣传有规划，能有效提升曝光度。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第三档（1分）：单一渠道宣传，无精准推送设计；节点宣传仅提及，策划内容不具体。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第四档（0分）：未提供宣传推广方案或其内容与本项目无关。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（五）数据收集（5分）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第一档（4—5分）：可收集全维度脱敏数据（订单ID、影院、补贴金额等）；实时报送数据，具备专业复盘分析能力，适配审计要求。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第二档（2—3分）：可收集核心脱敏数据；按时报送数据，具备基础数据分析能力。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第三档（1分）：仅收集基础数据，脱敏不完整；数据报送滞后，无数据分析能力。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第四档（0分）：未提供数据收集方案或其内容与本项目无关。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（六）客诉处理（5分）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第一档（4—5分）：专业客服团队，响应≤5分钟；投诉处理全闭环，满意度≥95%；可快速解决消费券各类使用问题。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第二档（2—3分）：客服团队完善，响应≤15分钟；流程闭环，满意度≥85%；可解决多数常见问题。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第三档（1分）：客服团队基础，响应≤30分钟；流程存在断点，满意度≥70%；仅能处理简单咨询。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第四档（0分）：未提供客诉处理方案或其内容与本项目无关。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（七）风险防控（7分）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第一档（5—7分）：健全防套利、防套现、防外挂机制；动态监控资金流向，风险预警及时，处置方案完善。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第二档（2—4分）：具备基础风控机制；可防范常规违规行为，资金监控到位，处置方案可行。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第三档（1分）：风控机制薄弱；仅能防范简单违规，资金监控滞后，无完善处置方案。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第四档（0分）：未提供风险防控方案或其内容与本项目无关。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（八）资金结算（4分）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第一档（4分）：资金结算方案内容完整，覆盖结算流程、对账机制、付款申请、票据管理、回款保障、异常处理、资料归档等全流程，无缺项漏项。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第二档（2—3分）：结算流程符合国家财经法规、采购合同约定及采购及财务管理制度，条款合法合规、权责清晰，无违规风险。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第三档（1分）：明确结算周期、对账节点、付款时限、票据开具与传递要求，制度规范、可落地执行。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第四档（0分）：未提供相关方案或其内容与本项目无关。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（九）预期成效（2分）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第一档（2分）：完全贴合绩效目标，可精准拉动消费、培育观影群体、助力行业发展，成效可量化。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第二档（1分）：贴合绩效目标，可有效拉动消费，成效可初步量化。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第三档（0分）：基本贴合绩效目标，消费拉动效果有限，无量化数据。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二、保障措施（50分）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（一）风险防控（15分）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第一档（11—15分）：风控机制健全，技术+人工双重防控；全流程风险动态监测，应急预案完善，可快速处置各类风险。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第二档（6—10分）：风控机制完善，核心环节防控到位；常态化风险监测，应急预案可行。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第三档（1—5分）：风控机制基础，仅覆盖部分核心环节；无常态化监测，应急预案简单笼统。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第四档（0分）：未提供相关方案或其内容与本项目无关。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（二）投诉及应急处理（12分）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第一档（9—12分）：专业团队配置充足，24小时响应；应急预案覆盖各类突发场景，闭环复盘机制完善。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第二档（5—8分）：专业团队配置齐全，工作时间快速响应；应急预案覆盖核心突发场景，有复盘机制。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第三档（1—4分）：团队配置基础，响应不及时；应急预案仅覆盖少数场景，无复盘机制。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第四档（0分）：团队配置缺失或未提供相关方案或其内容与本项目无关。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（三）结算和财务（13分）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第一档（10—13分）：财务会计制度健全，配套资金证明充分有效；资金台账规范，主动配合审计与绩效评估。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第二档（6—9分）：财务制度完善，配套资金证明齐全；台账规范，积极配合审计与评估。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第三档（1—5分）：财务制度基础，配套资金证明完整；台账存在瑕疵，被动配合审计工作。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第四档（0分）：未提供相关方案或其内容与本项目无关。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（四）团队组成（10分）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第一档（8—10分）：专业团队架构完整、经验丰富，对接机制高效顺畅。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第二档（4—7分）：团队架构完整、有同类活动经验，对接顺畅。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第三档（1—3分）：团队架构基础、相关经验不足，对接效率偏低。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第四档（0分）：未提供具体负责人信息或团队架构简单或团队无相关经验。</w:t>
      </w: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hint="default" w:ascii="Times New Roman" w:hAnsi="Times New Roman" w:eastAsia="方正黑体_GBK" w:cs="Times New Roman"/>
          <w:bCs/>
          <w:color w:val="333333"/>
          <w:sz w:val="32"/>
          <w:szCs w:val="32"/>
        </w:rPr>
      </w:pPr>
      <w:r>
        <w:rPr>
          <w:rStyle w:val="9"/>
          <w:rFonts w:hint="default" w:ascii="Times New Roman" w:hAnsi="Times New Roman" w:eastAsia="方正黑体_GBK" w:cs="Times New Roman"/>
          <w:b w:val="0"/>
          <w:bCs/>
          <w:color w:val="333333"/>
          <w:sz w:val="32"/>
          <w:szCs w:val="32"/>
          <w:shd w:val="clear" w:color="auto" w:fill="FFFFFF"/>
        </w:rPr>
        <w:t>附件2-1</w:t>
      </w:r>
    </w:p>
    <w:p>
      <w:pPr>
        <w:pStyle w:val="6"/>
        <w:spacing w:before="0" w:beforeAutospacing="0" w:after="0" w:afterAutospacing="0" w:line="560" w:lineRule="exact"/>
        <w:ind w:firstLine="880" w:firstLineChars="200"/>
        <w:jc w:val="center"/>
        <w:rPr>
          <w:rStyle w:val="9"/>
          <w:rFonts w:hint="default" w:ascii="Times New Roman" w:hAnsi="Times New Roman" w:eastAsia="方正小标宋_GBK" w:cs="Times New Roman"/>
          <w:b w:val="0"/>
          <w:bCs/>
          <w:color w:val="333333"/>
          <w:sz w:val="44"/>
          <w:szCs w:val="44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880" w:firstLineChars="200"/>
        <w:jc w:val="center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Style w:val="9"/>
          <w:rFonts w:hint="default" w:ascii="Times New Roman" w:hAnsi="Times New Roman" w:eastAsia="方正小标宋_GBK" w:cs="Times New Roman"/>
          <w:b w:val="0"/>
          <w:bCs/>
          <w:color w:val="333333"/>
          <w:sz w:val="44"/>
          <w:szCs w:val="44"/>
          <w:shd w:val="clear" w:color="auto" w:fill="FFFFFF"/>
        </w:rPr>
        <w:t>电影消费券发放计划介绍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</w:pP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一、活动概述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96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pacing w:val="-11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shd w:val="clear" w:color="auto" w:fill="FFFFFF"/>
        </w:rPr>
        <w:t>活动时间：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highlight w:val="none"/>
          <w:shd w:val="clear" w:color="auto" w:fill="FFFFFF"/>
          <w:lang w:val="en-US" w:eastAsia="zh-CN"/>
        </w:rPr>
        <w:t>活动启动之日</w:t>
      </w:r>
      <w:r>
        <w:rPr>
          <w:rFonts w:hint="default" w:ascii="Times New Roman" w:hAnsi="Times New Roman" w:eastAsia="方正仿宋_GBK" w:cs="Times New Roman"/>
          <w:color w:val="auto"/>
          <w:spacing w:val="-11"/>
          <w:sz w:val="32"/>
          <w:szCs w:val="32"/>
          <w:highlight w:val="none"/>
          <w:shd w:val="clear" w:color="auto" w:fill="FFFFFF"/>
        </w:rPr>
        <w:t>至2026年9月30日</w:t>
      </w:r>
      <w:r>
        <w:rPr>
          <w:rFonts w:hint="eastAsia" w:ascii="Times New Roman" w:hAnsi="Times New Roman" w:eastAsia="方正仿宋_GBK" w:cs="Times New Roman"/>
          <w:color w:val="auto"/>
          <w:spacing w:val="-11"/>
          <w:sz w:val="32"/>
          <w:szCs w:val="32"/>
          <w:highlight w:val="none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-11"/>
          <w:kern w:val="2"/>
          <w:sz w:val="32"/>
          <w:szCs w:val="32"/>
          <w:highlight w:val="none"/>
          <w:lang w:val="en-US" w:eastAsia="zh-CN" w:bidi="ar-SA"/>
        </w:rPr>
        <w:t>资金用完为止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活动目标：丰富居民文化生活，扩大乌鲁木齐电影消费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主办单位：市委宣传部、市商务局、市发改委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二、平台选择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通过公开征选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，确定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1家平台进行发放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三、资金来源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财政出资：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自治区财政专项资金（预算约500万元）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合作平台配套资金：合作平台需提供包括但不限于多渠道活动传播，配合发布消费券使用攻略、影院推荐、热门影讯，动员影院投放物料等配套营销方案，形成“平台+商户”联动矩阵效应，配套总资金不少于：50万元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四、发放方式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电影消费券通过线上合作平台发放，以“单票立减活动+多样营销活动”形式叠加发放，资金核销完毕即止。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（一）单票立减活动（政府资金）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每天10：00定时发放，限量上线单票立减补贴，用户无需领取，在活动影院购票时自动抵扣，先到先得。每个ID用户每天可领取并使用2张。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（二）多样营销活动活动（平台资金不少于50万元）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每日随机开展，包括但不限于天降红包，买一赠一活动，排片红包，购票立减等。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color w:val="333333"/>
          <w:sz w:val="32"/>
          <w:szCs w:val="32"/>
          <w:shd w:val="clear" w:color="auto" w:fill="FFFFFF"/>
        </w:rPr>
        <w:t>（三）资金分配规则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单票立减活动使用政府资金，本项目资金于双方签订协议后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分批次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支付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  <w:lang w:eastAsia="zh-CN"/>
        </w:rPr>
        <w:t>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shd w:val="clear" w:color="auto" w:fill="FFFFFF"/>
        </w:rPr>
        <w:t>政府资金未到位前，由平台先行垫资。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五、参与对象与活动影院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参与对象：乌鲁木齐市居民及手机定位在乌鲁木齐的市民及游客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val="en-US" w:eastAsia="zh-CN"/>
        </w:rPr>
        <w:t>活动影院：市委宣传部遴选、推荐我市重点影院。影院需同时满足以下全部条件：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bidi="ar"/>
        </w:rPr>
        <w:t>注册经营、院线放映地址位于乌鲁木齐市行政辖区内，具备合法放映资质。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>持有有效营业执照、电影放映经营许可证、消防安全验收合格证明，全部证照均在有效期内；</w:t>
      </w:r>
    </w:p>
    <w:p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bidi="ar"/>
        </w:rPr>
        <w:t>常态化正常营业放映，近12个月无文旅、市场监管、税务行政处罚记录，无财政补贴失信、套取财政补贴黑名单记录；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接受有关主管部门为审核本项目而进行的必要核查。</w:t>
      </w:r>
      <w:r>
        <w:rPr>
          <w:rFonts w:hint="default" w:ascii="Times New Roman" w:hAnsi="Times New Roman" w:cs="Times New Roman"/>
        </w:rPr>
        <w:commentReference w:id="0"/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shd w:val="clear" w:color="auto" w:fill="FFFFFF"/>
          <w:lang w:eastAsia="zh-CN"/>
        </w:rPr>
        <w:t>（三）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适用影片：活动期间所有上映影片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六、资金拨付、使用与管理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shd w:val="clear" w:color="auto" w:fill="FFFFFF"/>
        </w:rPr>
        <w:t>乌鲁木齐市商务局与平台企业签订活动协议，明确资金拨付、管理、使用、结算、计息、退回等相关权责事宜。如清算发现有未核销资金，发放平台企业按照清算的未核销金额，将剩余资金按期原渠道退回财政资金账户。要求平台提供脱敏订单数据（含订单ID、影院信息、补贴金额等），配合政府审计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  <w:highlight w:val="none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highlight w:val="none"/>
          <w:shd w:val="clear" w:color="auto" w:fill="FFFFFF"/>
        </w:rPr>
        <w:t>七、绩效目标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（一）刺激电影消费增长，并带动关联产业发展。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（二）巩固和培养乌鲁木齐观影群体，让电影这一文化产品惠及更多群众。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（三）通过降低观众购票成本，吸引观众回到影院，稳定电影市场信心，促进电影行业健康发展。</w:t>
      </w:r>
    </w:p>
    <w:p>
      <w:pPr>
        <w:pStyle w:val="6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方正黑体_GBK" w:cs="Times New Roman"/>
          <w:color w:val="333333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333333"/>
          <w:sz w:val="32"/>
          <w:szCs w:val="32"/>
          <w:shd w:val="clear" w:color="auto" w:fill="FFFFFF"/>
        </w:rPr>
        <w:t>八、活动流程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第一阶段：1.前期调研并制定活动方案。2.征选发放平台。通过组织专家评审比选确定票务发放平台。3.技术对接。平台完成技术开发与系统调试。4.活动宣传预热。设计宣传主题页，启动预热宣传。通过各大主流新闻媒体、新媒体开展宣传推广，提高消费者知晓度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第二阶段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电影消费券发放使用。在暑期档、中秋国庆档等时间节点开展领取优惠券惠民等系列活动，持续宣传推广，实时监控并调整资金发放进度。</w:t>
      </w:r>
    </w:p>
    <w:p>
      <w:pPr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第三阶段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：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shd w:val="clear" w:color="auto" w:fill="FFFFFF"/>
          <w:lang w:val="en-US" w:eastAsia="zh-CN" w:bidi="ar"/>
        </w:rPr>
        <w:t>活动结束后，及时组织资金清算、绩效评估等工作。对消费券资金使用效果实时跟踪和量化分析，为后续优化政策提供参考。</w:t>
      </w:r>
    </w:p>
    <w:p>
      <w:pPr>
        <w:rPr>
          <w:rFonts w:hint="default" w:ascii="Times New Roman" w:hAnsi="Times New Roman" w:cs="Times New Roman"/>
        </w:rPr>
      </w:pPr>
    </w:p>
    <w:sectPr>
      <w:footerReference r:id="rId5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ily" w:date="2026-07-01T17:18:00Z" w:initials="">
    <w:p w14:paraId="48230029">
      <w:pPr>
        <w:pStyle w:val="3"/>
        <w:rPr>
          <w:rFonts w:hint="eastAsia"/>
        </w:rPr>
      </w:pPr>
      <w:r>
        <w:rPr>
          <w:rFonts w:hint="eastAsia"/>
        </w:rPr>
        <w:t>红色字体为新增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823002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OqXm5zwAAAAUBAAAPAAAAAAAA&#10;AAEAIAAAACIAAABkcnMvZG93bnJldi54bWxQSwECFAAUAAAACACHTuJAO2jeE+IBAADMAwAADgAA&#10;AAAAAAABACAAAAAe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ily">
    <w15:presenceInfo w15:providerId="None" w15:userId="lil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5B590A"/>
    <w:rsid w:val="31D6746F"/>
    <w:rsid w:val="3B7F5BC7"/>
    <w:rsid w:val="440D43FE"/>
    <w:rsid w:val="58670310"/>
    <w:rsid w:val="5F9B1017"/>
    <w:rsid w:val="605B590A"/>
    <w:rsid w:val="64103515"/>
    <w:rsid w:val="71D22AF4"/>
    <w:rsid w:val="F7F581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line="500" w:lineRule="exact"/>
    </w:pPr>
    <w:rPr>
      <w:rFonts w:ascii="Calibri" w:hAnsi="Calibri"/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5770</Words>
  <Characters>5908</Characters>
  <Lines>0</Lines>
  <Paragraphs>0</Paragraphs>
  <TotalTime>77.3333333333333</TotalTime>
  <ScaleCrop>false</ScaleCrop>
  <LinksUpToDate>false</LinksUpToDate>
  <CharactersWithSpaces>5911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2026-07-09T21:50:00Z</dcterms:created>
  <dc:creator>zhang</dc:creator>
  <cp:lastModifiedBy>ThinkCentre</cp:lastModifiedBy>
  <cp:lastPrinted>2026-07-09T23:30:00Z</cp:lastPrinted>
  <dcterms:modified xsi:type="dcterms:W3CDTF">2026-07-09T11:00:48Z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FF82F11583464C44BBB88C20AD5B9147</vt:lpwstr>
  </property>
</Properties>
</file>