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2817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sz w:val="44"/>
          <w:szCs w:val="44"/>
          <w:lang w:val="en-US" w:eastAsia="zh-CN"/>
        </w:rPr>
      </w:pPr>
      <w:bookmarkStart w:id="0" w:name="_GoBack"/>
      <w:r>
        <w:rPr>
          <w:rFonts w:hint="eastAsia" w:ascii="方正小标宋_GBK" w:hAnsi="方正小标宋_GBK" w:eastAsia="方正小标宋_GBK" w:cs="方正小标宋_GBK"/>
          <w:sz w:val="44"/>
          <w:szCs w:val="44"/>
          <w:lang w:val="en-US" w:eastAsia="zh-CN"/>
        </w:rPr>
        <w:t>废止的乌鲁木齐市交通运输局规范性文件目录</w:t>
      </w:r>
    </w:p>
    <w:bookmarkEnd w:id="0"/>
    <w:p w14:paraId="27A4726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sz w:val="44"/>
          <w:szCs w:val="44"/>
          <w:lang w:val="en-US" w:eastAsia="zh-CN"/>
        </w:rPr>
      </w:pPr>
    </w:p>
    <w:p w14:paraId="6202E2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1.《关于印发乌鲁木齐市城市公共汽车客运特许经营权招投标管理规定的通知》（乌城交发〔2006〕389号）</w:t>
      </w:r>
    </w:p>
    <w:p w14:paraId="372B3F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2.《关于印发乌鲁木齐市城市公共汽车客运管理条例实施细则的通知》（乌城交发〔2007〕238号）</w:t>
      </w:r>
    </w:p>
    <w:p w14:paraId="2080A72C">
      <w:pPr>
        <w:ind w:firstLine="640"/>
        <w:jc w:val="left"/>
        <w:rPr>
          <w:rFonts w:hint="default" w:ascii="Times New Roman" w:hAnsi="Times New Roman" w:eastAsia="方正仿宋_GBK" w:cs="Times New Roman"/>
          <w:sz w:val="32"/>
          <w:lang w:eastAsia="zh-CN"/>
        </w:rPr>
      </w:pPr>
      <w:r>
        <w:rPr>
          <w:rFonts w:hint="default" w:ascii="Times New Roman" w:hAnsi="Times New Roman" w:eastAsia="方正仿宋_GBK" w:cs="Times New Roman"/>
          <w:sz w:val="32"/>
          <w:szCs w:val="32"/>
          <w:lang w:val="en-US" w:eastAsia="zh-CN"/>
        </w:rPr>
        <w:t>3.《关于因公致残人民警察免费乘坐市内公共汽车的通知》（</w:t>
      </w:r>
      <w:r>
        <w:rPr>
          <w:rFonts w:hint="default" w:ascii="Times New Roman" w:hAnsi="Times New Roman" w:eastAsia="方正仿宋_GBK" w:cs="Times New Roman"/>
          <w:sz w:val="32"/>
        </w:rPr>
        <w:t>乌城交发〔2009〕275号</w:t>
      </w:r>
      <w:r>
        <w:rPr>
          <w:rFonts w:hint="default" w:ascii="Times New Roman" w:hAnsi="Times New Roman" w:eastAsia="方正仿宋_GBK" w:cs="Times New Roman"/>
          <w:sz w:val="32"/>
          <w:lang w:eastAsia="zh-CN"/>
        </w:rPr>
        <w:t>）</w:t>
      </w:r>
    </w:p>
    <w:p w14:paraId="4752A8AE">
      <w:pPr>
        <w:ind w:firstLine="640"/>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4.关于印发《乌鲁木齐市公交车辆3G视频监控系统使用管理办法的通知》（乌城交发〔2011〕274号）</w:t>
      </w:r>
    </w:p>
    <w:p w14:paraId="6BEE1FC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5.《关于印发乌鲁木齐市公共汽车安全文明乘车规定（试行）的通知》（乌交发〔2013〕259号）</w:t>
      </w:r>
    </w:p>
    <w:p w14:paraId="0809A5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6.《关于重新修订&lt;乌鲁木齐市客运出租汽车管理条例&gt;&lt;城市公共汽车管理条例&gt;行政处罚自由裁量标准的通知》（乌交发〔2013〕382号）</w:t>
      </w:r>
    </w:p>
    <w:p w14:paraId="61A33B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7.《关于进一步规范米东区公交线路营运管理的通知》（乌交发〔2016〕146号）</w:t>
      </w:r>
    </w:p>
    <w:p w14:paraId="5EFACE75"/>
    <w:sectPr>
      <w:pgSz w:w="11906" w:h="16838"/>
      <w:pgMar w:top="2098" w:right="1531" w:bottom="1984"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9B6010"/>
    <w:rsid w:val="410F7CF9"/>
    <w:rsid w:val="5F9B6010"/>
    <w:rsid w:val="65E22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2026-08-04T11:15:00Z</dcterms:created>
  <dc:creator>卢烽火</dc:creator>
  <cp:lastModifiedBy>卢烽火</cp:lastModifiedBy>
  <dcterms:modified xsi:type="dcterms:W3CDTF">2026-08-04T11:16:41Z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F7BBB818A6EC4C05AB10C7A9CD59271E_11</vt:lpwstr>
  </property>
</Properties>
</file>