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F3D655">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w:t>
      </w:r>
      <w:r>
        <w:rPr>
          <w:rFonts w:hint="eastAsia" w:ascii="方正小标宋简体" w:hAnsi="方正小标宋简体" w:eastAsia="方正小标宋简体" w:cs="方正小标宋简体"/>
          <w:kern w:val="0"/>
          <w:sz w:val="44"/>
          <w:szCs w:val="44"/>
          <w:lang w:val="en-US" w:eastAsia="zh-CN"/>
        </w:rPr>
        <w:t>关于</w:t>
      </w:r>
      <w:r>
        <w:rPr>
          <w:rFonts w:hint="eastAsia" w:ascii="方正小标宋简体" w:hAnsi="方正小标宋简体" w:eastAsia="方正小标宋简体" w:cs="方正小标宋简体"/>
          <w:kern w:val="0"/>
          <w:sz w:val="44"/>
          <w:szCs w:val="44"/>
        </w:rPr>
        <w:t>乌鲁木齐天山国际机场净空保护区域</w:t>
      </w:r>
    </w:p>
    <w:p w14:paraId="2F139FB8">
      <w:pPr>
        <w:keepNext w:val="0"/>
        <w:keepLines w:val="0"/>
        <w:pageBreakBefore w:val="0"/>
        <w:widowControl w:val="0"/>
        <w:kinsoku/>
        <w:wordWrap/>
        <w:overflowPunct/>
        <w:topLinePunct w:val="0"/>
        <w:autoSpaceDE/>
        <w:autoSpaceDN/>
        <w:bidi w:val="0"/>
        <w:adjustRightInd/>
        <w:snapToGrid/>
        <w:spacing w:line="72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rPr>
        <w:t>通告》的起草说明</w:t>
      </w:r>
    </w:p>
    <w:p w14:paraId="73C4CA68">
      <w:pPr>
        <w:spacing w:line="560" w:lineRule="exact"/>
        <w:rPr>
          <w:rFonts w:ascii="仿宋" w:hAnsi="仿宋" w:eastAsia="仿宋" w:cs="仿宋"/>
          <w:sz w:val="32"/>
          <w:szCs w:val="32"/>
        </w:rPr>
      </w:pPr>
    </w:p>
    <w:p w14:paraId="719962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一、制定必要性</w:t>
      </w:r>
    </w:p>
    <w:p w14:paraId="646F09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近年来，随着乌鲁木齐城市快速发展，乌鲁木齐机场周围的净空管理工作趋于多元化、复杂化现象，是影响航空器飞行安全和机场运行安全的重要隐患，直接威胁航空器飞行安全。因此为有效降低此类风险，切实加强我市机场净空保护</w:t>
      </w:r>
      <w:r>
        <w:rPr>
          <w:rFonts w:hint="eastAsia" w:ascii="仿宋" w:hAnsi="仿宋" w:eastAsia="仿宋" w:cs="仿宋"/>
          <w:sz w:val="32"/>
          <w:szCs w:val="32"/>
          <w:lang w:val="en-US" w:eastAsia="zh-CN"/>
        </w:rPr>
        <w:t>区域</w:t>
      </w:r>
      <w:r>
        <w:rPr>
          <w:rFonts w:hint="eastAsia" w:ascii="仿宋" w:hAnsi="仿宋" w:eastAsia="仿宋" w:cs="仿宋"/>
          <w:sz w:val="32"/>
          <w:szCs w:val="32"/>
        </w:rPr>
        <w:t>管理，强化人民群众对机场净空保护安全意识，对确保航空运行绝对安全和人民群众生命财产安全具有重要意义。结合我市实际，并充分借鉴内地城市的相关政策文件，制定了《关于乌鲁木齐天山国际机场净空保护区域通告》</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以下简称“</w:t>
      </w:r>
      <w:r>
        <w:rPr>
          <w:rFonts w:hint="eastAsia" w:ascii="仿宋" w:hAnsi="仿宋" w:eastAsia="仿宋" w:cs="仿宋"/>
          <w:sz w:val="32"/>
          <w:szCs w:val="32"/>
        </w:rPr>
        <w:t>《通告》</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w:t>
      </w:r>
      <w:r>
        <w:rPr>
          <w:rFonts w:hint="eastAsia" w:ascii="仿宋" w:hAnsi="仿宋" w:eastAsia="仿宋" w:cs="仿宋"/>
          <w:sz w:val="32"/>
          <w:szCs w:val="32"/>
        </w:rPr>
        <w:t>。</w:t>
      </w:r>
    </w:p>
    <w:p w14:paraId="58431F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二、制定依据</w:t>
      </w:r>
    </w:p>
    <w:p w14:paraId="16A2A6F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依据《中华人民共和国民用航空法》《民用机场管理条例》《无人驾驶航空器飞行管理暂行条例》《运输机场净空保护管理办法》《新疆维吾尔自治区民用无人驾驶航空器安全管理规定》及《新疆维吾尔自治区运输机场净空和电磁环境保护管理暂行办法》等法律法规和有关规定，结合我市实际，制定本《通告》。</w:t>
      </w:r>
    </w:p>
    <w:p w14:paraId="41E4D5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三、制定可行性</w:t>
      </w:r>
    </w:p>
    <w:p w14:paraId="0FFA061B">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（一）法律依据充分，有法可依：</w:t>
      </w:r>
    </w:p>
    <w:p w14:paraId="05C9009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《通告》的起草并非凭空创造，而是严格依据《中华人民共和国民用航空法》、《民用机场管理条例》等国家法律法规以及行业标准，具有高度的合法性和权威性，执行起来有法可依。</w:t>
      </w:r>
    </w:p>
    <w:p w14:paraId="513377FB">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（二）技术标准成熟，界限明确：</w:t>
      </w:r>
    </w:p>
    <w:p w14:paraId="3E8EBA5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净空保护区</w:t>
      </w:r>
      <w:r>
        <w:rPr>
          <w:rFonts w:hint="eastAsia" w:ascii="仿宋" w:hAnsi="仿宋" w:eastAsia="仿宋" w:cs="仿宋"/>
          <w:sz w:val="32"/>
          <w:szCs w:val="32"/>
          <w:lang w:val="en-US" w:eastAsia="zh-CN"/>
        </w:rPr>
        <w:t>域</w:t>
      </w:r>
      <w:r>
        <w:rPr>
          <w:rFonts w:hint="eastAsia" w:ascii="仿宋" w:hAnsi="仿宋" w:eastAsia="仿宋" w:cs="仿宋"/>
          <w:sz w:val="32"/>
          <w:szCs w:val="32"/>
        </w:rPr>
        <w:t>的范围并非主观划定，而是基于民航管理机构批准的机场总体规划和飞行程序设计。这些技术标准是国际民航的通用准则，具有高度的科学性和精确性，使得保护区域的边界清晰、无争议，为规划审批、项目建设和日常监管提供了明确的技术依据。</w:t>
      </w:r>
    </w:p>
    <w:p w14:paraId="048F73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告》中禁止的行为，如禁止修建超高建筑、禁止无序升放无人机、禁止设置大功率无线电设备等，都是具体、可识别、可监管的行为。相关部门可以利用现有的技术手段（如规划测绘、空域监视、无线电监测）进行有效监控和查处。</w:t>
      </w:r>
    </w:p>
    <w:p w14:paraId="0E4EAB74">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（三）管理机制有基础，可衔接现有流程：</w:t>
      </w:r>
    </w:p>
    <w:p w14:paraId="7B142C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对于净空区内的建设项目审批，《通告》要求征得民航和机场管理机构同意，这实际上是将净空保护要求嵌入到了现有的城乡规划、建设项目审批流程中，是一种“关口前移”的预防性措施，增强了可行性。</w:t>
      </w:r>
    </w:p>
    <w:p w14:paraId="4E8D7D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随着无人机等“低慢小”航空器扰航事件的增多，社会公众对机场净空保护已有一定的认知基础。《通告》的发布将进一步起到普法宣传和警示教育的作用，有利于引导公众自觉遵守规定，降低执法成本。</w:t>
      </w:r>
    </w:p>
    <w:p w14:paraId="29CDC4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四、制定合理性</w:t>
      </w:r>
    </w:p>
    <w:p w14:paraId="16D438DB">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（一）以保障公共安全为核心目标</w:t>
      </w:r>
    </w:p>
    <w:p w14:paraId="1E86F15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告》的核心目标是保障航空安全，这关乎广大旅客和机组人员的生命财产安全，属于最高层级的公共利益。对局部区域的建设高度、部分活动（如无人机飞行）进行限制，是为了维护更大、更重要的公共利益，这种限制是必要且合理的，符合“小限制、大安全”的代价效益原则。其次航空安全无小事，任何隐患都可能酿成事故。《通告》采取的是一种前瞻性、预防性的风险管理策略，通过消除潜在威胁来避免事故发生，这比事后追责更为合理和有效。</w:t>
      </w:r>
    </w:p>
    <w:p w14:paraId="39E603C1">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bCs/>
          <w:sz w:val="32"/>
          <w:szCs w:val="32"/>
        </w:rPr>
      </w:pPr>
      <w:r>
        <w:rPr>
          <w:rFonts w:hint="eastAsia" w:ascii="楷体" w:hAnsi="楷体" w:eastAsia="楷体" w:cs="楷体"/>
          <w:bCs/>
          <w:sz w:val="32"/>
          <w:szCs w:val="32"/>
        </w:rPr>
        <w:t>（二）措施精准且具有针对性</w:t>
      </w:r>
    </w:p>
    <w:p w14:paraId="482AD8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告》的起草是基于乌鲁木齐市城市化快速发展、无人机普及等“现实管理需要”，它不是“一刀切”的盲目禁止，而是对可能产生具体危害的行为进行了明确列举，例如专门提到无人机、风筝、孔明灯等，体现了可能产生具体危害行为的针对性预防。</w:t>
      </w:r>
    </w:p>
    <w:p w14:paraId="11876C78">
      <w:pPr>
        <w:pStyle w:val="9"/>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 w:hAnsi="楷体" w:eastAsia="楷体" w:cs="楷体"/>
          <w:bCs/>
          <w:sz w:val="32"/>
          <w:szCs w:val="32"/>
        </w:rPr>
      </w:pPr>
      <w:r>
        <w:rPr>
          <w:rFonts w:hint="eastAsia" w:ascii="楷体" w:hAnsi="楷体" w:eastAsia="楷体" w:cs="楷体"/>
          <w:bCs/>
          <w:sz w:val="32"/>
          <w:szCs w:val="32"/>
        </w:rPr>
        <w:t>（三）平衡安全与发展的关系</w:t>
      </w:r>
    </w:p>
    <w:p w14:paraId="1358F13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净空</w:t>
      </w:r>
      <w:r>
        <w:rPr>
          <w:rFonts w:hint="eastAsia" w:ascii="仿宋" w:hAnsi="仿宋" w:eastAsia="仿宋" w:cs="仿宋"/>
          <w:sz w:val="32"/>
          <w:szCs w:val="32"/>
          <w:lang w:val="en-US" w:eastAsia="zh-CN"/>
        </w:rPr>
        <w:t>保护区域</w:t>
      </w:r>
      <w:r>
        <w:rPr>
          <w:rFonts w:hint="eastAsia" w:ascii="仿宋" w:hAnsi="仿宋" w:eastAsia="仿宋" w:cs="仿宋"/>
          <w:sz w:val="32"/>
          <w:szCs w:val="32"/>
        </w:rPr>
        <w:t>的范围是根据飞行安全的技术要求严格划定的，是保障安全所需的最小范围，并非随意扩大。这就在确保安全的前提下，尽可能减少了对城市发展的空间限制。</w:t>
      </w:r>
    </w:p>
    <w:p w14:paraId="1B5930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个安全、高效、可靠的国际航空枢纽是乌鲁木齐乃至新疆经济社会发展的重要引擎。保护机场的运行环境，本身就是优化营商环境、保障地区长远高质量发展的基础性工作。因此，《通告》看似是“限制”，实则是为更高级别的、可持续的“发展”保驾护航。</w:t>
      </w:r>
    </w:p>
    <w:p w14:paraId="283C01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五、制定目的及预期效果</w:t>
      </w:r>
    </w:p>
    <w:p w14:paraId="63BF04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告》本身也是一份重要的宣传文件，它的发布和实施，旨在通过公开发布，广泛告知社会公众和相关单位保护机场净空和电磁环境的重要性及基本要求，提升全社会共同维护飞行安全的意识。为相关管理部门开展日常监督、行政执法提供更明确的依据。同时有效预防和减少危害飞行安全的隐患，提升乌鲁木齐天山国际机场的安全运行水平，营造全社会共同维护民航飞行安全的良好氛围。</w:t>
      </w:r>
    </w:p>
    <w:p w14:paraId="510D9E6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六、起草过程</w:t>
      </w:r>
    </w:p>
    <w:p w14:paraId="193C50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2025年7月7日，新疆机场（集团）有限责任公司向市人民政府致函，协调发布《关于乌鲁木齐天山国际机场净空和电磁环境保护的通告》，我局作为该事宜牵头部门，会同乌鲁木齐国际机场分公司共同研究起草该《通告》。</w:t>
      </w:r>
    </w:p>
    <w:p w14:paraId="77B0601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（二）2025年7月24日，我局组织召集相关部门对《通告》进行了研究讨论，会后与乌鲁木齐国际机场分公司共同完善了《通告》的有关内容，并形成初稿。</w:t>
      </w:r>
    </w:p>
    <w:p w14:paraId="0304A7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（三）2025年8月6日，征求各区县及相关部门的意见建议。根据相关意见建议，修改并完善了《通告》中的有关内容。</w:t>
      </w:r>
    </w:p>
    <w:p w14:paraId="7AF69D5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（四）2025年9月18日，我局政策法规科对《通告》出具了合法性审核意见。</w:t>
      </w:r>
    </w:p>
    <w:p w14:paraId="5B27B4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（五）2025年9月22日，《通告》在政府网站公开征求社会意见。</w:t>
      </w:r>
    </w:p>
    <w:p w14:paraId="60B573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七、主要内容</w:t>
      </w:r>
    </w:p>
    <w:p w14:paraId="59749E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（一）依据相关法律法规，明确乌鲁木齐天山国际机场净空保护区域范围。</w:t>
      </w:r>
    </w:p>
    <w:p w14:paraId="0180AF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（二）明确乌鲁木齐天山国际机场净空保护</w:t>
      </w:r>
      <w:r>
        <w:rPr>
          <w:rFonts w:hint="eastAsia" w:ascii="仿宋" w:hAnsi="仿宋" w:eastAsia="仿宋" w:cs="仿宋"/>
          <w:sz w:val="32"/>
          <w:szCs w:val="32"/>
          <w:lang w:val="en-US" w:eastAsia="zh-CN"/>
        </w:rPr>
        <w:t>区域</w:t>
      </w:r>
      <w:r>
        <w:rPr>
          <w:rFonts w:hint="eastAsia" w:ascii="仿宋" w:hAnsi="仿宋" w:eastAsia="仿宋" w:cs="仿宋"/>
          <w:sz w:val="32"/>
          <w:szCs w:val="32"/>
        </w:rPr>
        <w:t>参照执行要求。</w:t>
      </w:r>
    </w:p>
    <w:p w14:paraId="5F2CFA42">
      <w:pPr>
        <w:pStyle w:val="9"/>
        <w:keepNext w:val="0"/>
        <w:keepLines w:val="0"/>
        <w:pageBreakBefore w:val="0"/>
        <w:widowControl w:val="0"/>
        <w:kinsoku/>
        <w:wordWrap/>
        <w:overflowPunct/>
        <w:topLinePunct w:val="0"/>
        <w:autoSpaceDE/>
        <w:autoSpaceDN/>
        <w:bidi w:val="0"/>
        <w:adjustRightInd/>
        <w:snapToGrid/>
        <w:spacing w:after="0" w:line="560" w:lineRule="exact"/>
        <w:ind w:firstLine="0" w:firstLineChars="0"/>
        <w:textAlignment w:val="auto"/>
        <w:rPr>
          <w:rFonts w:ascii="仿宋" w:hAnsi="仿宋" w:eastAsia="仿宋" w:cs="仿宋"/>
          <w:sz w:val="32"/>
          <w:szCs w:val="32"/>
        </w:rPr>
      </w:pPr>
    </w:p>
    <w:p w14:paraId="2CED724A">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rPr>
      </w:pPr>
      <w:bookmarkStart w:id="0" w:name="_GoBack"/>
      <w:bookmarkEnd w:id="0"/>
    </w:p>
    <w:sectPr>
      <w:pgSz w:w="11906" w:h="16838"/>
      <w:pgMar w:top="2098" w:right="1531" w:bottom="1985"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方正仿宋_GBK">
    <w:panose1 w:val="02000000000000000000"/>
    <w:charset w:val="86"/>
    <w:family w:val="script"/>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112580"/>
    <w:rsid w:val="000E2B40"/>
    <w:rsid w:val="00127D77"/>
    <w:rsid w:val="00163D8C"/>
    <w:rsid w:val="00174510"/>
    <w:rsid w:val="001F6C43"/>
    <w:rsid w:val="00200C67"/>
    <w:rsid w:val="00323F8D"/>
    <w:rsid w:val="00437104"/>
    <w:rsid w:val="00441C4C"/>
    <w:rsid w:val="00445F2A"/>
    <w:rsid w:val="00536DCF"/>
    <w:rsid w:val="005552DB"/>
    <w:rsid w:val="00555DCB"/>
    <w:rsid w:val="0059681C"/>
    <w:rsid w:val="00672980"/>
    <w:rsid w:val="00674E3A"/>
    <w:rsid w:val="006877CA"/>
    <w:rsid w:val="006A2028"/>
    <w:rsid w:val="006B4CAD"/>
    <w:rsid w:val="008D287A"/>
    <w:rsid w:val="008E2B0B"/>
    <w:rsid w:val="008F37D2"/>
    <w:rsid w:val="00956584"/>
    <w:rsid w:val="00A03ED5"/>
    <w:rsid w:val="00AF117F"/>
    <w:rsid w:val="00B974E3"/>
    <w:rsid w:val="00BB0416"/>
    <w:rsid w:val="00C616BB"/>
    <w:rsid w:val="00C80338"/>
    <w:rsid w:val="00CE324D"/>
    <w:rsid w:val="00D54E2A"/>
    <w:rsid w:val="00DA6E04"/>
    <w:rsid w:val="00DF56FB"/>
    <w:rsid w:val="00E4203C"/>
    <w:rsid w:val="00F92CC6"/>
    <w:rsid w:val="024E7C57"/>
    <w:rsid w:val="03230F34"/>
    <w:rsid w:val="03457747"/>
    <w:rsid w:val="04041061"/>
    <w:rsid w:val="0494504C"/>
    <w:rsid w:val="051D4572"/>
    <w:rsid w:val="058E35AC"/>
    <w:rsid w:val="065D2F5D"/>
    <w:rsid w:val="068B6266"/>
    <w:rsid w:val="07495524"/>
    <w:rsid w:val="08552ABB"/>
    <w:rsid w:val="08B56357"/>
    <w:rsid w:val="08BA0261"/>
    <w:rsid w:val="099C4110"/>
    <w:rsid w:val="0B487FC5"/>
    <w:rsid w:val="0B7A4561"/>
    <w:rsid w:val="0CE04385"/>
    <w:rsid w:val="0E1D6420"/>
    <w:rsid w:val="0F216961"/>
    <w:rsid w:val="10492F3D"/>
    <w:rsid w:val="10BB6702"/>
    <w:rsid w:val="11371EA7"/>
    <w:rsid w:val="117B11A5"/>
    <w:rsid w:val="11CA7EF2"/>
    <w:rsid w:val="1223766E"/>
    <w:rsid w:val="12737FD2"/>
    <w:rsid w:val="12893551"/>
    <w:rsid w:val="14F75781"/>
    <w:rsid w:val="16ED4C99"/>
    <w:rsid w:val="175066E8"/>
    <w:rsid w:val="18FF6912"/>
    <w:rsid w:val="19376A6C"/>
    <w:rsid w:val="1AD870D3"/>
    <w:rsid w:val="1B2E15BE"/>
    <w:rsid w:val="1C454170"/>
    <w:rsid w:val="1D01333C"/>
    <w:rsid w:val="1D0F709C"/>
    <w:rsid w:val="1E151D56"/>
    <w:rsid w:val="1FE54D2A"/>
    <w:rsid w:val="21923E0E"/>
    <w:rsid w:val="22F54B4B"/>
    <w:rsid w:val="233116FF"/>
    <w:rsid w:val="2344620C"/>
    <w:rsid w:val="24213FC6"/>
    <w:rsid w:val="270F2154"/>
    <w:rsid w:val="27A96AD1"/>
    <w:rsid w:val="2846412A"/>
    <w:rsid w:val="286E0564"/>
    <w:rsid w:val="293B3639"/>
    <w:rsid w:val="2A257B34"/>
    <w:rsid w:val="2ADB4461"/>
    <w:rsid w:val="2AE223F4"/>
    <w:rsid w:val="2BFF7474"/>
    <w:rsid w:val="2CB34A44"/>
    <w:rsid w:val="2D4221A4"/>
    <w:rsid w:val="2D902215"/>
    <w:rsid w:val="2F093B3A"/>
    <w:rsid w:val="2FF54A3C"/>
    <w:rsid w:val="30DF03BE"/>
    <w:rsid w:val="30FC77ED"/>
    <w:rsid w:val="310061F3"/>
    <w:rsid w:val="31217B62"/>
    <w:rsid w:val="329A5F94"/>
    <w:rsid w:val="33112580"/>
    <w:rsid w:val="3431732F"/>
    <w:rsid w:val="34841338"/>
    <w:rsid w:val="36F01431"/>
    <w:rsid w:val="36FE0747"/>
    <w:rsid w:val="3743669D"/>
    <w:rsid w:val="37741C3E"/>
    <w:rsid w:val="38265C2B"/>
    <w:rsid w:val="382F678D"/>
    <w:rsid w:val="38FB278B"/>
    <w:rsid w:val="39196D30"/>
    <w:rsid w:val="395D1F82"/>
    <w:rsid w:val="39953851"/>
    <w:rsid w:val="3BCB4B28"/>
    <w:rsid w:val="3CB90F2D"/>
    <w:rsid w:val="3D53112B"/>
    <w:rsid w:val="3D6029C0"/>
    <w:rsid w:val="3D650FB1"/>
    <w:rsid w:val="3E13270C"/>
    <w:rsid w:val="3E201779"/>
    <w:rsid w:val="3E235F81"/>
    <w:rsid w:val="3E954FBB"/>
    <w:rsid w:val="3FC16214"/>
    <w:rsid w:val="41D66632"/>
    <w:rsid w:val="427209B6"/>
    <w:rsid w:val="42833F2C"/>
    <w:rsid w:val="42F213E5"/>
    <w:rsid w:val="433C6442"/>
    <w:rsid w:val="434A343D"/>
    <w:rsid w:val="43C410DF"/>
    <w:rsid w:val="44842778"/>
    <w:rsid w:val="45210DC2"/>
    <w:rsid w:val="45A716B3"/>
    <w:rsid w:val="46190610"/>
    <w:rsid w:val="468423CC"/>
    <w:rsid w:val="46DD7EFC"/>
    <w:rsid w:val="471668EB"/>
    <w:rsid w:val="47BE41C3"/>
    <w:rsid w:val="48226466"/>
    <w:rsid w:val="49765A93"/>
    <w:rsid w:val="4AA34FE8"/>
    <w:rsid w:val="4B1E03C0"/>
    <w:rsid w:val="4B8628B2"/>
    <w:rsid w:val="4CC93984"/>
    <w:rsid w:val="4D2B2C7F"/>
    <w:rsid w:val="4DDF214F"/>
    <w:rsid w:val="4F2953FA"/>
    <w:rsid w:val="4F885330"/>
    <w:rsid w:val="50776590"/>
    <w:rsid w:val="510953CF"/>
    <w:rsid w:val="51AD2E1F"/>
    <w:rsid w:val="52121BB5"/>
    <w:rsid w:val="52784DDC"/>
    <w:rsid w:val="527E6CE5"/>
    <w:rsid w:val="52CF1922"/>
    <w:rsid w:val="53DA11A0"/>
    <w:rsid w:val="549B7B2E"/>
    <w:rsid w:val="54DB67C4"/>
    <w:rsid w:val="587363AB"/>
    <w:rsid w:val="58D4514B"/>
    <w:rsid w:val="595F2CF3"/>
    <w:rsid w:val="596C65C3"/>
    <w:rsid w:val="59B13835"/>
    <w:rsid w:val="5A0E3BCE"/>
    <w:rsid w:val="5A5466CB"/>
    <w:rsid w:val="5AC641E5"/>
    <w:rsid w:val="5D39498F"/>
    <w:rsid w:val="5D410A80"/>
    <w:rsid w:val="5E35651C"/>
    <w:rsid w:val="5E9C71C5"/>
    <w:rsid w:val="5F265317"/>
    <w:rsid w:val="602977A2"/>
    <w:rsid w:val="60D119FD"/>
    <w:rsid w:val="61AD678A"/>
    <w:rsid w:val="62680180"/>
    <w:rsid w:val="62B54C40"/>
    <w:rsid w:val="657948D2"/>
    <w:rsid w:val="659970BE"/>
    <w:rsid w:val="67290ACE"/>
    <w:rsid w:val="6794237B"/>
    <w:rsid w:val="68C5486F"/>
    <w:rsid w:val="699D5FD4"/>
    <w:rsid w:val="6A075683"/>
    <w:rsid w:val="6B2C79E4"/>
    <w:rsid w:val="6CA07428"/>
    <w:rsid w:val="6CB51253"/>
    <w:rsid w:val="6F1E385C"/>
    <w:rsid w:val="6F3068FA"/>
    <w:rsid w:val="6F8C2A74"/>
    <w:rsid w:val="6FFB1846"/>
    <w:rsid w:val="715B2707"/>
    <w:rsid w:val="72BF497E"/>
    <w:rsid w:val="72E24567"/>
    <w:rsid w:val="731A7405"/>
    <w:rsid w:val="74504CE3"/>
    <w:rsid w:val="7614162B"/>
    <w:rsid w:val="76C24423"/>
    <w:rsid w:val="772A798F"/>
    <w:rsid w:val="77820D50"/>
    <w:rsid w:val="7A8106A4"/>
    <w:rsid w:val="7AA86BA5"/>
    <w:rsid w:val="7B3E4154"/>
    <w:rsid w:val="7B412179"/>
    <w:rsid w:val="7B8668BB"/>
    <w:rsid w:val="7B8F5645"/>
    <w:rsid w:val="7B951248"/>
    <w:rsid w:val="7BB65505"/>
    <w:rsid w:val="7D61698E"/>
    <w:rsid w:val="7E646E35"/>
    <w:rsid w:val="7E931C6C"/>
    <w:rsid w:val="7EF36E0B"/>
    <w:rsid w:val="7FE755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widowControl/>
      <w:spacing w:before="260" w:after="260" w:line="416" w:lineRule="auto"/>
      <w:outlineLvl w:val="1"/>
    </w:pPr>
    <w:rPr>
      <w:rFonts w:ascii="Cambria" w:hAnsi="Cambria" w:eastAsia="宋体" w:cs="Times New Roman"/>
      <w:b/>
      <w:sz w:val="32"/>
      <w:szCs w:val="20"/>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rFonts w:ascii="Times New Roman" w:eastAsia="仿宋"/>
      <w:b/>
      <w:i/>
    </w:rPr>
  </w:style>
  <w:style w:type="paragraph" w:styleId="4">
    <w:name w:val="Body Text"/>
    <w:basedOn w:val="1"/>
    <w:unhideWhenUsed/>
    <w:qFormat/>
    <w:uiPriority w:val="99"/>
    <w:pPr>
      <w:spacing w:after="120"/>
    </w:pPr>
    <w:rPr>
      <w:rFonts w:ascii="Calibri" w:hAnsi="Calibri" w:eastAsia="宋体" w:cs="Times New Roman"/>
      <w:szCs w:val="22"/>
    </w:rPr>
  </w:style>
  <w:style w:type="paragraph" w:styleId="5">
    <w:name w:val="Balloon Text"/>
    <w:basedOn w:val="1"/>
    <w:link w:val="14"/>
    <w:qFormat/>
    <w:uiPriority w:val="0"/>
    <w:rPr>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Body Text First Indent"/>
    <w:basedOn w:val="4"/>
    <w:unhideWhenUsed/>
    <w:qFormat/>
    <w:uiPriority w:val="99"/>
    <w:pPr>
      <w:ind w:firstLine="420" w:firstLineChars="100"/>
    </w:pPr>
  </w:style>
  <w:style w:type="character" w:customStyle="1" w:styleId="12">
    <w:name w:val="页眉 字符"/>
    <w:basedOn w:val="11"/>
    <w:link w:val="7"/>
    <w:qFormat/>
    <w:uiPriority w:val="0"/>
    <w:rPr>
      <w:kern w:val="2"/>
      <w:sz w:val="18"/>
      <w:szCs w:val="18"/>
    </w:rPr>
  </w:style>
  <w:style w:type="character" w:customStyle="1" w:styleId="13">
    <w:name w:val="页脚 字符"/>
    <w:basedOn w:val="11"/>
    <w:link w:val="6"/>
    <w:qFormat/>
    <w:uiPriority w:val="0"/>
    <w:rPr>
      <w:kern w:val="2"/>
      <w:sz w:val="18"/>
      <w:szCs w:val="18"/>
    </w:rPr>
  </w:style>
  <w:style w:type="character" w:customStyle="1" w:styleId="14">
    <w:name w:val="批注框文本 字符"/>
    <w:basedOn w:val="11"/>
    <w:link w:val="5"/>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2132</Words>
  <Characters>2155</Characters>
  <Lines>16</Lines>
  <Paragraphs>4</Paragraphs>
  <TotalTime>3</TotalTime>
  <ScaleCrop>false</ScaleCrop>
  <LinksUpToDate>false</LinksUpToDate>
  <CharactersWithSpaces>2224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2022-04-16T09:54:00Z</dcterms:created>
  <dc:creator>刘星宇</dc:creator>
  <cp:lastModifiedBy>Administrator</cp:lastModifiedBy>
  <cp:lastPrinted>2023-01-11T05:01:00Z</cp:lastPrinted>
  <dcterms:modified xsi:type="dcterms:W3CDTF">2026-08-20T10:04:15Z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9FBBAB8AC0F44FD6BE4B7E5CD9E71EA2_13</vt:lpwstr>
  </property>
  <property fmtid="{D5CDD505-2E9C-101B-9397-08002B2CF9AE}" pid="4" name="KSOTemplateDocerSaveRecord">
    <vt:lpwstr>eyJoZGlkIjoiYWIxZDMyY2JhOGQ4MzAyZjA2YTg0Y2VmOTE3ZDU2MDQiLCJ1c2VySWQiOiIzNTkwNjUzMjUifQ==</vt:lpwstr>
  </property>
</Properties>
</file>