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1A2E7">
      <w:pPr>
        <w:keepNext w:val="0"/>
        <w:keepLines w:val="0"/>
        <w:pageBreakBefore w:val="0"/>
        <w:widowControl w:val="0"/>
        <w:kinsoku/>
        <w:wordWrap/>
        <w:topLinePunct w:val="0"/>
        <w:autoSpaceDE/>
        <w:autoSpaceDN/>
        <w:bidi w:val="0"/>
        <w:adjustRightInd/>
        <w:snapToGrid/>
        <w:spacing w:line="560" w:lineRule="exact"/>
        <w:textAlignment w:val="auto"/>
        <w:rPr>
          <w:rFonts w:hint="eastAsia"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eastAsia="zh-CN"/>
        </w:rPr>
        <w:t>附件</w:t>
      </w:r>
      <w:r>
        <w:rPr>
          <w:rFonts w:hint="default" w:ascii="Times New Roman" w:hAnsi="Times New Roman" w:eastAsia="方正黑体_GBK" w:cs="Times New Roman"/>
          <w:sz w:val="32"/>
          <w:szCs w:val="32"/>
          <w:highlight w:val="none"/>
          <w:lang w:val="en-US" w:eastAsia="zh-CN"/>
        </w:rPr>
        <w:t>3</w:t>
      </w:r>
    </w:p>
    <w:p w14:paraId="34C6BE78">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方正小标宋_GBK" w:hAnsi="方正小标宋_GBK" w:eastAsia="方正小标宋_GBK" w:cs="方正小标宋_GBK"/>
          <w:color w:val="auto"/>
          <w:sz w:val="36"/>
          <w:szCs w:val="36"/>
          <w:highlight w:val="none"/>
          <w:u w:val="none"/>
          <w:lang w:val="en-US" w:eastAsia="zh-CN"/>
        </w:rPr>
      </w:pPr>
      <w:bookmarkStart w:id="0" w:name="_Toc682"/>
      <w:bookmarkStart w:id="1" w:name="_Toc23121"/>
      <w:r>
        <w:rPr>
          <w:rFonts w:hint="eastAsia" w:ascii="方正小标宋_GBK" w:hAnsi="方正小标宋_GBK" w:eastAsia="方正小标宋_GBK" w:cs="方正小标宋_GBK"/>
          <w:color w:val="auto"/>
          <w:sz w:val="36"/>
          <w:szCs w:val="36"/>
          <w:highlight w:val="none"/>
          <w:u w:val="none"/>
          <w:lang w:val="en-US" w:eastAsia="zh-CN"/>
        </w:rPr>
        <w:t>相关政策依据</w:t>
      </w:r>
      <w:bookmarkEnd w:id="0"/>
      <w:bookmarkEnd w:id="1"/>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2985"/>
        <w:gridCol w:w="1900"/>
        <w:gridCol w:w="10385"/>
      </w:tblGrid>
      <w:tr w14:paraId="7CB3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386E87">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29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8DE2B9">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9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49C3A1">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3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2E065">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53E4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029654">
            <w:pPr>
              <w:spacing w:beforeLines="0" w:afterLines="0"/>
              <w:jc w:val="center"/>
              <w:rPr>
                <w:rFonts w:hint="eastAsia" w:ascii="Times New Roman" w:hAnsi="Times New Roman" w:eastAsia="宋体"/>
                <w:color w:val="auto"/>
                <w:sz w:val="18"/>
                <w:szCs w:val="18"/>
                <w:highlight w:val="none"/>
                <w:u w:val="none"/>
                <w:lang w:eastAsia="zh-CN"/>
              </w:rPr>
            </w:pPr>
            <w:r>
              <w:rPr>
                <w:rFonts w:hint="eastAsia" w:ascii="Times New Roman" w:hAnsi="Times New Roman"/>
                <w:color w:val="auto"/>
                <w:sz w:val="18"/>
                <w:szCs w:val="18"/>
                <w:highlight w:val="none"/>
                <w:u w:val="none"/>
                <w:lang w:val="en-US" w:eastAsia="zh-CN"/>
              </w:rPr>
              <w:t>1</w:t>
            </w:r>
          </w:p>
        </w:tc>
        <w:tc>
          <w:tcPr>
            <w:tcW w:w="29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8427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第一条 严格执行工资支付保障制度。</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依据《政府投资条例》《国务院办公厅关于深化审批制度改革的意见》《新疆维吾尔自治区政府投资管理办法》等文件要求，市发展改革部门对没有明确资金来源的政府投资项目，一律不予审批；同时，对于政府投资项目是否符合发展建设规划、区域规划、产业政策以及资金筹措等建设条件落实情况进行重点审查，确保各项建设和运行条件保障到位。行业主管部门落实监管责任，对建设资金不到位的国企项目和社会投资项目，不得开工建设。住建、交通、水务等行业主管部门在核发施工许可或开工批复报告时，督促总包单位同步开设农民工工资专用账户、缴纳农民工工资保证金或提供银行（保险）保函，并对实名制管理和工程款支付担保制度落实情况进行监督检查；人社部门牵头对农民工工资支付制度落实和农民工工资专用账户资金使用情况加强监督检查；对未落实工资支付保障制度的，人社部门、行业主管部门按照工作职责，依据《保障农民工工资支付条例》相关规定，依法依规作出相应处理。</w:t>
            </w:r>
          </w:p>
        </w:tc>
        <w:tc>
          <w:tcPr>
            <w:tcW w:w="19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8180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1.《保障农民工工资支付条例》（国务院令第724号）</w:t>
            </w:r>
          </w:p>
          <w:p w14:paraId="603375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2.《新疆维吾尔自治区政府投资管理办法》（新疆维吾尔自治区人民政府令第247号）</w:t>
            </w:r>
          </w:p>
          <w:p w14:paraId="0D00E7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3.《自治区人力资源和社会保障厅等七部门关于印发〈新疆维吾尔自治区工程建设领域农民工工资专用账户管理实施细则〉的通知》（新人社规〔2022〕2号）</w:t>
            </w:r>
          </w:p>
          <w:p w14:paraId="2DF324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4.《自治区人力资源和社会保障厅等七部门关于印发〈新疆维吾尔自治区工程建设领域农民工工资保证金管理实施细则〉的通知》（新人社规〔2022〕3号）</w:t>
            </w:r>
          </w:p>
          <w:p w14:paraId="2B0908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5.《关于加强房屋建筑和市政基础设施工程建设领域工程款支付担保管理工作的通知》（乌建发〔2023〕115号）</w:t>
            </w:r>
          </w:p>
        </w:tc>
        <w:tc>
          <w:tcPr>
            <w:tcW w:w="103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37FB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1.《保障农民工工资支付条例》</w:t>
            </w:r>
          </w:p>
          <w:p w14:paraId="215FDF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第二十三条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建设单位应当有满足施工所需要的资金安排。没有满足施工所需要的资金安排的，工程建设项目不得开工建设；依法需要办理施工许可证的，相关行业工程建设主管部门不予颁发施工许可证。</w:t>
            </w:r>
          </w:p>
          <w:p w14:paraId="63126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第三十九条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人力资源社会保障行政部门、相关行业工程建设主管部门和其他有关部门应当按照职责，加强对用人单位与农民工签订劳动合同、工资支付以及工程建设项目实行农民工实名制管理、农民工工资专用账户管理、施工总承包单位代发工资、工资保证金存储、维权信息公示等情况的监督检查，预防和减少拖欠农民工工资行为的发生。</w:t>
            </w:r>
          </w:p>
          <w:p w14:paraId="2A946F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第五十五条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一）施工总承包单位未按规定开设或者使用农民工工资专用账户；（二）施工总承包单位未按规定存储工资保证金或者未提供金融机构保函；（三）施工总承包单位、分包单位未实行劳动用工实名制管理。</w:t>
            </w:r>
          </w:p>
          <w:p w14:paraId="2A35DE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第五十六条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处5万元以上10万元以下的罚款：（一）分包单位未按月考核农民工工作量、编制工资支付表并经农民工本人签字确认；（二）施工总承包单位未对分包单位劳动用工实施监督管理；（三）分包单位未配合施工总承包单位对其劳动用工进行监督管理；（四）施工总承包单位未实行施工现场维权信息公示制度。</w:t>
            </w:r>
          </w:p>
          <w:p w14:paraId="281398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责令项目停工，并处5万元以上10万元以下的罚款：（一）建设单位未依法提供工程款支付担保；（二）建设单位未按约定及时足额向农民工工资专用账户拨付工程款中的人工费用；（三）建设单位或者施工总承包单位拒不提供或者无法提供工程施工合同、农民</w:t>
            </w:r>
            <w:bookmarkStart w:id="2" w:name="_GoBack"/>
            <w:bookmarkEnd w:id="2"/>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工工资专用账户有关资料。</w:t>
            </w:r>
          </w:p>
          <w:p w14:paraId="4A79590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2.《新疆维吾尔自治区政府投资管理办法》</w:t>
            </w:r>
          </w:p>
          <w:p w14:paraId="3384D5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第八条  政府采取直接投资方式、资本金注入方式投资的项目（以下统称政府投资项目），项目单位应当编制项目建议书、可行性研究报告、初步设计，按照政府投资管理权限和规定的程序，报县级以上人民政府投资主管部门或者其他有关部门审批。县级以上人民政府投资主管部门或者其他有关部门不得受理、审批无明确资金来源的项目。</w:t>
            </w:r>
          </w:p>
          <w:p w14:paraId="19728C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3.《自治区人力资源和社会保障厅等十部门关于印发〈新疆维吾尔自治区工程建设领域农民工工资专用账户管理实施细则〉的通知》</w:t>
            </w:r>
          </w:p>
          <w:p w14:paraId="7ACF1F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第六条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专用账户按工程建设项目（标段）开立，总包单位应当在工程施工合同签订之日起30日内开立专用账户，并与建设单位、开户银行签订《工程建设领域农民工工资专用账户资金管理三方协议》。专用账户名称为“总包单位名称+工程建设项目（标段）名称+农民工工资专用账户”。</w:t>
            </w:r>
          </w:p>
          <w:p w14:paraId="425F38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4.《自治区人力资源和社会保障厅等七部门关于印发〈新疆维吾尔自治区工程建设领域农民工工资保证金管理实施细则〉的通知》</w:t>
            </w:r>
          </w:p>
          <w:p w14:paraId="6AE3F5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施工总承包单位应当自工程取得施工许可证（或开工报告批复）之日起20个工作日内（依法不需要办理施工许可证或批准开工报告的工程自签订施工合同之日起20个工作日之内），持营业执照副本、与建设单位签订的施工合同到属地人力资源社会保障行政部门确定应存储工资保证金金额，并在经办银行开立工资保证金专门账户存储工资保证金。</w:t>
            </w:r>
          </w:p>
          <w:p w14:paraId="1FA708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5.《关于加强房屋建筑和市政基础设施工程建设领域工程款支付担保管理工作的通知》</w:t>
            </w:r>
          </w:p>
          <w:p w14:paraId="3B35DC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全面落实工程款支付担保制度：在我市行政区域内新开工的房屋建筑和市政基础设施建设项目，均应实行工程款支付担保制度，所有建设项目应在开工前办理工程款支付担保。</w:t>
            </w:r>
          </w:p>
        </w:tc>
      </w:tr>
    </w:tbl>
    <w:p w14:paraId="393362A2">
      <w:pPr>
        <w:rPr>
          <w:rFonts w:hint="default"/>
          <w:color w:val="auto"/>
          <w:highlight w:val="none"/>
          <w:u w:val="none"/>
          <w:lang w:val="en-US" w:eastAsia="zh-CN"/>
        </w:rPr>
      </w:pPr>
      <w:r>
        <w:rPr>
          <w:rFonts w:hint="default"/>
          <w:color w:val="auto"/>
          <w:highlight w:val="none"/>
          <w:u w:val="none"/>
          <w:lang w:val="en-US" w:eastAsia="zh-CN"/>
        </w:rPr>
        <w:br w:type="page"/>
      </w:r>
    </w:p>
    <w:p w14:paraId="723DEF9F">
      <w:pPr>
        <w:bidi w:val="0"/>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589"/>
        <w:gridCol w:w="10006"/>
      </w:tblGrid>
      <w:tr w14:paraId="04CB1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2AA7E">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BF2AA8">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58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FFDEA9">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00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A55FFB">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5A64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79BA59">
            <w:pPr>
              <w:spacing w:beforeLines="0" w:afterLines="0"/>
              <w:jc w:val="center"/>
              <w:rPr>
                <w:rFonts w:hint="eastAsia" w:ascii="Times New Roman" w:hAnsi="Times New Roman" w:eastAsia="宋体"/>
                <w:color w:val="auto"/>
                <w:sz w:val="18"/>
                <w:szCs w:val="18"/>
                <w:highlight w:val="none"/>
                <w:u w:val="none"/>
                <w:lang w:eastAsia="zh-CN"/>
              </w:rPr>
            </w:pPr>
            <w:r>
              <w:rPr>
                <w:rFonts w:hint="eastAsia" w:ascii="Times New Roman" w:hAnsi="Times New Roman"/>
                <w:color w:val="auto"/>
                <w:sz w:val="18"/>
                <w:szCs w:val="18"/>
                <w:highlight w:val="none"/>
                <w:u w:val="none"/>
                <w:lang w:val="en-US" w:eastAsia="zh-CN"/>
              </w:rPr>
              <w:t>2</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30C2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第二条 及时足额拨付人工费用。</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按照自治区人力资源和社会保障厅等六部门《关于印发〈关于政府项目推行人工费用单项按月拨付的实施意见〉的通知》（新人社发〔2025〕26号）要求，各行业主管部门负责督促本领域使用财政预算资金投资的工程项目在招标和合同签订阶段，明确人工费用占工程款的比例、拨付周期等内容，人工费拨付比例按照房屋市政工程类不低于签约合同价30%、交通运输类不低于15%、水利类不低于25%、农业农村类不低于30%的标准，确保人工费用按时足额拨付；督促国有企业作为出资方投资的工程项目（以下简称国企项目）和社会投资工程项目参照执行。政府、国企项目和社会投资工程项目建设资金分批拨付的，人工费用拨付周期不得超过1个月，并通过农民工工资支付监控预警平台发放工资；对未落实按月发薪的工程项目，人社部门会同行业主管部门及时约谈施工单位，督促整改，形成有效监管。</w:t>
            </w:r>
          </w:p>
        </w:tc>
        <w:tc>
          <w:tcPr>
            <w:tcW w:w="158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7560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1.《保障农民工工资支付条例》（国务院令第724号）</w:t>
            </w:r>
          </w:p>
          <w:p w14:paraId="13628B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2.《关于印发〈关于政府项目推行人工费用单项按月拨付的实施意见〉的通知》（新人社发〔2025〕26号）</w:t>
            </w:r>
          </w:p>
          <w:p w14:paraId="0CA96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3.《自治区人力资源和社会保障厅等十部门关于印发〈新疆维吾尔自治区工程建设领域农民工工资专用账户管理实施细则〉的通知》（新人社规〔2022〕2号）</w:t>
            </w:r>
          </w:p>
        </w:tc>
        <w:tc>
          <w:tcPr>
            <w:tcW w:w="1000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AC9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1.《保障农民工工资支付条例》</w:t>
            </w:r>
          </w:p>
          <w:p w14:paraId="527449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第二十四条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建设单位应当向施工单位提供工程款支付担保。建设单位与施工总承包单位依法订立书面工程施工合同，应当约定工程款计量周期、工程款进度结算办法以及人工费用拨付周期，并按照保障农民工工资按时足额支付的要求约定人工费用。人工费用拨付周期不得超过1个月。</w:t>
            </w:r>
          </w:p>
          <w:p w14:paraId="57040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责令项目停工，并处5万元以上10万元以下的罚款：（一）建设单位未依法提供工程款支付担保；（二）建设单位未按约定及时足额向农民工工资专用账户拨付工程款中的人工费用；（三）建设单位或者施工总承包单位拒不提供或者无法提供工程施工合同、农民工工资专用账户有关资料。</w:t>
            </w:r>
          </w:p>
          <w:p w14:paraId="6E5E12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2.关于印发《关于政府项目推行人工费用单项按月拨付的实施意见》的通知</w:t>
            </w:r>
          </w:p>
          <w:p w14:paraId="29F70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合同管理：</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在项目招标和合同签订阶段，明确人工费用占工程款的比例、拨付周期（不得超过1个月）、拨付日期、拨付方式以及违约责任等内容，并在招标文件和施工合同中予以约定。人工费用按照房屋市政工程类不低于签约合同价30%、交通运输类不低于15%、水利类不低于25%、农业农村类不低于30%的标准，确保人工费用能够按时足额拨付，并按照实事求是原则设置人工费用上限和动态调整机制。</w:t>
            </w:r>
          </w:p>
          <w:p w14:paraId="43DE9C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3.</w:t>
            </w:r>
            <w:r>
              <w:rPr>
                <w:rFonts w:hint="default" w:ascii="Times New Roman" w:hAnsi="Times New Roman" w:eastAsia="方正仿宋_GBK" w:cs="Times New Roman"/>
                <w:b/>
                <w:bCs/>
                <w:i w:val="0"/>
                <w:iCs w:val="0"/>
                <w:color w:val="auto"/>
                <w:kern w:val="0"/>
                <w:sz w:val="18"/>
                <w:szCs w:val="18"/>
                <w:highlight w:val="none"/>
                <w:u w:val="none"/>
                <w:lang w:val="en-US" w:eastAsia="zh-CN" w:bidi="ar"/>
              </w:rPr>
              <w:t>《自治区人力资源和社会保障厅等十部门关于印发〈新疆维吾尔自治区工程建设领域农民工工资专用账户管理实施细则〉的通知》</w:t>
            </w:r>
          </w:p>
          <w:p w14:paraId="6F7B0B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第十二条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建设单位应当按工程施工合同约定的数额或者比例等，按时将人工费用拨付到总包单位专用账户。对工程建设项目建设资金全部到位的，建设单位可按照合同约定，将人工费用一次性拨付至专用账户；对于工程建设项目建设资金分批拨付到位的，人工费用拨付周期不得超过1个月。</w:t>
            </w:r>
          </w:p>
        </w:tc>
      </w:tr>
    </w:tbl>
    <w:p w14:paraId="4E00D937">
      <w:pPr>
        <w:rPr>
          <w:rFonts w:hint="default"/>
          <w:color w:val="auto"/>
          <w:highlight w:val="none"/>
          <w:u w:val="none"/>
          <w:lang w:val="en-US" w:eastAsia="zh-CN"/>
        </w:rPr>
      </w:pPr>
      <w:r>
        <w:rPr>
          <w:rFonts w:hint="default"/>
          <w:color w:val="auto"/>
          <w:highlight w:val="none"/>
          <w:u w:val="none"/>
          <w:lang w:val="en-US" w:eastAsia="zh-CN"/>
        </w:rPr>
        <w:br w:type="page"/>
      </w:r>
    </w:p>
    <w:p w14:paraId="7CFF1D9F">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833"/>
        <w:gridCol w:w="1339"/>
        <w:gridCol w:w="10098"/>
      </w:tblGrid>
      <w:tr w14:paraId="7C66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8DC91D">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8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3C64B9">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33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DD2FAD">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09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F67E5D">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6212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2C81C0">
            <w:pPr>
              <w:spacing w:beforeLines="0" w:afterLines="0"/>
              <w:jc w:val="center"/>
              <w:rPr>
                <w:rFonts w:hint="eastAsia" w:ascii="Times New Roman" w:hAnsi="Times New Roman" w:eastAsia="宋体"/>
                <w:color w:val="auto"/>
                <w:sz w:val="18"/>
                <w:szCs w:val="18"/>
                <w:highlight w:val="none"/>
                <w:u w:val="none"/>
                <w:lang w:eastAsia="zh-CN"/>
              </w:rPr>
            </w:pPr>
            <w:r>
              <w:rPr>
                <w:rFonts w:hint="eastAsia" w:ascii="Times New Roman" w:hAnsi="Times New Roman"/>
                <w:color w:val="auto"/>
                <w:sz w:val="18"/>
                <w:szCs w:val="18"/>
                <w:highlight w:val="none"/>
                <w:u w:val="none"/>
                <w:lang w:val="en-US" w:eastAsia="zh-CN"/>
              </w:rPr>
              <w:t>3</w:t>
            </w:r>
          </w:p>
        </w:tc>
        <w:tc>
          <w:tcPr>
            <w:tcW w:w="3833"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565ADE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第三条 第一时间落实欠薪线索推送核查机制。</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市、区（县）两级人社部门要加大欠薪隐患排查力度，对在建（续建）和已完工仍存在欠薪投诉项目，摸清存量欠薪底数，建立台账，动态管理。对日常排查发现和农民工工资支付监控预警平台推送的欠薪线索，第一时间分级分类推送至行业主管部门：政府项目线索推送至日常监管责任单位，国企项目线索推送至具有监管权的国资部门，社会投资项目线索推送至对应行业主管部门；各相关责任单位按照工作职责，在规定时限内完成核查、处置及移交事项。人社部门牵头对已办结线索开展常态化“回头看”，每月对已办结的线索进行抽查回访，对未及时妥善处置的单位予以通报并跟踪督办，有效化解欠薪问题。</w:t>
            </w:r>
          </w:p>
        </w:tc>
        <w:tc>
          <w:tcPr>
            <w:tcW w:w="133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78B1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《关于建立欠薪线索推送核查机制的通知》</w:t>
            </w:r>
          </w:p>
          <w:p w14:paraId="56E883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（新就劳组〔2025〕5号）</w:t>
            </w:r>
          </w:p>
        </w:tc>
        <w:tc>
          <w:tcPr>
            <w:tcW w:w="1009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6067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1.工程建设领域政府项目欠薪线索。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就业促进和劳动保护工作领导小组办公室（以下简称领导小组办公室）推送项目日常监管责任单位（项目日常监管责任单位为项目的直接管理单位，即对项目单位的财务或人事行使管理职责的上一级单位。没有项目直接管理单位的，由项目上级行业主管部门履行日常监管责任）。</w:t>
            </w:r>
          </w:p>
          <w:p w14:paraId="741093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2.工程建设领域国企项目欠薪线索。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由项目所在地领导小组办公室推送具有监管权的国资部门。</w:t>
            </w:r>
          </w:p>
          <w:p w14:paraId="44B4F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3.工程建设领域社会投资项目欠薪线索。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由项目所在地领导小组办公室推送行业部门。</w:t>
            </w:r>
          </w:p>
          <w:p w14:paraId="4E1E11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4.非工程建设领域欠薪线索。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由用人单位所在地人社部门会同相关部门处理。</w:t>
            </w:r>
          </w:p>
          <w:p w14:paraId="19E66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项目行业主管部门、国资部门、项目日监管责任单位统称为行业部门。</w:t>
            </w:r>
          </w:p>
          <w:p w14:paraId="7492C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5.部门线索处置。</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行业部门督促建设单位查明有关情况，对项目欠薪情况进行深入调查，协调施工单位及时解决欠薪问题，与反映人联系确认工资到付情况，确保工资发放到位，并按处置时限要求在新薪通平台反馈办理结果。不属于欠薪问题的，记录有关情况并反馈反映人的实际诉求。</w:t>
            </w:r>
          </w:p>
          <w:p w14:paraId="680DE1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6.复核结果。</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人社部门复核行业部门反馈的办理情况。复核结果于行业部门办理情况不一致的，退回行业部门重新核处。</w:t>
            </w:r>
          </w:p>
          <w:p w14:paraId="34FB14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7.处置时限。</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各地领导小组办公室初核线索时限为2个工作日。行业部门线索处置时限为5个工作日，如遇复杂情况线索，处置时限可延长3个工作日。人社部门符合线索处置时限为5个工作日，复杂情况线索复核时限可延长5个工作日。线索反映问题处置超出办理时限视为逾期，逾期10个工作日视为线索久拖不决。</w:t>
            </w:r>
          </w:p>
        </w:tc>
      </w:tr>
    </w:tbl>
    <w:p w14:paraId="4C58783B">
      <w:pPr>
        <w:rPr>
          <w:rFonts w:hint="default"/>
          <w:color w:val="auto"/>
          <w:highlight w:val="none"/>
          <w:u w:val="none"/>
          <w:lang w:val="en-US" w:eastAsia="zh-CN"/>
        </w:rPr>
      </w:pPr>
      <w:r>
        <w:rPr>
          <w:rFonts w:hint="default"/>
          <w:color w:val="auto"/>
          <w:highlight w:val="none"/>
          <w:u w:val="none"/>
          <w:lang w:val="en-US" w:eastAsia="zh-CN"/>
        </w:rPr>
        <w:br w:type="page"/>
      </w:r>
    </w:p>
    <w:p w14:paraId="0B12D88B">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425"/>
        <w:gridCol w:w="10170"/>
      </w:tblGrid>
      <w:tr w14:paraId="6AE4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2DA81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324076">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917651">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4B6D95">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4554D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04FA40">
            <w:pPr>
              <w:spacing w:beforeLines="0" w:afterLines="0"/>
              <w:jc w:val="center"/>
              <w:rPr>
                <w:rFonts w:hint="eastAsia" w:ascii="Times New Roman" w:hAnsi="Times New Roman" w:eastAsia="宋体"/>
                <w:color w:val="auto"/>
                <w:sz w:val="18"/>
                <w:szCs w:val="18"/>
                <w:highlight w:val="none"/>
                <w:u w:val="none"/>
                <w:lang w:eastAsia="zh-CN"/>
              </w:rPr>
            </w:pPr>
            <w:r>
              <w:rPr>
                <w:rFonts w:hint="eastAsia" w:ascii="Times New Roman" w:hAnsi="Times New Roman"/>
                <w:color w:val="auto"/>
                <w:sz w:val="18"/>
                <w:szCs w:val="18"/>
                <w:highlight w:val="none"/>
                <w:u w:val="none"/>
                <w:lang w:val="en-US" w:eastAsia="zh-CN"/>
              </w:rPr>
              <w:t>4</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7EA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第四条 规范劳动用工管理。</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行业主管部门督促本领域工程项目总包单位落实实名制管理，建立完整的农民工实名制台账，未签订劳动合同并完成实名登记的人员，一律不得进入项目现场施工，人社部门负责督促用工企业依法签订劳动合同。人社部门与住建部门进一步发挥农民工工资支付监控预警平台与建筑工人实名制管理平台数据交换作用，及时掌握施工现场人员及薪资发放信息情况，根据职责分工，常态化对用工企业进行检查，督促用工企业落实施工现场人员进、退场信息录入工作，严格执行建筑工人实名考勤要求，确保工资发放与考勤数据相匹配，严禁出现转移或套取农民工工资专用账户资金的情况。</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6FA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1.《保障农民工工资支付条例》（国务院令第724号）</w:t>
            </w:r>
          </w:p>
          <w:p w14:paraId="6EF2B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5"/>
                <w:szCs w:val="15"/>
                <w:highlight w:val="none"/>
                <w:u w:val="none"/>
                <w:lang w:val="en-US" w:eastAsia="zh-CN" w:bidi="ar"/>
              </w:rPr>
              <w:t>2.</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《关于进一步加强建筑工人实名制管理工作的通知》</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429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1.《保障农民工工资支付条例》</w:t>
            </w:r>
          </w:p>
          <w:p w14:paraId="47ABC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第二十八条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施工总承包单位或者分包单位应当依法与所招用的农民工订立劳动合同并进行用工实名登记，具备条件的行业应当通过相应的管理服务信息平台进行用工实名登记、管理。未与施工总承包单位或者分包单位订立劳动合同并进行用工实名登记的人员，不得进入项目现场施工。</w:t>
            </w:r>
          </w:p>
          <w:p w14:paraId="358A22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第三十条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分包单位对所招用农民工的实名制管理和工资支付负直接责任。施工总承包单位对分包单位劳动用工和工资发放等情况进行监督。分包单位拖欠农民工工资的，由施工总承包单位先行清偿，再依法进行追偿。工程建设项目转包，拖欠农民工工资的，由施工总承包单位先行清偿，再依法进行追偿。</w:t>
            </w:r>
          </w:p>
          <w:p w14:paraId="3CB76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2.《关于进一步加强建筑工人实名制管理工作的通知》</w:t>
            </w:r>
          </w:p>
          <w:p w14:paraId="299320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二、压实参建各方责任（二）施工总承包单位。......六是实行考勤发薪匹配制度，向施工总承包单位应严格执行建筑工人实名制考勤要求，工资发放应与考勤数据相匹配。</w:t>
            </w:r>
          </w:p>
        </w:tc>
      </w:tr>
    </w:tbl>
    <w:p w14:paraId="3090CEE9">
      <w:pPr>
        <w:rPr>
          <w:rFonts w:hint="default"/>
          <w:color w:val="auto"/>
          <w:highlight w:val="none"/>
          <w:u w:val="none"/>
          <w:lang w:val="en-US" w:eastAsia="zh-CN"/>
        </w:rPr>
      </w:pPr>
      <w:r>
        <w:rPr>
          <w:rFonts w:hint="default"/>
          <w:color w:val="auto"/>
          <w:highlight w:val="none"/>
          <w:u w:val="none"/>
          <w:lang w:val="en-US" w:eastAsia="zh-CN"/>
        </w:rPr>
        <w:br w:type="page"/>
      </w:r>
    </w:p>
    <w:p w14:paraId="317491E3">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531"/>
        <w:gridCol w:w="10064"/>
      </w:tblGrid>
      <w:tr w14:paraId="03F90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53DC7B">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方正黑体_GBK" w:cs="Times New Roman"/>
                <w:color w:val="auto"/>
                <w:sz w:val="21"/>
                <w:szCs w:val="21"/>
                <w:highlight w:val="none"/>
                <w:u w:val="none"/>
              </w:rPr>
            </w:pPr>
            <w:r>
              <w:rPr>
                <w:rFonts w:hint="default" w:ascii="Times New Roman" w:hAnsi="Times New Roman" w:eastAsia="方正黑体_GBK" w:cs="Times New Roman"/>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D2E71C">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方正黑体_GBK" w:cs="Times New Roman"/>
                <w:color w:val="auto"/>
                <w:sz w:val="21"/>
                <w:szCs w:val="21"/>
                <w:highlight w:val="none"/>
                <w:u w:val="none"/>
              </w:rPr>
            </w:pPr>
            <w:r>
              <w:rPr>
                <w:rFonts w:hint="default" w:ascii="Times New Roman" w:hAnsi="Times New Roman" w:eastAsia="方正黑体_GBK" w:cs="Times New Roman"/>
                <w:color w:val="auto"/>
                <w:sz w:val="21"/>
                <w:szCs w:val="21"/>
                <w:highlight w:val="none"/>
                <w:u w:val="none"/>
              </w:rPr>
              <w:t>内容</w:t>
            </w:r>
          </w:p>
        </w:tc>
        <w:tc>
          <w:tcPr>
            <w:tcW w:w="153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994231">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方正黑体_GBK" w:cs="Times New Roman"/>
                <w:color w:val="auto"/>
                <w:sz w:val="21"/>
                <w:szCs w:val="21"/>
                <w:highlight w:val="none"/>
                <w:u w:val="none"/>
              </w:rPr>
            </w:pPr>
            <w:r>
              <w:rPr>
                <w:rFonts w:hint="default" w:ascii="Times New Roman" w:hAnsi="Times New Roman" w:eastAsia="方正黑体_GBK" w:cs="Times New Roman"/>
                <w:color w:val="auto"/>
                <w:sz w:val="21"/>
                <w:szCs w:val="21"/>
                <w:highlight w:val="none"/>
                <w:u w:val="none"/>
              </w:rPr>
              <w:t>依据</w:t>
            </w:r>
          </w:p>
        </w:tc>
        <w:tc>
          <w:tcPr>
            <w:tcW w:w="100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1815DE">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方正黑体_GBK" w:cs="Times New Roman"/>
                <w:color w:val="auto"/>
                <w:sz w:val="21"/>
                <w:szCs w:val="21"/>
                <w:highlight w:val="none"/>
                <w:u w:val="none"/>
              </w:rPr>
            </w:pPr>
            <w:r>
              <w:rPr>
                <w:rFonts w:hint="default" w:ascii="Times New Roman" w:hAnsi="Times New Roman" w:eastAsia="方正黑体_GBK" w:cs="Times New Roman"/>
                <w:color w:val="auto"/>
                <w:sz w:val="21"/>
                <w:szCs w:val="21"/>
                <w:highlight w:val="none"/>
                <w:u w:val="none"/>
              </w:rPr>
              <w:t>相关条款</w:t>
            </w:r>
          </w:p>
        </w:tc>
      </w:tr>
      <w:tr w14:paraId="0416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1A1F7E">
            <w:pPr>
              <w:spacing w:beforeLines="0" w:afterLines="0"/>
              <w:jc w:val="center"/>
              <w:rPr>
                <w:rFonts w:hint="default" w:ascii="Times New Roman" w:hAnsi="Times New Roman" w:eastAsia="宋体" w:cs="Times New Roman"/>
                <w:color w:val="auto"/>
                <w:sz w:val="18"/>
                <w:szCs w:val="18"/>
                <w:highlight w:val="none"/>
                <w:u w:val="none"/>
                <w:lang w:eastAsia="zh-CN"/>
              </w:rPr>
            </w:pPr>
            <w:r>
              <w:rPr>
                <w:rFonts w:hint="default" w:ascii="Times New Roman" w:hAnsi="Times New Roman" w:cs="Times New Roman"/>
                <w:color w:val="auto"/>
                <w:sz w:val="18"/>
                <w:szCs w:val="18"/>
                <w:highlight w:val="none"/>
                <w:u w:val="none"/>
                <w:lang w:val="en-US" w:eastAsia="zh-CN"/>
              </w:rPr>
              <w:t>5</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DD7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第五条 严抓施工过程监管。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行业主管部门引导本领域工程项目建设单位在工程施工合同约定期限内，完成施工过程结算的核对确认，合同双方不得以设计变更、工程洽商、未完成审计等理由变相拖延施工过程结算。督促建设单位按照合同约定的支付周期或支付比例拨付施工过程结算款；加快已完工项目工程款结算进度，及时支付工程尾款。财政部门对政府投资项目，应当根据经批准的预算，按照法律、行政法规和国库管理的有关规定，及时、足额办理政府投资资金拨付；督促国企项目和社会投资工程项目参照执行。对未批先建等违规建设项目，依据《乌鲁木齐市城市管理行政综合执法试行办法》，由市、区两级城管部门联合规划、园林、住建等行业主管部门依法履行管理职责，对建设单位未取得施工许可证或者开工报告未经批准，擅自施工的工程项目，由项目属地城管部门责令停止施工，依法依规作出相应处理。</w:t>
            </w:r>
          </w:p>
        </w:tc>
        <w:tc>
          <w:tcPr>
            <w:tcW w:w="153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DBC3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1.《政府投资条例》（国务院令第712号）</w:t>
            </w:r>
          </w:p>
          <w:p w14:paraId="54A319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2.《关于印发〈关于在房屋建筑和市政基础设施工程中推行施工过程结算的实施意见〉的通知》（新建规〔2023〕11号）</w:t>
            </w:r>
          </w:p>
          <w:p w14:paraId="46DA3D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3.《乌鲁木齐市城市管理行政综合执法试行办法</w:t>
            </w:r>
          </w:p>
          <w:p w14:paraId="17231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》（乌鲁木齐市人民政府令第39号）</w:t>
            </w:r>
          </w:p>
        </w:tc>
        <w:tc>
          <w:tcPr>
            <w:tcW w:w="100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282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1.《政府投资条例》</w:t>
            </w:r>
          </w:p>
          <w:p w14:paraId="7B67EF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第十九条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财政部门应当根据批准的预算，按照法律、行政法规和国库管理的有关规定，及时、足额办理政府投资资金拨付。</w:t>
            </w:r>
          </w:p>
          <w:p w14:paraId="5BE7E2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2.《关于印发〈关于在房屋建筑和市政基础设施工程中推行施工过程结算的实施意见〉的通知》</w:t>
            </w:r>
          </w:p>
          <w:p w14:paraId="331EB4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发包人应在约定期限内完成施工过程结算的核对并确认，合同双方不得以设计变更、工程洽商、未完成审计等理由变相拖延施工过程结算。合同中对施工过程结算办理时限没有约定的，期限均为28日。发包人应在合同约定的时间内按照约定的比例支付施工过程结算款。</w:t>
            </w:r>
          </w:p>
          <w:p w14:paraId="26AB777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3.《乌鲁木齐市城市管理行政综合执法试行办法》</w:t>
            </w:r>
          </w:p>
          <w:p w14:paraId="72B8CD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第四十条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建设单位未取得施工许可证或者开工报告未经批准，擅自施工的，由行政综合执法机关责令停止施工，限期改正，处工程合同价款1%以上2%以下的罚款。</w:t>
            </w:r>
          </w:p>
        </w:tc>
      </w:tr>
    </w:tbl>
    <w:p w14:paraId="1EC3A2E5">
      <w:pPr>
        <w:rPr>
          <w:rFonts w:hint="default"/>
          <w:color w:val="auto"/>
          <w:highlight w:val="none"/>
          <w:u w:val="none"/>
          <w:lang w:val="en-US" w:eastAsia="zh-CN"/>
        </w:rPr>
      </w:pPr>
      <w:r>
        <w:rPr>
          <w:rFonts w:hint="default"/>
          <w:color w:val="auto"/>
          <w:highlight w:val="none"/>
          <w:u w:val="none"/>
          <w:lang w:val="en-US" w:eastAsia="zh-CN"/>
        </w:rPr>
        <w:br w:type="page"/>
      </w:r>
    </w:p>
    <w:p w14:paraId="4C1FE55D">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425"/>
        <w:gridCol w:w="10170"/>
      </w:tblGrid>
      <w:tr w14:paraId="74C4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FB22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2483D4">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0EA95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46499">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4F64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714C02">
            <w:pPr>
              <w:spacing w:beforeLines="0" w:afterLines="0"/>
              <w:jc w:val="center"/>
              <w:rPr>
                <w:rFonts w:hint="eastAsia" w:ascii="Times New Roman" w:hAnsi="Times New Roman" w:eastAsia="宋体"/>
                <w:color w:val="auto"/>
                <w:sz w:val="18"/>
                <w:szCs w:val="18"/>
                <w:highlight w:val="none"/>
                <w:u w:val="none"/>
                <w:lang w:eastAsia="zh-CN"/>
              </w:rPr>
            </w:pPr>
            <w:r>
              <w:rPr>
                <w:rFonts w:hint="eastAsia" w:ascii="Times New Roman" w:hAnsi="Times New Roman" w:eastAsia="宋体"/>
                <w:color w:val="auto"/>
                <w:sz w:val="18"/>
                <w:szCs w:val="18"/>
                <w:highlight w:val="none"/>
                <w:u w:val="none"/>
                <w:lang w:val="en-US" w:eastAsia="zh-CN"/>
              </w:rPr>
              <w:t>6</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A0F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第六条 压实工作责任。</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人社部门发挥就业促进和劳动保护工作领导小组办公室牵头抓总的作用，负责保障农民工工资支付工作组织协调、管理指导和农民工工资支付情况的监督检查；行业主管部门按照职责履行行业监管责任，督办因违法发包、转包、违法分包、挂靠、拖欠工程款等导致的拖欠农民工工资案件。各区（县）人民政府落实属地主体责任，本级行业主管部门参照市级行业主管部门职责，加强对属地政府、国企项目和社会投资工程项目监督检查，督促落实工资支付保障制度，全面实行工程款与人工费用分账管理，督促建设单位按施工合同约定的支付周期或支付比例及时拨付施工结算款，重点推进已完工项目和招商引资项目工程尾款支付进度，杜绝无故变相拖延施工过程结算。加大重点欠薪隐患项目推进化解力度，开展释法宣传，对采取非正常访的人员，快速妥善处置，有效化解矛盾纠纷。按照欠薪线索推送核查工作要求，行业主管部门及时办理推送的欠薪线索，形成治理欠薪工作合力，妥善化解存量欠薪问题，确保各项措施落地见效。</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555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1.《保障农民工工资支付条例》（国务院令第724号）</w:t>
            </w:r>
          </w:p>
          <w:p w14:paraId="4E4CE8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2.《关于进一步加强建筑工人实名制管理工作的通知》</w:t>
            </w:r>
          </w:p>
          <w:p w14:paraId="03AB2D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3.《关于印发〈关于在房屋建筑和市政基础设施工程中推行施工过程结算的实施意见〉的通知》（新建规〔2023〕11号）</w:t>
            </w:r>
          </w:p>
          <w:p w14:paraId="07AE15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4.《关于建立欠薪线索推送核查机制的通知》</w:t>
            </w:r>
          </w:p>
          <w:p w14:paraId="4EBF7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（新就劳组〔2025〕5号）</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BF5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1.《保障农民工工资支付条例》</w:t>
            </w:r>
          </w:p>
          <w:p w14:paraId="598D2D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第四条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县级以上地方人民政府对本行政区域内保障农民工工资支付工作负责，建立保障农民工工资支付工作协调机制，加强监管能力建设，健全保障农民工工资支付工作目标责任制，并纳入对本级人民政府有关部门和下级人民政府进行考核和监督的内容。</w:t>
            </w:r>
          </w:p>
          <w:p w14:paraId="6593EB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color w:val="606060"/>
                <w:spacing w:val="8"/>
                <w:sz w:val="27"/>
                <w:szCs w:val="27"/>
                <w:highlight w:val="none"/>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乡镇人民政府、街道办事处应当加强对拖欠农民工工资矛盾的排查和调处工作，防范和化解矛盾，及时调解纠纷。</w:t>
            </w:r>
          </w:p>
          <w:p w14:paraId="383342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第三十九条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人力资源社会保障行政部门、相关行业工程建设主管部门和其他有关部门应当按照职责，加强对用人单位与农民工签订劳动合同、工资支付以及工程建设项目实行农民工实名制管理、农民工工资专用账户管理、施工总承包单位代发工资、工资保证金存储、维权信息公示等情况的监督检查，预防和减少拖欠农民工工资行为的发生。</w:t>
            </w:r>
          </w:p>
          <w:p w14:paraId="6A7F0A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2.《关于进一步加强建筑工人实名制管理工作的通知》</w:t>
            </w:r>
          </w:p>
          <w:p w14:paraId="0D7F44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二、</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压实参建各方责任（二）施工总承包单位。......六是实行考勤发薪匹配制度，向施工总承包单位应严格执行建筑工人实名制考勤要求，工资发放应与考勤数据相匹配。</w:t>
            </w:r>
          </w:p>
          <w:p w14:paraId="1AE58D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3.《关于印发〈关于在房屋建筑和市政基础设施工程中推行施工过程结算的实施意见〉的通知》</w:t>
            </w:r>
          </w:p>
          <w:p w14:paraId="71EBCF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发包人应在约定期限内完成施工过程结算的核对并确认，合同双方不得以设计变更、工程洽商、未完成审计等理由变相拖延施工过程结算。合同中对施工过程结算办理时限没有约定的，期限均为28日。发包人应在合同约定的时间内按照约定的比例支付施工过程结算款。</w:t>
            </w:r>
          </w:p>
          <w:p w14:paraId="54C33D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bCs/>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4.《关于建立欠薪线索推送核查机制的通知》</w:t>
            </w:r>
          </w:p>
          <w:p w14:paraId="617A48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工程建设领域政府项目欠薪线索。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就业促进和劳动保护工作领导小组办公室（以下简称领导小组办公室）推送项目日常监管责任单位（项目日常监管责任单位为项目的直接管理单位，即对项目单位的财务或人事行使管理职责的上一级单位。没有项目直接管理单位的，由项目上级行业主管部门履行日常监管责任）。</w:t>
            </w:r>
          </w:p>
          <w:p w14:paraId="1F3E3E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工程建设领域国企项目欠薪线索。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由项目所在地领导小组办公室推送具有监管权的国资部门。</w:t>
            </w:r>
          </w:p>
          <w:p w14:paraId="1DA127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工程建设领域社会投资项目欠薪线索。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由项目所在地领导小组办公室推送行业部门。</w:t>
            </w:r>
          </w:p>
          <w:p w14:paraId="35BCB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非工程建设领域欠薪线索。</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由用人单位所在地人社部门会同相关部门处理。</w:t>
            </w:r>
          </w:p>
          <w:p w14:paraId="5EF20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项目行业主管部门、国资部门、项目日监管责任单位统称为行业部门。</w:t>
            </w:r>
          </w:p>
          <w:p w14:paraId="401977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部门线索处置。</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行业部门督促建设单位查明有关情况，对项目欠薪情况进行深入调查，协调施工单位及时解决欠薪问题，与反映人联系确认工资到付情况，确保工资发放到位，并按处置时限要求在新薪通平台反馈办理结果。不属于欠薪问题的，记录有关情况并反馈反映人的实际诉求。</w:t>
            </w:r>
          </w:p>
          <w:p w14:paraId="5BFCD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复核结果。</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人社部门复核行业部门反馈的办理情况。复核结果于行业部门办理情况不一致的，退回行业部门重新核处。</w:t>
            </w:r>
          </w:p>
          <w:p w14:paraId="5A0F09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 xml:space="preserve"> 处置时限。</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各地领导小组办公室初核线索时限为2个工作日。行业部门线索处置时限为5个工作日，如遇复杂情况线索，处置时限可延长3个工作日。人社部门符合线索处置时限为5个工作日，复杂情况线索复核时限可延长5个工作日。线索反映问题处置超出办理时限视为逾期，逾期10个工作日视为线索久拖不决。</w:t>
            </w:r>
          </w:p>
          <w:p w14:paraId="02112F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p>
        </w:tc>
      </w:tr>
    </w:tbl>
    <w:p w14:paraId="599067A6">
      <w:pPr>
        <w:rPr>
          <w:rFonts w:hint="default"/>
          <w:color w:val="auto"/>
          <w:highlight w:val="none"/>
          <w:u w:val="none"/>
          <w:lang w:val="en-US" w:eastAsia="zh-CN"/>
        </w:rPr>
      </w:pPr>
      <w:r>
        <w:rPr>
          <w:rFonts w:hint="default"/>
          <w:color w:val="auto"/>
          <w:highlight w:val="none"/>
          <w:u w:val="none"/>
          <w:lang w:val="en-US" w:eastAsia="zh-CN"/>
        </w:rPr>
        <w:br w:type="page"/>
      </w:r>
    </w:p>
    <w:p w14:paraId="5F5AADC8">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425"/>
        <w:gridCol w:w="10170"/>
      </w:tblGrid>
      <w:tr w14:paraId="44995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469EC7">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F3731">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815FD4">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01463C">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2683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7"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E866E3">
            <w:pPr>
              <w:spacing w:beforeLines="0" w:afterLines="0"/>
              <w:jc w:val="center"/>
              <w:rPr>
                <w:rFonts w:hint="eastAsia" w:ascii="Times New Roman" w:hAnsi="Times New Roman" w:eastAsia="宋体"/>
                <w:color w:val="auto"/>
                <w:sz w:val="18"/>
                <w:szCs w:val="18"/>
                <w:highlight w:val="none"/>
                <w:u w:val="none"/>
                <w:lang w:eastAsia="zh-CN"/>
              </w:rPr>
            </w:pPr>
            <w:r>
              <w:rPr>
                <w:rFonts w:hint="eastAsia" w:eastAsia="宋体"/>
                <w:color w:val="auto"/>
                <w:sz w:val="18"/>
                <w:szCs w:val="18"/>
                <w:highlight w:val="none"/>
                <w:u w:val="none"/>
                <w:lang w:val="en-US" w:eastAsia="zh-CN"/>
              </w:rPr>
              <w:t>7</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C68B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第七条 实施联合惩戒。</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人社部门对企业开展劳动保障守法诚信等级评价，依法公布重大劳动保障违法行为，规范认定拖欠农民工工资失信联合惩戒对象名单，并会同行业主管部门依法对建设单位未按约定及时足额向农民工工资专用账户拨付工程款中的人工费用、总包单位未履行监管责任或未按规定存储工资保证金导致欠薪的，依据《保障农民工工资支付条例》相关规定，依法依规作出相应处理；情节严重或者造成严重不良社会影响的，依法列入拖欠农民工工资失信联合惩戒对象名单。对涉嫌拒不支付劳动报酬犯罪的案件，人社部门依法移送公安机关。</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7E24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《保障农民工工资支付条例》（国务院令第724号）</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D9B2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第四十八条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用人单位拖欠农民工工资，情节严重或者造成严重不良社会影响的，有关部门应当将该用人单位及其法定代表人或者主要负责人、直接负责的主管人员和其他直接责任人员列入拖欠农民工工资失信联合惩戒对象名单，在政府资金支持、政府采购、招投标、融资贷款、市场准入、税收优惠、评优评先、交通出行等方面依法依规予以限制。</w:t>
            </w:r>
          </w:p>
          <w:p w14:paraId="6F304E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第五十五条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责令项目停工，并处5万元以上10万元以下的罚款；情节严重的，给予施工单位限制承接新工程、降低资质等级、吊销资质证书等处罚：（一）施工总承包单位未按规定开设或者使用农民工工资专用账户；（二）施工总承包单位未按规定存储工资保证金或者未提供金融机构保函；（三）施工总承包单位、分包单位未实行劳动用工实名制管理。</w:t>
            </w:r>
          </w:p>
          <w:p w14:paraId="797B8D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第五十六条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处5万元以上10万元以下的罚款：（一）分包单位未按月考核农民工工作量、编制工资支付表并经农民工本人签字确认；（二）施工总承包单位未对分包单位劳动用工实施监督管理；（三）分包单位未配合施工总承包单位对其劳动用工进行监督管理；（四）施工总承包单位未实行施工现场维权信息公示制度。</w:t>
            </w:r>
          </w:p>
          <w:p w14:paraId="09D58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bCs/>
                <w:i w:val="0"/>
                <w:iCs w:val="0"/>
                <w:color w:val="auto"/>
                <w:kern w:val="0"/>
                <w:sz w:val="18"/>
                <w:szCs w:val="18"/>
                <w:highlight w:val="none"/>
                <w:u w:val="none"/>
                <w:lang w:val="en-US" w:eastAsia="zh-CN" w:bidi="ar"/>
              </w:rPr>
              <w:t>第五十八条</w:t>
            </w: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 xml:space="preserve"> 有下列情形之一的，由人力资源社会保障行政部门、相关行业工程建设主管部门按照职责责令限期改正；逾期不改正的，责令项目停工，并处5万元以上10万元以下的罚款：（一）建设单位未依法提供工程款支付担保；（二）建设单位未按约定及时足额向农民工工资专用账户拨付工程款中的人工费用；（三）建设单位或者施工总承包单位拒不提供或者无法提供工程施工合同、农民工工资专用账户有关资料。</w:t>
            </w:r>
          </w:p>
        </w:tc>
      </w:tr>
    </w:tbl>
    <w:p w14:paraId="29919373">
      <w:pPr>
        <w:rPr>
          <w:rFonts w:hint="default"/>
          <w:color w:val="auto"/>
          <w:highlight w:val="none"/>
          <w:u w:val="none"/>
          <w:lang w:val="en-US" w:eastAsia="zh-CN"/>
        </w:rPr>
      </w:pPr>
      <w:r>
        <w:rPr>
          <w:rFonts w:hint="default"/>
          <w:color w:val="auto"/>
          <w:highlight w:val="none"/>
          <w:u w:val="none"/>
          <w:lang w:val="en-US" w:eastAsia="zh-CN"/>
        </w:rPr>
        <w:br w:type="page"/>
      </w:r>
    </w:p>
    <w:p w14:paraId="1EAC00F4">
      <w:pPr>
        <w:rPr>
          <w:rFonts w:hint="default"/>
          <w:color w:val="auto"/>
          <w:highlight w:val="none"/>
          <w:u w:val="none"/>
          <w:lang w:val="en-US" w:eastAsia="zh-CN"/>
        </w:rPr>
      </w:pPr>
    </w:p>
    <w:p w14:paraId="3683482F">
      <w:pPr>
        <w:rPr>
          <w:rFonts w:hint="default"/>
          <w:color w:val="auto"/>
          <w:highlight w:val="none"/>
          <w:u w:val="none"/>
          <w:lang w:val="en-US" w:eastAsia="zh-CN"/>
        </w:rPr>
      </w:pPr>
    </w:p>
    <w:tbl>
      <w:tblPr>
        <w:tblStyle w:val="5"/>
        <w:tblW w:w="16095" w:type="dxa"/>
        <w:tblInd w:w="1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675"/>
        <w:gridCol w:w="1425"/>
        <w:gridCol w:w="10170"/>
      </w:tblGrid>
      <w:tr w14:paraId="3999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7C82B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序号</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DB2AD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内容</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58CCA">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依据</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6930C6">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方正黑体_GBK" w:hAnsi="方正黑体_GBK" w:eastAsia="方正黑体_GBK"/>
                <w:color w:val="auto"/>
                <w:sz w:val="21"/>
                <w:szCs w:val="21"/>
                <w:highlight w:val="none"/>
                <w:u w:val="none"/>
              </w:rPr>
            </w:pPr>
            <w:r>
              <w:rPr>
                <w:rFonts w:hint="eastAsia" w:ascii="方正黑体_GBK" w:hAnsi="方正黑体_GBK" w:eastAsia="方正黑体_GBK"/>
                <w:color w:val="auto"/>
                <w:sz w:val="21"/>
                <w:szCs w:val="21"/>
                <w:highlight w:val="none"/>
                <w:u w:val="none"/>
              </w:rPr>
              <w:t>相关条款</w:t>
            </w:r>
          </w:p>
        </w:tc>
      </w:tr>
      <w:tr w14:paraId="490F6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4" w:hRule="atLeast"/>
        </w:trPr>
        <w:tc>
          <w:tcPr>
            <w:tcW w:w="8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8BA3E">
            <w:pPr>
              <w:spacing w:beforeLines="0" w:afterLines="0"/>
              <w:jc w:val="center"/>
              <w:rPr>
                <w:rFonts w:hint="eastAsia" w:ascii="Times New Roman" w:hAnsi="Times New Roman" w:eastAsia="宋体"/>
                <w:color w:val="auto"/>
                <w:sz w:val="18"/>
                <w:szCs w:val="18"/>
                <w:highlight w:val="none"/>
                <w:u w:val="none"/>
                <w:lang w:eastAsia="zh-CN"/>
              </w:rPr>
            </w:pPr>
            <w:r>
              <w:rPr>
                <w:rFonts w:hint="eastAsia" w:eastAsia="宋体"/>
                <w:color w:val="auto"/>
                <w:sz w:val="18"/>
                <w:szCs w:val="18"/>
                <w:highlight w:val="none"/>
                <w:u w:val="none"/>
                <w:lang w:val="en-US" w:eastAsia="zh-CN"/>
              </w:rPr>
              <w:t>8</w:t>
            </w:r>
          </w:p>
        </w:tc>
        <w:tc>
          <w:tcPr>
            <w:tcW w:w="36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7459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eastAsia" w:ascii="Times New Roman" w:hAnsi="Times New Roman" w:eastAsia="方正仿宋_GBK" w:cs="Times New Roman"/>
                <w:b/>
                <w:bCs/>
                <w:i w:val="0"/>
                <w:iCs w:val="0"/>
                <w:color w:val="auto"/>
                <w:kern w:val="0"/>
                <w:sz w:val="18"/>
                <w:szCs w:val="18"/>
                <w:highlight w:val="none"/>
                <w:u w:val="none"/>
                <w:lang w:val="en-US" w:eastAsia="zh-CN" w:bidi="ar"/>
              </w:rPr>
              <w:t>第八条 健全奖惩问责。</w:t>
            </w:r>
            <w: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t>在治理欠薪工作中，对履职成效突出的单位及相关责任人，由就业促进和劳动保护工作领导小组办公室汇总相关情况报送组织部门，作为绩效考核、薪酬分配、评优评先、职务晋升的重要依据。对工作落实不到位的单位及相关责任人，依法依规做出相应处理。对政府、国企项目分级分类进行处置，情节严重的，移交纪检部门对行业主管部门和建设单位负责人、直接责任人追责问责，因投资资金不到位导致欠薪的，市级监管项目由人社部门报市政府批准，责令责任单位限期足额拨付，逾期未拨付的约谈直接责任部门和行业主管部门负责人；区（县）级监管项目责令属地限期足额拨付，市人社部门约谈区（县）政府负责人。因未批先建、擅自扩大建设规模、增加投资概算、未及时拨付工程款导致欠薪的，建设单位承担主体责任，人社部门会同行业主管部门约谈其负责人。对社会投资项目因资金不到位或违法违规开工导致欠薪的，人社部门和行业主管部门按职责对建设单位及负责人依法处罚。住建、交通运输、水务等行业主管部门及人社、发展改革、财政等部门工作人员，在欠薪治理工作中滥用职权、玩忽职守、徇私舞弊、失职失责的，纪检部门依规处理，构成犯罪的，依法追究刑事责任；对未落实“遏增量、减存量”工作要求的，约谈相关责任单位主要领导和分管领导。</w:t>
            </w:r>
          </w:p>
        </w:tc>
        <w:tc>
          <w:tcPr>
            <w:tcW w:w="14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5871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default" w:ascii="Times New Roman" w:hAnsi="Times New Roman" w:eastAsia="方正仿宋_GBK" w:cs="Times New Roman"/>
                <w:b w:val="0"/>
                <w:bCs w:val="0"/>
                <w:i w:val="0"/>
                <w:iCs w:val="0"/>
                <w:color w:val="auto"/>
                <w:kern w:val="0"/>
                <w:sz w:val="18"/>
                <w:szCs w:val="18"/>
                <w:highlight w:val="none"/>
                <w:u w:val="none"/>
                <w:lang w:val="en-US" w:eastAsia="zh-CN" w:bidi="ar"/>
              </w:rPr>
              <w:t>《保障农民工工资支付条例》（国务院令第724号）</w:t>
            </w:r>
          </w:p>
        </w:tc>
        <w:tc>
          <w:tcPr>
            <w:tcW w:w="1017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A1A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eastAsia" w:ascii="Times New Roman" w:hAnsi="Times New Roman" w:eastAsia="方正仿宋_GBK" w:cs="Times New Roman"/>
                <w:b/>
                <w:bCs/>
                <w:i w:val="0"/>
                <w:iCs w:val="0"/>
                <w:color w:val="auto"/>
                <w:kern w:val="0"/>
                <w:sz w:val="18"/>
                <w:szCs w:val="18"/>
                <w:highlight w:val="none"/>
                <w:u w:val="none"/>
                <w:lang w:val="en-US" w:eastAsia="zh-CN" w:bidi="ar"/>
              </w:rPr>
              <w:t>第五十九条</w:t>
            </w:r>
            <w: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t xml:space="preserve"> 政府投资项目政府投资资金不到位拖欠农民工工资的，由人力资源社会保障行政部门报本级人民政府批准，责令限期足额拨付所拖欠的资金；逾期不拨付的，由上一级人民政府人力资源社会保障行政部门约谈直接责任部门和相关监管部门负责人，必要时进行通报，约谈地方人民政府负责人。情节严重的，对地方人民政府及其有关部门负责人、直接负责的主管人员和其他直接责任人员依法依规给予处分。</w:t>
            </w:r>
          </w:p>
          <w:p w14:paraId="7FCF0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eastAsia" w:ascii="Times New Roman" w:hAnsi="Times New Roman" w:eastAsia="方正仿宋_GBK" w:cs="Times New Roman"/>
                <w:b/>
                <w:bCs/>
                <w:i w:val="0"/>
                <w:iCs w:val="0"/>
                <w:color w:val="auto"/>
                <w:kern w:val="0"/>
                <w:sz w:val="18"/>
                <w:szCs w:val="18"/>
                <w:highlight w:val="none"/>
                <w:u w:val="none"/>
                <w:lang w:val="en-US" w:eastAsia="zh-CN" w:bidi="ar"/>
              </w:rPr>
              <w:t>第六十条</w:t>
            </w:r>
            <w: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t xml:space="preserve"> 政府投资项目建设单位未经批准立项建设、擅自扩大建设规模、擅自增加投资概算、未及时拨付工程款等导致拖欠农民工工资的，除依法承担责任外，由人力资源社会保障行政部门、其他有关部门按照职责约谈建设单位负责人，并作为其业绩考核、薪酬分配、评优评先、职务晋升等的重要依据。</w:t>
            </w:r>
          </w:p>
          <w:p w14:paraId="6174D9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eastAsia" w:ascii="Times New Roman" w:hAnsi="Times New Roman" w:eastAsia="方正仿宋_GBK" w:cs="Times New Roman"/>
                <w:b/>
                <w:bCs/>
                <w:i w:val="0"/>
                <w:iCs w:val="0"/>
                <w:color w:val="auto"/>
                <w:kern w:val="0"/>
                <w:sz w:val="18"/>
                <w:szCs w:val="18"/>
                <w:highlight w:val="none"/>
                <w:u w:val="none"/>
                <w:lang w:val="en-US" w:eastAsia="zh-CN" w:bidi="ar"/>
              </w:rPr>
              <w:t>第六十一条</w:t>
            </w:r>
            <w: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t xml:space="preserve"> 对于建设资金不到位、违法违规开工建设的社会投资工程建设项目拖欠农民工工资的，由人力资源社会保障行政部门、其他有关部门按照职责依法对建设单位进行处罚；对建设单位负责人依法依规给予处分。相关部门工作人员未依法履行职责的，由有关机关依法依规给予处分。</w:t>
            </w:r>
          </w:p>
          <w:p w14:paraId="12EE54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pPr>
            <w:r>
              <w:rPr>
                <w:rFonts w:hint="eastAsia" w:ascii="Times New Roman" w:hAnsi="Times New Roman" w:eastAsia="方正仿宋_GBK" w:cs="Times New Roman"/>
                <w:b/>
                <w:bCs/>
                <w:i w:val="0"/>
                <w:iCs w:val="0"/>
                <w:color w:val="auto"/>
                <w:kern w:val="0"/>
                <w:sz w:val="18"/>
                <w:szCs w:val="18"/>
                <w:highlight w:val="none"/>
                <w:u w:val="none"/>
                <w:lang w:val="en-US" w:eastAsia="zh-CN" w:bidi="ar"/>
              </w:rPr>
              <w:t>第六十二条</w:t>
            </w:r>
            <w:r>
              <w:rPr>
                <w:rFonts w:hint="eastAsia" w:ascii="Times New Roman" w:hAnsi="Times New Roman" w:eastAsia="方正仿宋_GBK" w:cs="Times New Roman"/>
                <w:b w:val="0"/>
                <w:bCs w:val="0"/>
                <w:i w:val="0"/>
                <w:iCs w:val="0"/>
                <w:color w:val="auto"/>
                <w:kern w:val="0"/>
                <w:sz w:val="18"/>
                <w:szCs w:val="18"/>
                <w:highlight w:val="none"/>
                <w:u w:val="none"/>
                <w:lang w:val="en-US" w:eastAsia="zh-CN" w:bidi="ar"/>
              </w:rPr>
              <w:t xml:space="preserve"> 县级以上地方人民政府人力资源社会保障、发展改革、财政、公安等部门和相关行业工程建设主管部门工作人员，在履行农民工工资支付监督管理职责过程中滥用职权、玩忽职守、徇私舞弊的，依法依规给予处分；构成犯罪的，依法追究刑事责任。</w:t>
            </w:r>
          </w:p>
        </w:tc>
      </w:tr>
    </w:tbl>
    <w:p w14:paraId="68049EE0">
      <w:pPr>
        <w:keepNext w:val="0"/>
        <w:keepLines w:val="0"/>
        <w:pageBreakBefore w:val="0"/>
        <w:widowControl w:val="0"/>
        <w:numPr>
          <w:ilvl w:val="0"/>
          <w:numId w:val="0"/>
        </w:numPr>
        <w:pBdr>
          <w:top w:val="none" w:color="000000" w:sz="0" w:space="0"/>
          <w:left w:val="none" w:color="000000" w:sz="0" w:space="0"/>
          <w:bottom w:val="none" w:color="000000" w:sz="0" w:space="9"/>
          <w:right w:val="none" w:color="000000" w:sz="0" w:space="0"/>
        </w:pBdr>
        <w:kinsoku/>
        <w:wordWrap/>
        <w:topLinePunct w:val="0"/>
        <w:autoSpaceDE/>
        <w:autoSpaceDN/>
        <w:bidi w:val="0"/>
        <w:adjustRightInd/>
        <w:snapToGrid/>
        <w:spacing w:line="560" w:lineRule="exact"/>
        <w:textAlignment w:val="auto"/>
        <w:rPr>
          <w:rFonts w:hint="default"/>
          <w:color w:val="auto"/>
          <w:highlight w:val="none"/>
          <w:u w:val="none"/>
          <w:lang w:val="en-US" w:eastAsia="zh-CN"/>
        </w:rPr>
      </w:pPr>
    </w:p>
    <w:p w14:paraId="3C916B8D">
      <w:pPr>
        <w:pStyle w:val="2"/>
        <w:ind w:left="0" w:leftChars="0" w:firstLine="0" w:firstLineChars="0"/>
        <w:rPr>
          <w:rFonts w:hint="eastAsia" w:ascii="Times New Roman" w:hAnsi="Times New Roman" w:eastAsia="方正黑体_GBK" w:cs="Times New Roman"/>
          <w:sz w:val="32"/>
          <w:szCs w:val="32"/>
          <w:highlight w:val="none"/>
          <w:lang w:val="en-US" w:eastAsia="zh-CN"/>
        </w:rPr>
        <w:sectPr>
          <w:pgSz w:w="16838" w:h="11906" w:orient="landscape"/>
          <w:pgMar w:top="283" w:right="283" w:bottom="283" w:left="283" w:header="851" w:footer="992" w:gutter="0"/>
          <w:pgNumType w:fmt="decimal"/>
          <w:cols w:space="0" w:num="1"/>
          <w:rtlGutter w:val="0"/>
          <w:docGrid w:type="lines" w:linePitch="442" w:charSpace="0"/>
        </w:sectPr>
      </w:pPr>
    </w:p>
    <w:p w14:paraId="5D9A2A2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1C0E03"/>
    <w:rsid w:val="211C0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line="560" w:lineRule="exact"/>
      <w:ind w:firstLine="200" w:firstLineChars="200"/>
      <w:outlineLvl w:val="2"/>
    </w:pPr>
    <w:rPr>
      <w:rFonts w:ascii="方正楷体_GBK" w:hAnsi="方正楷体_GBK" w:eastAsia="方正楷体_GBK" w:cs="仿宋"/>
      <w:color w:val="000000" w:themeColor="text1"/>
      <w:sz w:val="32"/>
      <w:szCs w:val="32"/>
      <w14:textFill>
        <w14:solidFill>
          <w14:schemeClr w14:val="tx1"/>
        </w14:solidFill>
      </w14:textFill>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2026-08-19T07:43:00Z</dcterms:created>
  <dc:creator>佚名</dc:creator>
  <cp:lastModifiedBy>佚名</cp:lastModifiedBy>
  <dcterms:modified xsi:type="dcterms:W3CDTF">2026-08-19T07:43:48Z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7408DE00CB6E4E12901E781B38C424F4_11</vt:lpwstr>
  </property>
</Properties>
</file>