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B1808">
      <w:pPr>
        <w:keepNext w:val="0"/>
        <w:keepLines w:val="0"/>
        <w:pageBreakBefore w:val="0"/>
        <w:widowControl w:val="0"/>
        <w:kinsoku/>
        <w:wordWrap/>
        <w:topLinePunct w:val="0"/>
        <w:autoSpaceDE/>
        <w:autoSpaceDN/>
        <w:bidi w:val="0"/>
        <w:adjustRightInd/>
        <w:snapToGrid/>
        <w:spacing w:line="560" w:lineRule="exact"/>
        <w:textAlignment w:val="auto"/>
        <w:rPr>
          <w:rFonts w:hint="eastAsia" w:ascii="Times New Roman" w:hAnsi="Times New Roman" w:eastAsia="方正黑体_GBK" w:cs="Times New Roman"/>
          <w:sz w:val="32"/>
          <w:szCs w:val="32"/>
          <w:highlight w:val="none"/>
          <w:lang w:eastAsia="zh-CN"/>
        </w:rPr>
      </w:pPr>
      <w:r>
        <w:rPr>
          <w:rFonts w:ascii="Times New Roman" w:hAnsi="Times New Roman" w:eastAsia="方正黑体_GBK" w:cs="Times New Roman"/>
          <w:sz w:val="32"/>
          <w:szCs w:val="32"/>
          <w:highlight w:val="none"/>
        </w:rPr>
        <w:t>附件</w:t>
      </w:r>
      <w:r>
        <w:rPr>
          <w:rFonts w:hint="default" w:ascii="Times New Roman" w:hAnsi="Times New Roman" w:eastAsia="方正黑体_GBK" w:cs="Times New Roman"/>
          <w:sz w:val="32"/>
          <w:szCs w:val="32"/>
          <w:highlight w:val="none"/>
          <w:lang w:val="en-US" w:eastAsia="zh-CN"/>
        </w:rPr>
        <w:t>2</w:t>
      </w:r>
    </w:p>
    <w:p w14:paraId="46BDCDCF">
      <w:pPr>
        <w:keepNext w:val="0"/>
        <w:keepLines w:val="0"/>
        <w:pageBreakBefore w:val="0"/>
        <w:widowControl w:val="0"/>
        <w:kinsoku/>
        <w:wordWrap/>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小标宋_GBK" w:cs="Times New Roman"/>
          <w:sz w:val="44"/>
          <w:szCs w:val="44"/>
          <w:highlight w:val="none"/>
          <w:lang w:eastAsia="zh-CN" w:bidi="ar-SA"/>
        </w:rPr>
      </w:pPr>
    </w:p>
    <w:p w14:paraId="372C7D61">
      <w:pPr>
        <w:keepNext w:val="0"/>
        <w:keepLines w:val="0"/>
        <w:pageBreakBefore w:val="0"/>
        <w:widowControl w:val="0"/>
        <w:kinsoku/>
        <w:wordWrap/>
        <w:topLinePunct w:val="0"/>
        <w:autoSpaceDE/>
        <w:autoSpaceDN/>
        <w:bidi w:val="0"/>
        <w:adjustRightInd/>
        <w:snapToGrid/>
        <w:spacing w:line="560" w:lineRule="exact"/>
        <w:ind w:left="0" w:leftChars="0" w:firstLine="0" w:firstLineChars="0"/>
        <w:jc w:val="center"/>
        <w:textAlignment w:val="auto"/>
        <w:outlineLvl w:val="0"/>
        <w:rPr>
          <w:rFonts w:hint="eastAsia" w:ascii="Times New Roman" w:hAnsi="Times New Roman" w:eastAsia="方正小标宋_GBK" w:cs="Times New Roman"/>
          <w:color w:val="auto"/>
          <w:sz w:val="44"/>
          <w:szCs w:val="44"/>
          <w:highlight w:val="none"/>
          <w:u w:val="none"/>
          <w:lang w:eastAsia="zh-CN"/>
        </w:rPr>
      </w:pPr>
      <w:bookmarkStart w:id="0" w:name="_Toc25241"/>
      <w:bookmarkStart w:id="1" w:name="_Toc4630"/>
      <w:r>
        <w:rPr>
          <w:rFonts w:hint="default" w:ascii="Times New Roman" w:hAnsi="Times New Roman" w:eastAsia="方正小标宋_GBK" w:cs="Times New Roman"/>
          <w:color w:val="auto"/>
          <w:sz w:val="44"/>
          <w:szCs w:val="44"/>
          <w:highlight w:val="none"/>
          <w:u w:val="none"/>
          <w:lang w:eastAsia="zh-CN" w:bidi="ar-SA"/>
        </w:rPr>
        <w:t>关于</w:t>
      </w:r>
      <w:r>
        <w:rPr>
          <w:rFonts w:hint="eastAsia" w:ascii="Times New Roman" w:hAnsi="Times New Roman" w:eastAsia="方正小标宋_GBK" w:cs="Times New Roman"/>
          <w:color w:val="auto"/>
          <w:sz w:val="44"/>
          <w:szCs w:val="44"/>
          <w:highlight w:val="none"/>
          <w:u w:val="none"/>
          <w:lang w:eastAsia="zh-CN"/>
        </w:rPr>
        <w:t>《乌鲁木齐市</w:t>
      </w:r>
      <w:r>
        <w:rPr>
          <w:rFonts w:hint="eastAsia" w:ascii="Times New Roman" w:hAnsi="Times New Roman" w:eastAsia="方正小标宋_GBK" w:cs="Times New Roman"/>
          <w:color w:val="auto"/>
          <w:sz w:val="44"/>
          <w:szCs w:val="44"/>
          <w:highlight w:val="none"/>
          <w:u w:val="none"/>
          <w:lang w:val="en-US" w:eastAsia="zh-CN"/>
        </w:rPr>
        <w:t>工程建设领域</w:t>
      </w:r>
      <w:r>
        <w:rPr>
          <w:rFonts w:hint="eastAsia" w:ascii="Times New Roman" w:hAnsi="Times New Roman" w:eastAsia="方正小标宋_GBK" w:cs="Times New Roman"/>
          <w:color w:val="auto"/>
          <w:sz w:val="44"/>
          <w:szCs w:val="44"/>
          <w:highlight w:val="none"/>
          <w:u w:val="none"/>
          <w:lang w:eastAsia="zh-CN"/>
        </w:rPr>
        <w:t>治理欠薪</w:t>
      </w:r>
    </w:p>
    <w:p w14:paraId="7C9D952D">
      <w:pPr>
        <w:keepNext w:val="0"/>
        <w:keepLines w:val="0"/>
        <w:pageBreakBefore w:val="0"/>
        <w:widowControl w:val="0"/>
        <w:kinsoku/>
        <w:wordWrap/>
        <w:topLinePunct w:val="0"/>
        <w:autoSpaceDE/>
        <w:autoSpaceDN/>
        <w:bidi w:val="0"/>
        <w:adjustRightInd/>
        <w:snapToGrid/>
        <w:spacing w:line="560" w:lineRule="exact"/>
        <w:ind w:left="0" w:leftChars="0" w:firstLine="0" w:firstLineChars="0"/>
        <w:jc w:val="center"/>
        <w:textAlignment w:val="auto"/>
        <w:outlineLvl w:val="0"/>
        <w:rPr>
          <w:rFonts w:hint="default" w:ascii="Times New Roman" w:hAnsi="Times New Roman" w:eastAsia="方正小标宋_GBK" w:cs="Times New Roman"/>
          <w:color w:val="auto"/>
          <w:sz w:val="44"/>
          <w:szCs w:val="44"/>
          <w:highlight w:val="none"/>
          <w:u w:val="none"/>
          <w:lang w:val="en-US" w:eastAsia="zh-CN" w:bidi="ar-SA"/>
        </w:rPr>
      </w:pPr>
      <w:r>
        <w:rPr>
          <w:rFonts w:hint="eastAsia" w:ascii="Times New Roman" w:hAnsi="Times New Roman" w:eastAsia="方正小标宋_GBK" w:cs="Times New Roman"/>
          <w:color w:val="auto"/>
          <w:sz w:val="44"/>
          <w:szCs w:val="44"/>
          <w:highlight w:val="none"/>
          <w:u w:val="none"/>
          <w:lang w:eastAsia="zh-CN"/>
        </w:rPr>
        <w:t>工作措施</w:t>
      </w:r>
      <w:r>
        <w:rPr>
          <w:rFonts w:hint="eastAsia" w:eastAsia="方正小标宋_GBK" w:cs="Times New Roman"/>
          <w:color w:val="auto"/>
          <w:sz w:val="44"/>
          <w:szCs w:val="44"/>
          <w:highlight w:val="none"/>
          <w:u w:val="none"/>
          <w:lang w:eastAsia="zh-CN"/>
        </w:rPr>
        <w:t>（</w:t>
      </w:r>
      <w:r>
        <w:rPr>
          <w:rFonts w:hint="eastAsia" w:eastAsia="方正小标宋_GBK" w:cs="Times New Roman"/>
          <w:color w:val="auto"/>
          <w:sz w:val="44"/>
          <w:szCs w:val="44"/>
          <w:highlight w:val="none"/>
          <w:u w:val="none"/>
          <w:lang w:val="en-US" w:eastAsia="zh-CN"/>
        </w:rPr>
        <w:t>征求意见稿</w:t>
      </w:r>
      <w:r>
        <w:rPr>
          <w:rFonts w:hint="eastAsia" w:eastAsia="方正小标宋_GBK" w:cs="Times New Roman"/>
          <w:color w:val="auto"/>
          <w:sz w:val="44"/>
          <w:szCs w:val="44"/>
          <w:highlight w:val="none"/>
          <w:u w:val="none"/>
          <w:lang w:eastAsia="zh-CN"/>
        </w:rPr>
        <w:t>）</w:t>
      </w:r>
      <w:r>
        <w:rPr>
          <w:rFonts w:hint="eastAsia" w:ascii="Times New Roman" w:hAnsi="Times New Roman" w:eastAsia="方正小标宋_GBK" w:cs="Times New Roman"/>
          <w:color w:val="auto"/>
          <w:sz w:val="44"/>
          <w:szCs w:val="44"/>
          <w:highlight w:val="none"/>
          <w:u w:val="none"/>
          <w:lang w:eastAsia="zh-CN"/>
        </w:rPr>
        <w:t>》</w:t>
      </w:r>
      <w:bookmarkEnd w:id="0"/>
      <w:bookmarkEnd w:id="1"/>
      <w:bookmarkStart w:id="2" w:name="_Toc29740"/>
      <w:bookmarkStart w:id="3" w:name="_Toc26755"/>
      <w:r>
        <w:rPr>
          <w:rFonts w:hint="eastAsia" w:ascii="Times New Roman" w:hAnsi="Times New Roman" w:eastAsia="方正小标宋_GBK" w:cs="Times New Roman"/>
          <w:color w:val="auto"/>
          <w:sz w:val="44"/>
          <w:szCs w:val="44"/>
          <w:highlight w:val="none"/>
          <w:u w:val="none"/>
          <w:lang w:val="en-US" w:eastAsia="zh-CN" w:bidi="ar-SA"/>
        </w:rPr>
        <w:t>的</w:t>
      </w:r>
      <w:r>
        <w:rPr>
          <w:rFonts w:hint="eastAsia" w:eastAsia="方正小标宋_GBK" w:cs="Times New Roman"/>
          <w:color w:val="auto"/>
          <w:sz w:val="44"/>
          <w:szCs w:val="44"/>
          <w:highlight w:val="none"/>
          <w:u w:val="none"/>
          <w:lang w:val="en-US" w:eastAsia="zh-CN" w:bidi="ar-SA"/>
        </w:rPr>
        <w:t>起草说明</w:t>
      </w:r>
      <w:bookmarkEnd w:id="2"/>
      <w:bookmarkEnd w:id="3"/>
    </w:p>
    <w:p w14:paraId="39FCD8FF">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both"/>
        <w:textAlignment w:val="auto"/>
        <w:rPr>
          <w:rFonts w:hint="default" w:ascii="Times New Roman" w:hAnsi="Times New Roman" w:cs="Times New Roman"/>
          <w:color w:val="auto"/>
          <w:sz w:val="36"/>
          <w:szCs w:val="36"/>
          <w:highlight w:val="none"/>
          <w:u w:val="none"/>
          <w:lang w:eastAsia="zh-CN" w:bidi="ar-SA"/>
        </w:rPr>
      </w:pPr>
    </w:p>
    <w:p w14:paraId="569B13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default" w:ascii="Times New Roman" w:hAnsi="Times New Roman" w:eastAsia="方正仿宋_GBK" w:cs="Times New Roman"/>
          <w:color w:val="auto"/>
          <w:sz w:val="32"/>
          <w:szCs w:val="32"/>
          <w:highlight w:val="none"/>
          <w:u w:val="none"/>
          <w:lang w:eastAsia="zh-CN"/>
        </w:rPr>
        <w:t>为切实维护劳动者合法权益，防范化解欠薪风险，按照</w:t>
      </w:r>
      <w:r>
        <w:rPr>
          <w:rFonts w:hint="default" w:ascii="Times New Roman" w:hAnsi="Times New Roman" w:eastAsia="方正仿宋_GBK" w:cs="Times New Roman"/>
          <w:color w:val="auto"/>
          <w:sz w:val="32"/>
          <w:szCs w:val="32"/>
          <w:highlight w:val="none"/>
          <w:u w:val="none"/>
        </w:rPr>
        <w:t>市委市政府关于治理欠薪工作的</w:t>
      </w:r>
      <w:r>
        <w:rPr>
          <w:rFonts w:hint="default" w:ascii="Times New Roman" w:hAnsi="Times New Roman" w:eastAsia="方正仿宋_GBK" w:cs="Times New Roman"/>
          <w:color w:val="auto"/>
          <w:sz w:val="32"/>
          <w:szCs w:val="32"/>
          <w:highlight w:val="none"/>
          <w:u w:val="none"/>
          <w:lang w:eastAsia="zh-CN"/>
        </w:rPr>
        <w:t>具体</w:t>
      </w:r>
      <w:r>
        <w:rPr>
          <w:rFonts w:hint="default" w:ascii="Times New Roman" w:hAnsi="Times New Roman" w:eastAsia="方正仿宋_GBK" w:cs="Times New Roman"/>
          <w:color w:val="auto"/>
          <w:sz w:val="32"/>
          <w:szCs w:val="32"/>
          <w:highlight w:val="none"/>
          <w:u w:val="none"/>
          <w:lang w:val="en-US" w:eastAsia="zh-CN"/>
        </w:rPr>
        <w:t>要求</w:t>
      </w:r>
      <w:r>
        <w:rPr>
          <w:rFonts w:hint="default" w:ascii="Times New Roman" w:hAnsi="Times New Roman" w:eastAsia="方正仿宋_GBK" w:cs="Times New Roman"/>
          <w:color w:val="auto"/>
          <w:sz w:val="32"/>
          <w:szCs w:val="32"/>
          <w:highlight w:val="none"/>
          <w:u w:val="none"/>
        </w:rPr>
        <w:t>，</w:t>
      </w:r>
      <w:r>
        <w:rPr>
          <w:rFonts w:hint="default" w:ascii="Times New Roman" w:hAnsi="Times New Roman" w:eastAsia="方正仿宋_GBK" w:cs="Times New Roman"/>
          <w:color w:val="auto"/>
          <w:sz w:val="32"/>
          <w:szCs w:val="32"/>
          <w:highlight w:val="none"/>
          <w:u w:val="none"/>
          <w:lang w:eastAsia="zh-CN"/>
        </w:rPr>
        <w:t>根据《</w:t>
      </w:r>
      <w:r>
        <w:rPr>
          <w:rFonts w:hint="default" w:ascii="Times New Roman" w:hAnsi="Times New Roman" w:eastAsia="方正仿宋_GBK" w:cs="Times New Roman"/>
          <w:color w:val="auto"/>
          <w:sz w:val="32"/>
          <w:szCs w:val="32"/>
          <w:highlight w:val="none"/>
          <w:u w:val="none"/>
          <w:lang w:val="en-US" w:eastAsia="zh-CN"/>
        </w:rPr>
        <w:t>保障农民工工资支付条例</w:t>
      </w:r>
      <w:r>
        <w:rPr>
          <w:rFonts w:hint="default"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val="en-US" w:eastAsia="zh-CN"/>
        </w:rPr>
        <w:t>（国务院令第724号）</w:t>
      </w:r>
      <w:r>
        <w:rPr>
          <w:rFonts w:hint="default" w:ascii="Times New Roman" w:hAnsi="Times New Roman" w:eastAsia="方正仿宋_GBK" w:cs="Times New Roman"/>
          <w:color w:val="auto"/>
          <w:sz w:val="32"/>
          <w:szCs w:val="32"/>
          <w:highlight w:val="none"/>
          <w:u w:val="none"/>
          <w:lang w:eastAsia="zh-CN"/>
        </w:rPr>
        <w:t>等法律法规，结合本市实际，我</w:t>
      </w:r>
      <w:r>
        <w:rPr>
          <w:rFonts w:hint="default" w:ascii="Times New Roman" w:hAnsi="Times New Roman" w:eastAsia="方正仿宋_GBK" w:cs="Times New Roman"/>
          <w:color w:val="auto"/>
          <w:sz w:val="32"/>
          <w:szCs w:val="32"/>
          <w:highlight w:val="none"/>
          <w:u w:val="none"/>
        </w:rPr>
        <w:t>局牵头起草了《乌鲁木齐市</w:t>
      </w:r>
      <w:r>
        <w:rPr>
          <w:rFonts w:hint="default" w:ascii="Times New Roman" w:hAnsi="Times New Roman" w:eastAsia="方正仿宋_GBK" w:cs="Times New Roman"/>
          <w:color w:val="auto"/>
          <w:sz w:val="32"/>
          <w:szCs w:val="32"/>
          <w:highlight w:val="none"/>
          <w:u w:val="none"/>
          <w:lang w:val="en-US" w:eastAsia="zh-CN"/>
        </w:rPr>
        <w:t>工程建设领域</w:t>
      </w:r>
      <w:r>
        <w:rPr>
          <w:rFonts w:hint="default" w:ascii="Times New Roman" w:hAnsi="Times New Roman" w:eastAsia="方正仿宋_GBK" w:cs="Times New Roman"/>
          <w:color w:val="auto"/>
          <w:sz w:val="32"/>
          <w:szCs w:val="32"/>
          <w:highlight w:val="none"/>
          <w:u w:val="none"/>
        </w:rPr>
        <w:t>治理欠薪工作措施</w:t>
      </w:r>
      <w:r>
        <w:rPr>
          <w:rFonts w:hint="eastAsia" w:ascii="Times New Roman" w:hAnsi="Times New Roman" w:eastAsia="方正仿宋_GBK" w:cs="Times New Roman"/>
          <w:color w:val="auto"/>
          <w:sz w:val="32"/>
          <w:szCs w:val="32"/>
          <w:highlight w:val="none"/>
          <w:u w:val="none"/>
          <w:lang w:eastAsia="zh-CN"/>
        </w:rPr>
        <w:t>（</w:t>
      </w:r>
      <w:r>
        <w:rPr>
          <w:rFonts w:hint="eastAsia" w:ascii="Times New Roman" w:hAnsi="Times New Roman" w:eastAsia="方正仿宋_GBK" w:cs="Times New Roman"/>
          <w:color w:val="auto"/>
          <w:sz w:val="32"/>
          <w:szCs w:val="32"/>
          <w:highlight w:val="none"/>
          <w:u w:val="none"/>
          <w:lang w:val="en-US" w:eastAsia="zh-CN"/>
        </w:rPr>
        <w:t>征求意见稿</w:t>
      </w:r>
      <w:r>
        <w:rPr>
          <w:rFonts w:hint="eastAsia"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rPr>
        <w:t>》（以下简称《</w:t>
      </w:r>
      <w:r>
        <w:rPr>
          <w:rFonts w:hint="default" w:ascii="Times New Roman" w:hAnsi="Times New Roman" w:eastAsia="方正仿宋_GBK" w:cs="Times New Roman"/>
          <w:color w:val="auto"/>
          <w:sz w:val="32"/>
          <w:szCs w:val="32"/>
          <w:highlight w:val="none"/>
          <w:u w:val="none"/>
          <w:lang w:val="en-US" w:eastAsia="zh-CN"/>
        </w:rPr>
        <w:t>工作</w:t>
      </w:r>
      <w:r>
        <w:rPr>
          <w:rFonts w:hint="default" w:ascii="Times New Roman" w:hAnsi="Times New Roman" w:eastAsia="方正仿宋_GBK" w:cs="Times New Roman"/>
          <w:color w:val="auto"/>
          <w:sz w:val="32"/>
          <w:szCs w:val="32"/>
          <w:highlight w:val="none"/>
          <w:u w:val="none"/>
        </w:rPr>
        <w:t>措施》）。</w:t>
      </w:r>
      <w:r>
        <w:rPr>
          <w:rFonts w:hint="default" w:ascii="Times New Roman" w:hAnsi="Times New Roman" w:eastAsia="方正仿宋_GBK" w:cs="Times New Roman"/>
          <w:kern w:val="2"/>
          <w:sz w:val="32"/>
          <w:szCs w:val="32"/>
          <w:highlight w:val="none"/>
          <w:u w:val="none"/>
          <w:lang w:val="en-US" w:eastAsia="zh-CN" w:bidi="ar-SA"/>
        </w:rPr>
        <w:t>现将起草情况汇报如下。</w:t>
      </w:r>
    </w:p>
    <w:p w14:paraId="11C9B4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黑体_GBK" w:hAnsi="方正黑体_GBK" w:eastAsia="方正黑体_GBK" w:cs="方正黑体_GBK"/>
          <w:color w:val="auto"/>
          <w:sz w:val="32"/>
          <w:szCs w:val="32"/>
          <w:highlight w:val="none"/>
          <w:u w:val="none"/>
        </w:rPr>
      </w:pPr>
      <w:bookmarkStart w:id="4" w:name="_Toc8981"/>
      <w:r>
        <w:rPr>
          <w:rFonts w:hint="eastAsia" w:ascii="方正黑体_GBK" w:hAnsi="方正黑体_GBK" w:eastAsia="方正黑体_GBK" w:cs="方正黑体_GBK"/>
          <w:color w:val="auto"/>
          <w:sz w:val="32"/>
          <w:szCs w:val="32"/>
          <w:highlight w:val="none"/>
          <w:u w:val="none"/>
        </w:rPr>
        <w:t>一、</w:t>
      </w:r>
      <w:bookmarkEnd w:id="4"/>
      <w:r>
        <w:rPr>
          <w:rFonts w:hint="eastAsia" w:ascii="方正黑体_GBK" w:hAnsi="方正黑体_GBK" w:eastAsia="方正黑体_GBK" w:cs="方正黑体_GBK"/>
          <w:b w:val="0"/>
          <w:bCs w:val="0"/>
          <w:color w:val="auto"/>
          <w:kern w:val="2"/>
          <w:sz w:val="32"/>
          <w:szCs w:val="32"/>
          <w:highlight w:val="none"/>
          <w:u w:val="none"/>
          <w:lang w:val="en-US" w:eastAsia="zh-CN" w:bidi="ar-SA"/>
        </w:rPr>
        <w:t>社会管理领域现状及主要解决的问题</w:t>
      </w:r>
    </w:p>
    <w:p w14:paraId="7CF0366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b w:val="0"/>
          <w:bCs w:val="0"/>
          <w:color w:val="auto"/>
          <w:kern w:val="2"/>
          <w:sz w:val="32"/>
          <w:szCs w:val="32"/>
          <w:highlight w:val="none"/>
          <w:u w:val="none"/>
          <w:lang w:val="en-US" w:eastAsia="zh-CN" w:bidi="ar-SA"/>
        </w:rPr>
        <w:t>作为首府城市，我市在建工程项目体量大、用工人数多，特别是年末岁尾阶段，农民工集中返乡期与工资支付高峰期叠加，导致欠薪问题多发频发。2025年11月18日，市委主要领导在治理欠薪工作调研</w:t>
      </w:r>
      <w:r>
        <w:rPr>
          <w:rFonts w:hint="eastAsia" w:ascii="方正仿宋_GBK" w:hAnsi="方正仿宋_GBK" w:eastAsia="方正仿宋_GBK" w:cs="方正仿宋_GBK"/>
          <w:b w:val="0"/>
          <w:bCs w:val="0"/>
          <w:color w:val="auto"/>
          <w:kern w:val="2"/>
          <w:sz w:val="32"/>
          <w:szCs w:val="32"/>
          <w:highlight w:val="none"/>
          <w:u w:val="none"/>
          <w:lang w:val="en-US" w:eastAsia="zh-CN" w:bidi="ar-SA"/>
        </w:rPr>
        <w:t>中明确提出“治理欠薪要坚持源头治理，做到遏增量、减存量”的工作要求，市政府分管领导就全市欠薪防控化解工作作出安排，要求“制定讨薪工作规范机制、拿出防范讨薪实招硬招”。为落实市委市政府工作要求，构建治理欠薪工作长效机制，推动治理欠薪工作从“被动应对”向“主动防控”转</w:t>
      </w:r>
      <w:r>
        <w:rPr>
          <w:rFonts w:hint="eastAsia" w:ascii="方正仿宋_GBK" w:hAnsi="方正仿宋_GBK" w:eastAsia="方正仿宋_GBK" w:cs="方正仿宋_GBK"/>
          <w:color w:val="auto"/>
          <w:sz w:val="32"/>
          <w:szCs w:val="32"/>
          <w:highlight w:val="none"/>
          <w:u w:val="none"/>
          <w:lang w:val="en-US" w:eastAsia="zh-CN"/>
        </w:rPr>
        <w:t>变，切实维护农民工劳动报酬权益，坚决守牢“不发生因欠薪引发重大群体性事件、不发生恶性极端事件</w:t>
      </w:r>
      <w:r>
        <w:rPr>
          <w:rFonts w:hint="default" w:ascii="Times New Roman" w:hAnsi="Times New Roman" w:eastAsia="方正仿宋_GBK" w:cs="Times New Roman"/>
          <w:color w:val="auto"/>
          <w:sz w:val="32"/>
          <w:szCs w:val="32"/>
          <w:highlight w:val="none"/>
          <w:u w:val="none"/>
          <w:lang w:val="en-US" w:eastAsia="zh-CN"/>
        </w:rPr>
        <w:t>、不发生重大负面舆情热点事件”底线。</w:t>
      </w:r>
    </w:p>
    <w:p w14:paraId="71A704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黑体_GBK" w:hAnsi="方正黑体_GBK" w:eastAsia="方正黑体_GBK" w:cs="方正黑体_GBK"/>
          <w:color w:val="auto"/>
          <w:sz w:val="32"/>
          <w:szCs w:val="32"/>
          <w:highlight w:val="none"/>
          <w:u w:val="none"/>
          <w:lang w:val="en-US" w:eastAsia="zh-CN"/>
        </w:rPr>
      </w:pPr>
      <w:bookmarkStart w:id="5" w:name="_Toc16035"/>
      <w:r>
        <w:rPr>
          <w:rFonts w:hint="eastAsia" w:ascii="方正黑体_GBK" w:hAnsi="方正黑体_GBK" w:eastAsia="方正黑体_GBK" w:cs="方正黑体_GBK"/>
          <w:color w:val="auto"/>
          <w:sz w:val="32"/>
          <w:szCs w:val="32"/>
          <w:highlight w:val="none"/>
          <w:u w:val="none"/>
        </w:rPr>
        <w:t>二、</w:t>
      </w:r>
      <w:r>
        <w:rPr>
          <w:rFonts w:hint="eastAsia" w:ascii="方正黑体_GBK" w:hAnsi="方正黑体_GBK" w:eastAsia="方正黑体_GBK" w:cs="方正黑体_GBK"/>
          <w:b w:val="0"/>
          <w:bCs w:val="0"/>
          <w:color w:val="auto"/>
          <w:kern w:val="2"/>
          <w:sz w:val="32"/>
          <w:szCs w:val="32"/>
          <w:highlight w:val="none"/>
          <w:u w:val="none"/>
          <w:lang w:val="en-US" w:eastAsia="zh-CN" w:bidi="ar-SA"/>
        </w:rPr>
        <w:t>制定的必要性、可行性及合理性</w:t>
      </w:r>
    </w:p>
    <w:p w14:paraId="320FFC3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kern w:val="2"/>
          <w:sz w:val="32"/>
          <w:szCs w:val="32"/>
          <w:highlight w:val="none"/>
          <w:u w:val="none"/>
          <w:lang w:val="en-US" w:eastAsia="zh-CN" w:bidi="ar-SA"/>
        </w:rPr>
      </w:pPr>
      <w:r>
        <w:rPr>
          <w:rFonts w:hint="eastAsia" w:ascii="方正楷体_GBK" w:hAnsi="方正楷体_GBK" w:eastAsia="方正楷体_GBK" w:cs="方正楷体_GBK"/>
          <w:b w:val="0"/>
          <w:bCs w:val="0"/>
          <w:color w:val="auto"/>
          <w:kern w:val="2"/>
          <w:sz w:val="32"/>
          <w:szCs w:val="32"/>
          <w:highlight w:val="none"/>
          <w:u w:val="none"/>
          <w:lang w:val="en-US" w:eastAsia="zh-CN" w:bidi="ar-SA"/>
        </w:rPr>
        <w:t>（一）制定的必要性。</w:t>
      </w:r>
      <w:r>
        <w:rPr>
          <w:rFonts w:hint="eastAsia" w:ascii="方正仿宋_GBK" w:hAnsi="方正仿宋_GBK" w:eastAsia="方正仿宋_GBK" w:cs="方正仿宋_GBK"/>
          <w:b w:val="0"/>
          <w:bCs w:val="0"/>
          <w:color w:val="auto"/>
          <w:kern w:val="2"/>
          <w:sz w:val="32"/>
          <w:szCs w:val="32"/>
          <w:highlight w:val="none"/>
          <w:u w:val="none"/>
          <w:lang w:val="en-US" w:eastAsia="zh-CN" w:bidi="ar-SA"/>
        </w:rPr>
        <w:t>当前，我市工程建设领域欠薪治理工作仍存在短板弱项，传统治理模式难以适配新形势、新要求。</w:t>
      </w:r>
      <w:r>
        <w:rPr>
          <w:rFonts w:hint="eastAsia" w:ascii="方正仿宋_GBK" w:hAnsi="方正仿宋_GBK" w:eastAsia="方正仿宋_GBK" w:cs="方正仿宋_GBK"/>
          <w:b/>
          <w:bCs/>
          <w:color w:val="auto"/>
          <w:kern w:val="2"/>
          <w:sz w:val="32"/>
          <w:szCs w:val="32"/>
          <w:highlight w:val="none"/>
          <w:u w:val="none"/>
          <w:lang w:val="en-US" w:eastAsia="zh-CN" w:bidi="ar-SA"/>
        </w:rPr>
        <w:t>一是</w:t>
      </w:r>
      <w:r>
        <w:rPr>
          <w:rFonts w:hint="eastAsia" w:ascii="方正仿宋_GBK" w:hAnsi="方正仿宋_GBK" w:eastAsia="方正仿宋_GBK" w:cs="方正仿宋_GBK"/>
          <w:b w:val="0"/>
          <w:bCs w:val="0"/>
          <w:color w:val="auto"/>
          <w:kern w:val="2"/>
          <w:sz w:val="32"/>
          <w:szCs w:val="32"/>
          <w:highlight w:val="none"/>
          <w:u w:val="none"/>
          <w:lang w:val="en-US" w:eastAsia="zh-CN" w:bidi="ar-SA"/>
        </w:rPr>
        <w:t>治理体系不够完善，我市治理欠薪工作多以事后处置、专项整治为主，源头防控、过程监管机制不够健全，无建设资金保障的工程项目盲目开工、工程款与人工费用混同拨付、用工管理不规范等源头问题未彻底根治，新增欠薪风险隐患持续存在。</w:t>
      </w:r>
      <w:r>
        <w:rPr>
          <w:rFonts w:hint="eastAsia" w:ascii="方正仿宋_GBK" w:hAnsi="方正仿宋_GBK" w:eastAsia="方正仿宋_GBK" w:cs="方正仿宋_GBK"/>
          <w:b/>
          <w:bCs/>
          <w:color w:val="auto"/>
          <w:kern w:val="2"/>
          <w:sz w:val="32"/>
          <w:szCs w:val="32"/>
          <w:highlight w:val="none"/>
          <w:u w:val="none"/>
          <w:lang w:val="en-US" w:eastAsia="zh-CN" w:bidi="ar-SA"/>
        </w:rPr>
        <w:t>二是</w:t>
      </w:r>
      <w:r>
        <w:rPr>
          <w:rFonts w:hint="eastAsia" w:ascii="方正仿宋_GBK" w:hAnsi="方正仿宋_GBK" w:eastAsia="方正仿宋_GBK" w:cs="方正仿宋_GBK"/>
          <w:b w:val="0"/>
          <w:bCs w:val="0"/>
          <w:color w:val="auto"/>
          <w:kern w:val="2"/>
          <w:sz w:val="32"/>
          <w:szCs w:val="32"/>
          <w:highlight w:val="none"/>
          <w:u w:val="none"/>
          <w:lang w:val="en-US" w:eastAsia="zh-CN" w:bidi="ar-SA"/>
        </w:rPr>
        <w:t>监管合力尚未完全形成，人社、住建、发改、财政等行业部门监管职责衔接不够紧密，属地监管、行业监管、企业主体责任落实存在漏洞，部分工程项目存在监管盲区，存量欠薪问题化解进度迟滞。</w:t>
      </w:r>
      <w:r>
        <w:rPr>
          <w:rFonts w:hint="eastAsia" w:ascii="方正仿宋_GBK" w:hAnsi="方正仿宋_GBK" w:eastAsia="方正仿宋_GBK" w:cs="方正仿宋_GBK"/>
          <w:b/>
          <w:bCs/>
          <w:color w:val="auto"/>
          <w:kern w:val="2"/>
          <w:sz w:val="32"/>
          <w:szCs w:val="32"/>
          <w:highlight w:val="none"/>
          <w:u w:val="none"/>
          <w:lang w:val="en-US" w:eastAsia="zh-CN" w:bidi="ar-SA"/>
        </w:rPr>
        <w:t>三是</w:t>
      </w:r>
      <w:r>
        <w:rPr>
          <w:rFonts w:hint="eastAsia" w:ascii="方正仿宋_GBK" w:hAnsi="方正仿宋_GBK" w:eastAsia="方正仿宋_GBK" w:cs="方正仿宋_GBK"/>
          <w:b w:val="0"/>
          <w:bCs w:val="0"/>
          <w:color w:val="auto"/>
          <w:kern w:val="2"/>
          <w:sz w:val="32"/>
          <w:szCs w:val="32"/>
          <w:highlight w:val="none"/>
          <w:u w:val="none"/>
          <w:lang w:val="en-US" w:eastAsia="zh-CN" w:bidi="ar-SA"/>
        </w:rPr>
        <w:t>风险防控压力持续增大，我市工程项目涉及多个行业领域、劳动用工流动性强，年末集中欠薪、重复欠薪、隐蔽性欠薪等问题时有发生，极易引发结算纠纷、群体性事件，一定程度上影响社会大局稳定、营商环境优化和民生福祉保障。因此，亟需出台针对性、操作性强的治理欠薪工作措施，补齐治理短板、堵塞监管漏洞，构建常态化、制度化欠薪治理体系。</w:t>
      </w:r>
    </w:p>
    <w:p w14:paraId="6F9F100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kern w:val="2"/>
          <w:sz w:val="32"/>
          <w:szCs w:val="32"/>
          <w:highlight w:val="none"/>
          <w:u w:val="none"/>
          <w:lang w:val="en-US" w:eastAsia="zh-CN" w:bidi="ar-SA"/>
        </w:rPr>
      </w:pPr>
      <w:r>
        <w:rPr>
          <w:rFonts w:hint="eastAsia" w:ascii="方正楷体_GBK" w:hAnsi="方正楷体_GBK" w:eastAsia="方正楷体_GBK" w:cs="方正楷体_GBK"/>
          <w:b w:val="0"/>
          <w:bCs w:val="0"/>
          <w:color w:val="auto"/>
          <w:kern w:val="2"/>
          <w:sz w:val="32"/>
          <w:szCs w:val="32"/>
          <w:highlight w:val="none"/>
          <w:u w:val="none"/>
          <w:lang w:val="en-US" w:eastAsia="zh-CN" w:bidi="ar-SA"/>
        </w:rPr>
        <w:t>（二）制定的可行性。</w:t>
      </w:r>
      <w:r>
        <w:rPr>
          <w:rFonts w:hint="eastAsia" w:ascii="方正仿宋_GBK" w:hAnsi="方正仿宋_GBK" w:eastAsia="方正仿宋_GBK" w:cs="方正仿宋_GBK"/>
          <w:b/>
          <w:bCs/>
          <w:color w:val="auto"/>
          <w:kern w:val="2"/>
          <w:sz w:val="32"/>
          <w:szCs w:val="32"/>
          <w:highlight w:val="none"/>
          <w:u w:val="none"/>
          <w:lang w:val="en-US" w:eastAsia="zh-CN" w:bidi="ar-SA"/>
        </w:rPr>
        <w:t>一方面</w:t>
      </w:r>
      <w:r>
        <w:rPr>
          <w:rFonts w:hint="eastAsia" w:ascii="方正仿宋_GBK" w:hAnsi="方正仿宋_GBK" w:eastAsia="方正仿宋_GBK" w:cs="方正仿宋_GBK"/>
          <w:b w:val="0"/>
          <w:bCs w:val="0"/>
          <w:color w:val="auto"/>
          <w:kern w:val="2"/>
          <w:sz w:val="32"/>
          <w:szCs w:val="32"/>
          <w:highlight w:val="none"/>
          <w:u w:val="none"/>
          <w:lang w:val="en-US" w:eastAsia="zh-CN" w:bidi="ar-SA"/>
        </w:rPr>
        <w:t>，国家、自治区层面已出台一系列保障农民工工资支付的法律法规和政策文件，为我市制定《工作措施》提供了坚实的政策依据和制度支撑，各项制度落实监管、资金保障、惩戒问责制度体系成熟完备，可结合我市实际落地细化。</w:t>
      </w:r>
      <w:r>
        <w:rPr>
          <w:rFonts w:hint="eastAsia" w:ascii="方正仿宋_GBK" w:hAnsi="方正仿宋_GBK" w:eastAsia="方正仿宋_GBK" w:cs="方正仿宋_GBK"/>
          <w:b/>
          <w:bCs/>
          <w:color w:val="auto"/>
          <w:kern w:val="2"/>
          <w:sz w:val="32"/>
          <w:szCs w:val="32"/>
          <w:highlight w:val="none"/>
          <w:u w:val="none"/>
          <w:lang w:val="en-US" w:eastAsia="zh-CN" w:bidi="ar-SA"/>
        </w:rPr>
        <w:t>另一方面</w:t>
      </w:r>
      <w:r>
        <w:rPr>
          <w:rFonts w:hint="eastAsia" w:ascii="方正仿宋_GBK" w:hAnsi="方正仿宋_GBK" w:eastAsia="方正仿宋_GBK" w:cs="方正仿宋_GBK"/>
          <w:b w:val="0"/>
          <w:bCs w:val="0"/>
          <w:color w:val="auto"/>
          <w:kern w:val="2"/>
          <w:sz w:val="32"/>
          <w:szCs w:val="32"/>
          <w:highlight w:val="none"/>
          <w:u w:val="none"/>
          <w:lang w:val="en-US" w:eastAsia="zh-CN" w:bidi="ar-SA"/>
        </w:rPr>
        <w:t>，我市长期开展工程建设领域治理欠薪专项行动，积累了较为丰富的用工监管、线索处置、纠纷化解工作经验，各行业主管部门、区（县）属地监管机制基本健全，具备全面推行全链条闭环治理的工作基础。同时，前期广泛征求了行业主管部门、区（县）、行业协会及市场主体意见，贴合我市工程项目建设、用工管理、工资支付实际。</w:t>
      </w:r>
    </w:p>
    <w:p w14:paraId="47B1C64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kern w:val="2"/>
          <w:sz w:val="32"/>
          <w:szCs w:val="32"/>
          <w:highlight w:val="none"/>
          <w:u w:val="none"/>
          <w:lang w:val="en-US" w:eastAsia="zh-CN" w:bidi="ar-SA"/>
        </w:rPr>
      </w:pPr>
      <w:r>
        <w:rPr>
          <w:rFonts w:hint="eastAsia" w:ascii="方正楷体_GBK" w:hAnsi="方正楷体_GBK" w:eastAsia="方正楷体_GBK" w:cs="方正楷体_GBK"/>
          <w:b w:val="0"/>
          <w:bCs w:val="0"/>
          <w:color w:val="auto"/>
          <w:kern w:val="2"/>
          <w:sz w:val="32"/>
          <w:szCs w:val="32"/>
          <w:highlight w:val="none"/>
          <w:u w:val="none"/>
          <w:lang w:val="en-US" w:eastAsia="zh-CN" w:bidi="ar-SA"/>
        </w:rPr>
        <w:t>（三）制定的合理性。</w:t>
      </w:r>
      <w:r>
        <w:rPr>
          <w:rFonts w:hint="eastAsia" w:ascii="方正仿宋_GBK" w:hAnsi="方正仿宋_GBK" w:eastAsia="方正仿宋_GBK" w:cs="方正仿宋_GBK"/>
          <w:b w:val="0"/>
          <w:bCs w:val="0"/>
          <w:color w:val="auto"/>
          <w:kern w:val="2"/>
          <w:sz w:val="32"/>
          <w:szCs w:val="32"/>
          <w:highlight w:val="none"/>
          <w:u w:val="none"/>
          <w:lang w:val="en-US" w:eastAsia="zh-CN" w:bidi="ar-SA"/>
        </w:rPr>
        <w:t>《工作措施》坚持问题导向、目标导向和结果导向，严格遵循依法治理、精准施策、标本兼治的原则，不增加企业不合理负担，有效遏制欠薪增量、减少欠薪存量。结合工程项目行业特点，进一步细化人工费用拨付、专用账户管理、施工过程结算等机制，规范行业劳动用工秩序。立足首府治理实际，聚焦无资金来源项目、违规用工、拖欠工程款导致的欠薪问题，区分增量防控、存量化解、风险稳控三类工作重点，权责划分清晰、治理路径明确、奖惩机制合理，兼顾了民生保障、行业规范和市场公平，符合我市社会治理和工程建设领域高质量发展需求。</w:t>
      </w:r>
    </w:p>
    <w:p w14:paraId="3A6BB92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黑体_GBK" w:hAnsi="方正黑体_GBK" w:eastAsia="方正黑体_GBK" w:cs="方正黑体_GBK"/>
          <w:b w:val="0"/>
          <w:bCs w:val="0"/>
          <w:color w:val="auto"/>
          <w:kern w:val="2"/>
          <w:sz w:val="32"/>
          <w:szCs w:val="32"/>
          <w:highlight w:val="none"/>
          <w:u w:val="none"/>
          <w:lang w:val="en-US" w:eastAsia="zh-CN" w:bidi="ar-SA"/>
        </w:rPr>
      </w:pPr>
      <w:r>
        <w:rPr>
          <w:rFonts w:hint="eastAsia" w:ascii="方正黑体_GBK" w:hAnsi="方正黑体_GBK" w:eastAsia="方正黑体_GBK" w:cs="方正黑体_GBK"/>
          <w:b w:val="0"/>
          <w:bCs w:val="0"/>
          <w:color w:val="auto"/>
          <w:kern w:val="2"/>
          <w:sz w:val="32"/>
          <w:szCs w:val="32"/>
          <w:highlight w:val="none"/>
          <w:u w:val="none"/>
          <w:lang w:val="en-US" w:eastAsia="zh-CN" w:bidi="ar-SA"/>
        </w:rPr>
        <w:t>三、制定的依据</w:t>
      </w:r>
    </w:p>
    <w:p w14:paraId="394DC61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方正仿宋_GBK" w:cs="Times New Roman"/>
          <w:b w:val="0"/>
          <w:bCs w:val="0"/>
          <w:color w:val="auto"/>
          <w:kern w:val="2"/>
          <w:sz w:val="32"/>
          <w:szCs w:val="32"/>
          <w:highlight w:val="none"/>
          <w:u w:val="none"/>
          <w:lang w:val="en-US" w:eastAsia="zh-CN" w:bidi="ar-SA"/>
        </w:rPr>
      </w:pPr>
      <w:r>
        <w:rPr>
          <w:rFonts w:hint="default" w:ascii="Times New Roman" w:hAnsi="Times New Roman" w:eastAsia="方正仿宋_GBK" w:cs="Times New Roman"/>
          <w:b w:val="0"/>
          <w:bCs w:val="0"/>
          <w:color w:val="auto"/>
          <w:kern w:val="2"/>
          <w:sz w:val="32"/>
          <w:szCs w:val="32"/>
          <w:highlight w:val="none"/>
          <w:u w:val="none"/>
          <w:lang w:val="en-US" w:eastAsia="zh-CN" w:bidi="ar-SA"/>
        </w:rPr>
        <w:t>依据《保障农民工工资支付条例》（国务院令第724号）、《新疆维吾尔自治区政府投资管理办法》（新疆维吾尔自治区人民政府令第247号）</w:t>
      </w:r>
      <w:r>
        <w:rPr>
          <w:rFonts w:hint="default" w:ascii="Times New Roman" w:hAnsi="Times New Roman" w:eastAsia="方正仿宋_GBK" w:cs="Times New Roman"/>
          <w:b w:val="0"/>
          <w:bCs w:val="0"/>
          <w:i w:val="0"/>
          <w:iCs w:val="0"/>
          <w:caps w:val="0"/>
          <w:color w:val="333333"/>
          <w:spacing w:val="0"/>
          <w:sz w:val="32"/>
          <w:szCs w:val="32"/>
          <w:highlight w:val="none"/>
          <w:shd w:val="clear" w:fill="FFFFFF"/>
          <w:lang w:val="en-US" w:eastAsia="zh-CN"/>
        </w:rPr>
        <w:t>、</w:t>
      </w:r>
      <w:r>
        <w:rPr>
          <w:rFonts w:hint="default" w:ascii="Times New Roman" w:hAnsi="Times New Roman" w:eastAsia="方正仿宋_GBK" w:cs="Times New Roman"/>
          <w:b w:val="0"/>
          <w:bCs w:val="0"/>
          <w:color w:val="auto"/>
          <w:kern w:val="2"/>
          <w:sz w:val="32"/>
          <w:szCs w:val="32"/>
          <w:highlight w:val="none"/>
          <w:u w:val="none"/>
          <w:lang w:val="en-US" w:eastAsia="zh-CN" w:bidi="ar-SA"/>
        </w:rPr>
        <w:t>《自治区人力资源和社会保障厅等七部门关于印发〈新疆维吾尔自治区工程建设领域农民工工资专用账户管理实施细则〉的通知》（新人社规〔2022〕2号）、自治区住建厅、发展改革委和财政厅《关于印发〈关于在房屋建筑和市政基础设施工程中推行施工过程结算的实施意见〉的通知》（新建规〔2023〕11号）、自治区人力资源和社会保障厅等六部门《关于印发〈关于政府项目推行人工费用单项按月拨付的实施意见〉的通知》（新人社发〔2025〕26号）、《乌鲁木齐市城市管理行政综合执法试行办法》（乌鲁木齐市人民政府令第39号）、乌鲁木齐市建设局和乌鲁木齐市住房保障和房产管理局《关于加强房屋建筑和市政基础设施工程建设领域工程款支付担保管理工作的通知》（乌建发〔2023〕115号）等文件，着力破解我市工程建设领域欠薪顽疾，构建治理欠薪工作长效机制。</w:t>
      </w:r>
    </w:p>
    <w:p w14:paraId="08355C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方正黑体_GBK" w:cs="Times New Roman"/>
          <w:color w:val="auto"/>
          <w:sz w:val="32"/>
          <w:szCs w:val="32"/>
          <w:highlight w:val="none"/>
          <w:u w:val="none"/>
        </w:rPr>
      </w:pPr>
      <w:r>
        <w:rPr>
          <w:rFonts w:hint="eastAsia" w:eastAsia="方正黑体_GBK" w:cs="Times New Roman"/>
          <w:color w:val="auto"/>
          <w:sz w:val="32"/>
          <w:szCs w:val="32"/>
          <w:highlight w:val="none"/>
          <w:u w:val="none"/>
          <w:lang w:val="en-US" w:eastAsia="zh-CN"/>
        </w:rPr>
        <w:t>四、起草</w:t>
      </w:r>
      <w:r>
        <w:rPr>
          <w:rFonts w:hint="default" w:ascii="Times New Roman" w:hAnsi="Times New Roman" w:eastAsia="方正黑体_GBK" w:cs="Times New Roman"/>
          <w:color w:val="auto"/>
          <w:sz w:val="32"/>
          <w:szCs w:val="32"/>
          <w:highlight w:val="none"/>
          <w:u w:val="none"/>
        </w:rPr>
        <w:t>过程</w:t>
      </w:r>
      <w:bookmarkEnd w:id="5"/>
    </w:p>
    <w:p w14:paraId="5430818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eastAsia="zh-CN"/>
        </w:rPr>
      </w:pPr>
      <w:r>
        <w:rPr>
          <w:rFonts w:hint="default" w:ascii="Times New Roman" w:hAnsi="Times New Roman" w:eastAsia="方正仿宋_GBK" w:cs="Times New Roman"/>
          <w:color w:val="auto"/>
          <w:sz w:val="32"/>
          <w:szCs w:val="32"/>
          <w:highlight w:val="none"/>
          <w:u w:val="none"/>
          <w:lang w:val="en-US" w:eastAsia="zh-CN"/>
        </w:rPr>
        <w:t>2025年12月2日</w:t>
      </w:r>
      <w:r>
        <w:rPr>
          <w:rFonts w:hint="default" w:ascii="Times New Roman" w:hAnsi="Times New Roman" w:eastAsia="方正仿宋_GBK" w:cs="Times New Roman"/>
          <w:color w:val="auto"/>
          <w:sz w:val="32"/>
          <w:szCs w:val="32"/>
          <w:highlight w:val="none"/>
          <w:u w:val="none"/>
        </w:rPr>
        <w:t>至</w:t>
      </w:r>
      <w:r>
        <w:rPr>
          <w:rFonts w:hint="default" w:ascii="Times New Roman" w:hAnsi="Times New Roman" w:eastAsia="方正仿宋_GBK" w:cs="Times New Roman"/>
          <w:color w:val="auto"/>
          <w:sz w:val="32"/>
          <w:szCs w:val="32"/>
          <w:highlight w:val="none"/>
          <w:u w:val="none"/>
          <w:lang w:val="en-US" w:eastAsia="zh-CN"/>
        </w:rPr>
        <w:t>2026年7月1</w:t>
      </w:r>
      <w:r>
        <w:rPr>
          <w:rFonts w:hint="default" w:ascii="Times New Roman" w:hAnsi="Times New Roman" w:eastAsia="方正仿宋_GBK" w:cs="Times New Roman"/>
          <w:color w:val="auto"/>
          <w:sz w:val="32"/>
          <w:szCs w:val="32"/>
          <w:highlight w:val="none"/>
          <w:u w:val="none"/>
        </w:rPr>
        <w:t>日，我局</w:t>
      </w:r>
      <w:r>
        <w:rPr>
          <w:rFonts w:hint="default" w:ascii="Times New Roman" w:hAnsi="Times New Roman" w:eastAsia="方正仿宋_GBK" w:cs="Times New Roman"/>
          <w:color w:val="auto"/>
          <w:sz w:val="32"/>
          <w:szCs w:val="32"/>
          <w:highlight w:val="none"/>
          <w:u w:val="none"/>
          <w:lang w:val="en-US" w:eastAsia="zh-CN"/>
        </w:rPr>
        <w:t>按照</w:t>
      </w:r>
      <w:r>
        <w:rPr>
          <w:rFonts w:hint="default" w:ascii="Times New Roman" w:hAnsi="Times New Roman" w:eastAsia="方正仿宋_GBK" w:cs="Times New Roman"/>
          <w:color w:val="auto"/>
          <w:sz w:val="32"/>
          <w:szCs w:val="32"/>
          <w:highlight w:val="none"/>
          <w:u w:val="none"/>
        </w:rPr>
        <w:t>市领导工作要求</w:t>
      </w:r>
      <w:r>
        <w:rPr>
          <w:rFonts w:hint="default"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val="en-US" w:eastAsia="zh-CN"/>
        </w:rPr>
        <w:t>结合我市</w:t>
      </w:r>
      <w:r>
        <w:rPr>
          <w:rFonts w:hint="default" w:ascii="Times New Roman" w:hAnsi="Times New Roman" w:eastAsia="方正仿宋_GBK" w:cs="Times New Roman"/>
          <w:color w:val="auto"/>
          <w:sz w:val="32"/>
          <w:szCs w:val="32"/>
          <w:highlight w:val="none"/>
          <w:u w:val="none"/>
        </w:rPr>
        <w:t>欠薪治理</w:t>
      </w:r>
      <w:r>
        <w:rPr>
          <w:rFonts w:hint="default" w:ascii="Times New Roman" w:hAnsi="Times New Roman" w:eastAsia="方正仿宋_GBK" w:cs="Times New Roman"/>
          <w:color w:val="auto"/>
          <w:sz w:val="32"/>
          <w:szCs w:val="32"/>
          <w:highlight w:val="none"/>
          <w:u w:val="none"/>
          <w:lang w:eastAsia="zh-CN"/>
        </w:rPr>
        <w:t>工作</w:t>
      </w:r>
      <w:r>
        <w:rPr>
          <w:rFonts w:hint="default" w:ascii="Times New Roman" w:hAnsi="Times New Roman" w:eastAsia="方正仿宋_GBK" w:cs="Times New Roman"/>
          <w:color w:val="auto"/>
          <w:sz w:val="32"/>
          <w:szCs w:val="32"/>
          <w:highlight w:val="none"/>
          <w:u w:val="none"/>
        </w:rPr>
        <w:t>实际</w:t>
      </w:r>
      <w:r>
        <w:rPr>
          <w:rFonts w:hint="default"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sz w:val="32"/>
          <w:szCs w:val="32"/>
          <w:highlight w:val="none"/>
          <w:u w:val="none"/>
          <w:lang w:val="en-US" w:eastAsia="zh-CN"/>
        </w:rPr>
        <w:t>草拟了</w:t>
      </w:r>
      <w:r>
        <w:rPr>
          <w:rFonts w:hint="default" w:ascii="Times New Roman" w:hAnsi="Times New Roman" w:eastAsia="方正仿宋_GBK" w:cs="Times New Roman"/>
          <w:color w:val="auto"/>
          <w:sz w:val="32"/>
          <w:szCs w:val="32"/>
          <w:highlight w:val="none"/>
          <w:u w:val="none"/>
        </w:rPr>
        <w:t>《</w:t>
      </w:r>
      <w:r>
        <w:rPr>
          <w:rFonts w:hint="default" w:ascii="Times New Roman" w:hAnsi="Times New Roman" w:eastAsia="方正仿宋_GBK" w:cs="Times New Roman"/>
          <w:color w:val="auto"/>
          <w:sz w:val="32"/>
          <w:szCs w:val="32"/>
          <w:highlight w:val="none"/>
          <w:u w:val="none"/>
          <w:lang w:eastAsia="zh-CN"/>
        </w:rPr>
        <w:t>工作措施</w:t>
      </w:r>
      <w:r>
        <w:rPr>
          <w:rFonts w:hint="default" w:ascii="Times New Roman" w:hAnsi="Times New Roman" w:eastAsia="方正仿宋_GBK" w:cs="Times New Roman"/>
          <w:color w:val="auto"/>
          <w:sz w:val="32"/>
          <w:szCs w:val="32"/>
          <w:highlight w:val="none"/>
          <w:u w:val="none"/>
        </w:rPr>
        <w:t>》</w:t>
      </w:r>
      <w:r>
        <w:rPr>
          <w:rFonts w:hint="default"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val="en-US" w:eastAsia="zh-CN"/>
        </w:rPr>
        <w:t>市分管领导分别于2026年</w:t>
      </w:r>
      <w:r>
        <w:rPr>
          <w:rFonts w:hint="default" w:ascii="Times New Roman" w:hAnsi="Times New Roman" w:eastAsia="方正仿宋_GBK" w:cs="Times New Roman"/>
          <w:color w:val="auto"/>
          <w:kern w:val="2"/>
          <w:sz w:val="32"/>
          <w:szCs w:val="32"/>
          <w:highlight w:val="none"/>
          <w:u w:val="none"/>
          <w:lang w:val="en-US" w:eastAsia="zh-CN" w:bidi="ar-SA"/>
        </w:rPr>
        <w:t>5月8日、5月25日、6月1日和7月1日</w:t>
      </w:r>
      <w:r>
        <w:rPr>
          <w:rFonts w:hint="default" w:ascii="Times New Roman" w:hAnsi="Times New Roman" w:eastAsia="方正仿宋_GBK" w:cs="Times New Roman"/>
          <w:color w:val="auto"/>
          <w:sz w:val="32"/>
          <w:szCs w:val="32"/>
          <w:highlight w:val="none"/>
          <w:u w:val="none"/>
          <w:lang w:val="en-US" w:eastAsia="zh-CN"/>
        </w:rPr>
        <w:t>召集</w:t>
      </w:r>
      <w:r>
        <w:rPr>
          <w:rFonts w:hint="default" w:ascii="Times New Roman" w:hAnsi="Times New Roman" w:eastAsia="方正仿宋_GBK" w:cs="Times New Roman"/>
          <w:color w:val="auto"/>
          <w:kern w:val="2"/>
          <w:sz w:val="32"/>
          <w:szCs w:val="32"/>
          <w:highlight w:val="none"/>
          <w:u w:val="none"/>
          <w:lang w:val="en-US" w:eastAsia="zh-CN" w:bidi="ar-SA"/>
        </w:rPr>
        <w:t>各区（县）、</w:t>
      </w:r>
      <w:r>
        <w:rPr>
          <w:rFonts w:hint="default" w:ascii="Times New Roman" w:hAnsi="Times New Roman" w:eastAsia="方正仿宋_GBK" w:cs="Times New Roman"/>
          <w:color w:val="auto"/>
          <w:sz w:val="32"/>
          <w:szCs w:val="32"/>
          <w:highlight w:val="none"/>
          <w:u w:val="none"/>
          <w:lang w:val="en-US" w:eastAsia="zh-CN"/>
        </w:rPr>
        <w:t>相关市属行业主管部门召开审核会议，按照会议要求，</w:t>
      </w:r>
      <w:r>
        <w:rPr>
          <w:rFonts w:hint="default" w:ascii="Times New Roman" w:hAnsi="Times New Roman" w:eastAsia="方正仿宋_GBK" w:cs="Times New Roman"/>
          <w:color w:val="auto"/>
          <w:kern w:val="2"/>
          <w:sz w:val="32"/>
          <w:szCs w:val="32"/>
          <w:highlight w:val="none"/>
          <w:u w:val="none"/>
          <w:lang w:val="en-US" w:eastAsia="zh-CN" w:bidi="ar-SA"/>
        </w:rPr>
        <w:t>我局多次进行修改完善，形成</w:t>
      </w:r>
      <w:r>
        <w:rPr>
          <w:rFonts w:hint="default" w:ascii="Times New Roman" w:hAnsi="Times New Roman" w:eastAsia="方正仿宋_GBK" w:cs="Times New Roman"/>
          <w:color w:val="auto"/>
          <w:sz w:val="32"/>
          <w:szCs w:val="32"/>
          <w:highlight w:val="none"/>
          <w:u w:val="none"/>
        </w:rPr>
        <w:t>《</w:t>
      </w:r>
      <w:r>
        <w:rPr>
          <w:rFonts w:hint="default" w:ascii="Times New Roman" w:hAnsi="Times New Roman" w:eastAsia="方正仿宋_GBK" w:cs="Times New Roman"/>
          <w:color w:val="auto"/>
          <w:sz w:val="32"/>
          <w:szCs w:val="32"/>
          <w:highlight w:val="none"/>
          <w:u w:val="none"/>
          <w:lang w:eastAsia="zh-CN"/>
        </w:rPr>
        <w:t>工作措施（</w:t>
      </w:r>
      <w:r>
        <w:rPr>
          <w:rFonts w:hint="default" w:ascii="Times New Roman" w:hAnsi="Times New Roman" w:eastAsia="方正仿宋_GBK" w:cs="Times New Roman"/>
          <w:color w:val="auto"/>
          <w:sz w:val="32"/>
          <w:szCs w:val="32"/>
          <w:highlight w:val="none"/>
          <w:u w:val="none"/>
          <w:lang w:val="en-US" w:eastAsia="zh-CN"/>
        </w:rPr>
        <w:t>征求意见稿</w:t>
      </w:r>
      <w:r>
        <w:rPr>
          <w:rFonts w:hint="default"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rPr>
        <w:t>》</w:t>
      </w:r>
      <w:r>
        <w:rPr>
          <w:rFonts w:hint="default" w:ascii="Times New Roman" w:hAnsi="Times New Roman" w:eastAsia="方正仿宋_GBK" w:cs="Times New Roman"/>
          <w:color w:val="auto"/>
          <w:sz w:val="32"/>
          <w:szCs w:val="32"/>
          <w:highlight w:val="none"/>
          <w:u w:val="none"/>
          <w:lang w:eastAsia="zh-CN"/>
        </w:rPr>
        <w:t>。</w:t>
      </w:r>
    </w:p>
    <w:p w14:paraId="49AD27C1">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2026年7月2日，我局</w:t>
      </w:r>
      <w:r>
        <w:rPr>
          <w:rFonts w:hint="default" w:ascii="Times New Roman" w:hAnsi="Times New Roman" w:eastAsia="方正仿宋_GBK" w:cs="Times New Roman"/>
          <w:color w:val="auto"/>
          <w:sz w:val="32"/>
          <w:szCs w:val="32"/>
          <w:highlight w:val="none"/>
          <w:u w:val="none"/>
          <w:lang w:eastAsia="zh-CN"/>
        </w:rPr>
        <w:t>分别</w:t>
      </w:r>
      <w:r>
        <w:rPr>
          <w:rFonts w:hint="default" w:ascii="Times New Roman" w:hAnsi="Times New Roman" w:eastAsia="方正仿宋_GBK" w:cs="Times New Roman"/>
          <w:color w:val="auto"/>
          <w:sz w:val="32"/>
          <w:szCs w:val="32"/>
          <w:highlight w:val="none"/>
          <w:u w:val="none"/>
          <w:lang w:val="en-US" w:eastAsia="zh-CN"/>
        </w:rPr>
        <w:t>向各区（县）、相关市属行业主管部门、行业协会及有代表性的企业等27家单位致函征求意见建议，其中3家单位提出6条意见建议，24家单位无意见建议。</w:t>
      </w:r>
      <w:r>
        <w:rPr>
          <w:rFonts w:hint="eastAsia" w:ascii="Times New Roman" w:hAnsi="Times New Roman" w:eastAsia="方正仿宋_GBK" w:cs="Times New Roman"/>
          <w:color w:val="auto"/>
          <w:sz w:val="32"/>
          <w:szCs w:val="32"/>
          <w:highlight w:val="none"/>
          <w:u w:val="none"/>
          <w:lang w:val="en-US" w:eastAsia="zh-CN"/>
        </w:rPr>
        <w:t>8</w:t>
      </w:r>
      <w:r>
        <w:rPr>
          <w:rFonts w:hint="default" w:ascii="Times New Roman" w:hAnsi="Times New Roman" w:eastAsia="方正仿宋_GBK" w:cs="Times New Roman"/>
          <w:color w:val="auto"/>
          <w:sz w:val="32"/>
          <w:szCs w:val="32"/>
          <w:highlight w:val="none"/>
          <w:u w:val="none"/>
          <w:lang w:val="en-US" w:eastAsia="zh-CN"/>
        </w:rPr>
        <w:t>月</w:t>
      </w:r>
      <w:r>
        <w:rPr>
          <w:rFonts w:hint="eastAsia" w:ascii="Times New Roman" w:hAnsi="Times New Roman" w:eastAsia="方正仿宋_GBK" w:cs="Times New Roman"/>
          <w:color w:val="auto"/>
          <w:sz w:val="32"/>
          <w:szCs w:val="32"/>
          <w:highlight w:val="none"/>
          <w:u w:val="none"/>
          <w:lang w:val="en-US" w:eastAsia="zh-CN"/>
        </w:rPr>
        <w:t>19</w:t>
      </w:r>
      <w:r>
        <w:rPr>
          <w:rFonts w:hint="default" w:ascii="Times New Roman" w:hAnsi="Times New Roman" w:eastAsia="方正仿宋_GBK" w:cs="Times New Roman"/>
          <w:color w:val="auto"/>
          <w:sz w:val="32"/>
          <w:szCs w:val="32"/>
          <w:highlight w:val="none"/>
          <w:u w:val="none"/>
          <w:lang w:val="en-US" w:eastAsia="zh-CN"/>
        </w:rPr>
        <w:t>日至</w:t>
      </w:r>
      <w:r>
        <w:rPr>
          <w:rFonts w:hint="eastAsia" w:ascii="Times New Roman" w:hAnsi="Times New Roman" w:eastAsia="方正仿宋_GBK" w:cs="Times New Roman"/>
          <w:color w:val="auto"/>
          <w:sz w:val="32"/>
          <w:szCs w:val="32"/>
          <w:highlight w:val="none"/>
          <w:u w:val="none"/>
          <w:lang w:val="en-US" w:eastAsia="zh-CN"/>
        </w:rPr>
        <w:t>8</w:t>
      </w:r>
      <w:r>
        <w:rPr>
          <w:rFonts w:hint="default" w:ascii="Times New Roman" w:hAnsi="Times New Roman" w:eastAsia="方正仿宋_GBK" w:cs="Times New Roman"/>
          <w:color w:val="auto"/>
          <w:sz w:val="32"/>
          <w:szCs w:val="32"/>
          <w:highlight w:val="none"/>
          <w:u w:val="none"/>
          <w:lang w:val="en-US" w:eastAsia="zh-CN"/>
        </w:rPr>
        <w:t>月</w:t>
      </w:r>
      <w:r>
        <w:rPr>
          <w:rFonts w:hint="eastAsia" w:ascii="Times New Roman" w:hAnsi="Times New Roman" w:eastAsia="方正仿宋_GBK" w:cs="Times New Roman"/>
          <w:color w:val="auto"/>
          <w:sz w:val="32"/>
          <w:szCs w:val="32"/>
          <w:highlight w:val="none"/>
          <w:u w:val="none"/>
          <w:lang w:val="en-US" w:eastAsia="zh-CN"/>
        </w:rPr>
        <w:t>27</w:t>
      </w:r>
      <w:r>
        <w:rPr>
          <w:rFonts w:hint="default" w:ascii="Times New Roman" w:hAnsi="Times New Roman" w:eastAsia="方正仿宋_GBK" w:cs="Times New Roman"/>
          <w:color w:val="auto"/>
          <w:sz w:val="32"/>
          <w:szCs w:val="32"/>
          <w:highlight w:val="none"/>
          <w:u w:val="none"/>
          <w:lang w:val="en-US" w:eastAsia="zh-CN"/>
        </w:rPr>
        <w:t>日，通过</w:t>
      </w:r>
      <w:r>
        <w:rPr>
          <w:rFonts w:hint="default" w:ascii="Times New Roman" w:hAnsi="Times New Roman" w:eastAsia="方正仿宋_GBK" w:cs="Times New Roman"/>
          <w:color w:val="auto"/>
          <w:kern w:val="2"/>
          <w:sz w:val="32"/>
          <w:szCs w:val="32"/>
          <w:highlight w:val="none"/>
          <w:u w:val="none"/>
          <w:lang w:val="en-US" w:eastAsia="zh-CN" w:bidi="ar-SA"/>
        </w:rPr>
        <w:t>乌鲁木齐市人民政府门户网站向社会公开征求意见建议</w:t>
      </w:r>
      <w:r>
        <w:rPr>
          <w:rFonts w:hint="default" w:ascii="Times New Roman" w:hAnsi="Times New Roman" w:eastAsia="方正仿宋_GBK" w:cs="Times New Roman"/>
          <w:color w:val="auto"/>
          <w:sz w:val="32"/>
          <w:szCs w:val="32"/>
          <w:highlight w:val="none"/>
          <w:u w:val="none"/>
          <w:lang w:val="en-US" w:eastAsia="zh-CN"/>
        </w:rPr>
        <w:t>。</w:t>
      </w:r>
    </w:p>
    <w:p w14:paraId="555E84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kern w:val="2"/>
          <w:sz w:val="32"/>
          <w:szCs w:val="32"/>
          <w:highlight w:val="none"/>
          <w:u w:val="none"/>
          <w:lang w:val="en-US" w:eastAsia="zh-CN" w:bidi="ar-SA"/>
        </w:rPr>
      </w:pPr>
      <w:r>
        <w:rPr>
          <w:rFonts w:hint="default" w:ascii="Times New Roman" w:hAnsi="Times New Roman" w:eastAsia="方正仿宋_GBK" w:cs="Times New Roman"/>
          <w:color w:val="auto"/>
          <w:sz w:val="32"/>
          <w:szCs w:val="32"/>
          <w:highlight w:val="none"/>
          <w:u w:val="none"/>
          <w:lang w:eastAsia="zh-CN"/>
        </w:rPr>
        <w:t>我局</w:t>
      </w:r>
      <w:r>
        <w:rPr>
          <w:rFonts w:hint="default" w:ascii="Times New Roman" w:hAnsi="Times New Roman" w:eastAsia="方正仿宋_GBK" w:cs="Times New Roman"/>
          <w:color w:val="auto"/>
          <w:kern w:val="2"/>
          <w:sz w:val="32"/>
          <w:szCs w:val="32"/>
          <w:highlight w:val="none"/>
          <w:u w:val="none"/>
          <w:lang w:val="en-US" w:eastAsia="zh-CN" w:bidi="ar-SA"/>
        </w:rPr>
        <w:t>对收集的意见建议逐一进行研究论证，对2</w:t>
      </w:r>
      <w:r>
        <w:rPr>
          <w:rFonts w:hint="default" w:ascii="Times New Roman" w:hAnsi="Times New Roman" w:eastAsia="方正仿宋_GBK" w:cs="Times New Roman"/>
          <w:color w:val="auto"/>
          <w:sz w:val="32"/>
          <w:szCs w:val="32"/>
          <w:highlight w:val="none"/>
          <w:u w:val="none"/>
          <w:lang w:val="en-US" w:eastAsia="zh-CN"/>
        </w:rPr>
        <w:t>条意见建议全部采纳、4条意见建议未采纳</w:t>
      </w:r>
      <w:r>
        <w:rPr>
          <w:rFonts w:hint="default" w:ascii="Times New Roman" w:hAnsi="Times New Roman" w:eastAsia="方正仿宋_GBK" w:cs="Times New Roman"/>
          <w:color w:val="auto"/>
          <w:kern w:val="2"/>
          <w:sz w:val="32"/>
          <w:szCs w:val="32"/>
          <w:highlight w:val="none"/>
          <w:u w:val="none"/>
          <w:lang w:val="en-US" w:eastAsia="zh-CN" w:bidi="ar-SA"/>
        </w:rPr>
        <w:t>，</w:t>
      </w:r>
      <w:r>
        <w:rPr>
          <w:rFonts w:hint="default" w:ascii="Times New Roman" w:hAnsi="Times New Roman" w:eastAsia="方正仿宋_GBK" w:cs="Times New Roman"/>
          <w:sz w:val="32"/>
          <w:szCs w:val="32"/>
          <w:highlight w:val="none"/>
          <w:u w:val="none"/>
          <w:lang w:val="en-US" w:eastAsia="zh-CN"/>
        </w:rPr>
        <w:t>结合3家单位意见建议再次进行修改完善</w:t>
      </w:r>
      <w:r>
        <w:rPr>
          <w:rFonts w:hint="default" w:ascii="Times New Roman" w:hAnsi="Times New Roman" w:eastAsia="方正仿宋_GBK" w:cs="Times New Roman"/>
          <w:color w:val="auto"/>
          <w:kern w:val="2"/>
          <w:sz w:val="32"/>
          <w:szCs w:val="32"/>
          <w:highlight w:val="none"/>
          <w:u w:val="none"/>
          <w:lang w:val="en-US" w:eastAsia="zh-CN" w:bidi="ar-SA"/>
        </w:rPr>
        <w:t>，形成《工作措施》。</w:t>
      </w:r>
    </w:p>
    <w:p w14:paraId="2677E6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方正黑体_GBK" w:cs="Times New Roman"/>
          <w:color w:val="auto"/>
          <w:sz w:val="32"/>
          <w:szCs w:val="32"/>
          <w:highlight w:val="none"/>
          <w:u w:val="none"/>
        </w:rPr>
      </w:pPr>
      <w:bookmarkStart w:id="6" w:name="_Toc14746"/>
      <w:r>
        <w:rPr>
          <w:rFonts w:hint="eastAsia" w:eastAsia="方正黑体_GBK" w:cs="Times New Roman"/>
          <w:color w:val="auto"/>
          <w:sz w:val="32"/>
          <w:szCs w:val="32"/>
          <w:highlight w:val="none"/>
          <w:u w:val="none"/>
          <w:lang w:val="en-US" w:eastAsia="zh-CN"/>
        </w:rPr>
        <w:t>五</w:t>
      </w:r>
      <w:r>
        <w:rPr>
          <w:rFonts w:hint="default" w:ascii="Times New Roman" w:hAnsi="Times New Roman" w:eastAsia="方正黑体_GBK" w:cs="Times New Roman"/>
          <w:color w:val="auto"/>
          <w:sz w:val="32"/>
          <w:szCs w:val="32"/>
          <w:highlight w:val="none"/>
          <w:u w:val="none"/>
        </w:rPr>
        <w:t>、主要内容</w:t>
      </w:r>
      <w:bookmarkEnd w:id="6"/>
    </w:p>
    <w:p w14:paraId="2DA1FD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K" w:hAnsi="方正仿宋_GBK" w:eastAsia="方正仿宋_GBK" w:cs="方正仿宋_GBK"/>
          <w:kern w:val="2"/>
          <w:sz w:val="32"/>
          <w:szCs w:val="32"/>
          <w:highlight w:val="none"/>
          <w:lang w:val="en-US" w:eastAsia="zh-CN" w:bidi="ar-SA"/>
        </w:rPr>
      </w:pPr>
      <w:bookmarkStart w:id="7" w:name="_Toc4482"/>
      <w:r>
        <w:rPr>
          <w:rFonts w:hint="eastAsia" w:ascii="方正仿宋_GBK" w:hAnsi="方正仿宋_GBK" w:eastAsia="方正仿宋_GBK" w:cs="方正仿宋_GBK"/>
          <w:kern w:val="2"/>
          <w:sz w:val="32"/>
          <w:szCs w:val="32"/>
          <w:highlight w:val="none"/>
          <w:lang w:val="en-US" w:eastAsia="zh-CN" w:bidi="ar-SA"/>
        </w:rPr>
        <w:t>《工作措施》聚焦工程建设领域，构建源头预防、过程监管、压实责任全链条闭环治理体系。</w:t>
      </w:r>
      <w:r>
        <w:rPr>
          <w:rFonts w:hint="eastAsia" w:ascii="方正仿宋_GBK" w:hAnsi="方正仿宋_GBK" w:eastAsia="方正仿宋_GBK" w:cs="方正仿宋_GBK"/>
          <w:b/>
          <w:bCs/>
          <w:kern w:val="2"/>
          <w:sz w:val="32"/>
          <w:szCs w:val="32"/>
          <w:highlight w:val="none"/>
          <w:lang w:val="en-US" w:eastAsia="zh-CN" w:bidi="ar-SA"/>
        </w:rPr>
        <w:t>一是</w:t>
      </w:r>
      <w:r>
        <w:rPr>
          <w:rFonts w:hint="eastAsia" w:ascii="方正仿宋_GBK" w:hAnsi="方正仿宋_GBK" w:eastAsia="方正仿宋_GBK" w:cs="方正仿宋_GBK"/>
          <w:kern w:val="2"/>
          <w:sz w:val="32"/>
          <w:szCs w:val="32"/>
          <w:highlight w:val="none"/>
          <w:lang w:val="en-US" w:eastAsia="zh-CN" w:bidi="ar-SA"/>
        </w:rPr>
        <w:t>抓实源头预防遏增量。严格项目准入审批，严控无资金来源项目落地，全面落实工资专用账户、农民工工资保证金、实名制管理等制度，规范人工费用按月拨付机制，从源头减少新增欠薪隐患。</w:t>
      </w:r>
      <w:r>
        <w:rPr>
          <w:rFonts w:hint="eastAsia" w:ascii="方正仿宋_GBK" w:hAnsi="方正仿宋_GBK" w:eastAsia="方正仿宋_GBK" w:cs="方正仿宋_GBK"/>
          <w:b/>
          <w:bCs/>
          <w:kern w:val="2"/>
          <w:sz w:val="32"/>
          <w:szCs w:val="32"/>
          <w:highlight w:val="none"/>
          <w:lang w:val="en-US" w:eastAsia="zh-CN" w:bidi="ar-SA"/>
        </w:rPr>
        <w:t>二是</w:t>
      </w:r>
      <w:r>
        <w:rPr>
          <w:rFonts w:hint="eastAsia" w:ascii="方正仿宋_GBK" w:hAnsi="方正仿宋_GBK" w:eastAsia="方正仿宋_GBK" w:cs="方正仿宋_GBK"/>
          <w:kern w:val="2"/>
          <w:sz w:val="32"/>
          <w:szCs w:val="32"/>
          <w:highlight w:val="none"/>
          <w:lang w:val="en-US" w:eastAsia="zh-CN" w:bidi="ar-SA"/>
        </w:rPr>
        <w:t>强化过程监管减存量。建立欠薪线索动态管理台账和闭环处置机制，规范施工现场全流程用工管理，紧盯在建、完工及违建项目，从严整治工程建设领域违规行为，全力化解存量欠薪问题。</w:t>
      </w:r>
      <w:r>
        <w:rPr>
          <w:rFonts w:hint="eastAsia" w:ascii="方正仿宋_GBK" w:hAnsi="方正仿宋_GBK" w:eastAsia="方正仿宋_GBK" w:cs="方正仿宋_GBK"/>
          <w:b/>
          <w:bCs/>
          <w:kern w:val="2"/>
          <w:sz w:val="32"/>
          <w:szCs w:val="32"/>
          <w:highlight w:val="none"/>
          <w:lang w:val="en-US" w:eastAsia="zh-CN" w:bidi="ar-SA"/>
        </w:rPr>
        <w:t>三是</w:t>
      </w:r>
      <w:r>
        <w:rPr>
          <w:rFonts w:hint="eastAsia" w:ascii="方正仿宋_GBK" w:hAnsi="方正仿宋_GBK" w:eastAsia="方正仿宋_GBK" w:cs="方正仿宋_GBK"/>
          <w:kern w:val="2"/>
          <w:sz w:val="32"/>
          <w:szCs w:val="32"/>
          <w:highlight w:val="none"/>
          <w:lang w:val="en-US" w:eastAsia="zh-CN" w:bidi="ar-SA"/>
        </w:rPr>
        <w:t>压实各方责任防变量。明晰人社统筹、行业监管、属地管理三级职责，健全企业诚信等级评价、联合惩戒、奖惩问责机制，凝聚部门治理欠薪工作合力，严防欠薪问题转变为社会安全问题。</w:t>
      </w:r>
    </w:p>
    <w:p w14:paraId="11D818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黑体_GBK" w:hAnsi="方正黑体_GBK" w:eastAsia="方正黑体_GBK" w:cs="方正黑体_GBK"/>
          <w:kern w:val="2"/>
          <w:sz w:val="32"/>
          <w:szCs w:val="32"/>
          <w:highlight w:val="none"/>
          <w:lang w:val="en-US" w:eastAsia="zh-CN" w:bidi="ar-SA"/>
        </w:rPr>
      </w:pPr>
      <w:r>
        <w:rPr>
          <w:rFonts w:hint="eastAsia" w:ascii="方正黑体_GBK" w:hAnsi="方正黑体_GBK" w:eastAsia="方正黑体_GBK" w:cs="方正黑体_GBK"/>
          <w:kern w:val="2"/>
          <w:sz w:val="32"/>
          <w:szCs w:val="32"/>
          <w:highlight w:val="none"/>
          <w:lang w:val="en-US" w:eastAsia="zh-CN" w:bidi="ar-SA"/>
        </w:rPr>
        <w:t>六、拟</w:t>
      </w:r>
      <w:r>
        <w:rPr>
          <w:rFonts w:hint="eastAsia" w:ascii="方正黑体_GBK" w:hAnsi="方正黑体_GBK" w:eastAsia="方正黑体_GBK" w:cs="方正黑体_GBK"/>
          <w:b w:val="0"/>
          <w:bCs w:val="0"/>
          <w:color w:val="auto"/>
          <w:kern w:val="2"/>
          <w:sz w:val="32"/>
          <w:szCs w:val="32"/>
          <w:highlight w:val="none"/>
          <w:u w:val="none"/>
          <w:lang w:val="en-US" w:eastAsia="zh-CN" w:bidi="ar-SA"/>
        </w:rPr>
        <w:t>设定行政措施的预期效果及可能产生的影响</w:t>
      </w:r>
    </w:p>
    <w:p w14:paraId="12431D65">
      <w:pPr>
        <w:keepNext w:val="0"/>
        <w:keepLines w:val="0"/>
        <w:pageBreakBefore w:val="0"/>
        <w:widowControl/>
        <w:suppressLineNumbers w:val="0"/>
        <w:kinsoku/>
        <w:wordWrap/>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kern w:val="2"/>
          <w:sz w:val="32"/>
          <w:szCs w:val="32"/>
          <w:highlight w:val="none"/>
          <w:u w:val="none"/>
          <w:lang w:val="en-US" w:eastAsia="zh-CN" w:bidi="ar-SA"/>
        </w:rPr>
      </w:pPr>
      <w:r>
        <w:rPr>
          <w:rFonts w:hint="eastAsia" w:ascii="方正楷体_GBK" w:hAnsi="方正楷体_GBK" w:eastAsia="方正楷体_GBK" w:cs="方正楷体_GBK"/>
          <w:kern w:val="2"/>
          <w:sz w:val="32"/>
          <w:szCs w:val="32"/>
          <w:highlight w:val="none"/>
          <w:u w:val="none"/>
          <w:lang w:val="en-US" w:eastAsia="zh-CN" w:bidi="ar-SA"/>
        </w:rPr>
        <w:t>（一）预期效果</w:t>
      </w:r>
    </w:p>
    <w:p w14:paraId="19AED1EC">
      <w:pPr>
        <w:keepNext w:val="0"/>
        <w:keepLines w:val="0"/>
        <w:pageBreakBefore w:val="0"/>
        <w:widowControl/>
        <w:suppressLineNumbers w:val="0"/>
        <w:kinsoku/>
        <w:wordWrap/>
        <w:topLinePunct w:val="0"/>
        <w:autoSpaceDE/>
        <w:autoSpaceDN/>
        <w:bidi w:val="0"/>
        <w:adjustRightInd/>
        <w:snapToGrid/>
        <w:spacing w:line="560" w:lineRule="exact"/>
        <w:ind w:firstLine="643" w:firstLineChars="200"/>
        <w:jc w:val="left"/>
        <w:textAlignment w:val="auto"/>
        <w:rPr>
          <w:rFonts w:hint="eastAsia" w:ascii="方正仿宋_GBK" w:hAnsi="方正仿宋_GBK" w:eastAsia="方正仿宋_GBK" w:cs="方正仿宋_GBK"/>
          <w:kern w:val="2"/>
          <w:sz w:val="32"/>
          <w:szCs w:val="32"/>
          <w:highlight w:val="none"/>
          <w:u w:val="none"/>
          <w:lang w:val="en-US" w:eastAsia="zh-CN" w:bidi="ar-SA"/>
        </w:rPr>
      </w:pPr>
      <w:r>
        <w:rPr>
          <w:rFonts w:hint="eastAsia" w:ascii="方正仿宋_GBK" w:hAnsi="方正仿宋_GBK" w:eastAsia="方正仿宋_GBK" w:cs="方正仿宋_GBK"/>
          <w:b/>
          <w:bCs/>
          <w:kern w:val="2"/>
          <w:sz w:val="32"/>
          <w:szCs w:val="32"/>
          <w:highlight w:val="none"/>
          <w:u w:val="none"/>
          <w:lang w:val="en-US" w:eastAsia="zh-CN" w:bidi="ar-SA"/>
        </w:rPr>
        <w:t>一是</w:t>
      </w:r>
      <w:r>
        <w:rPr>
          <w:rFonts w:hint="eastAsia" w:ascii="方正仿宋_GBK" w:hAnsi="方正仿宋_GBK" w:eastAsia="方正仿宋_GBK" w:cs="方正仿宋_GBK"/>
          <w:kern w:val="2"/>
          <w:sz w:val="32"/>
          <w:szCs w:val="32"/>
          <w:highlight w:val="none"/>
          <w:u w:val="none"/>
          <w:lang w:val="en-US" w:eastAsia="zh-CN" w:bidi="ar-SA"/>
        </w:rPr>
        <w:t>源头治理效能显著提升。通过严格工程项目建设资金审核、强化工资支付制度落实、推行人工费用按月拨付机制，从源头上杜绝无资金保障的工程项目盲目开工，人工费拨付不及时、劳动用工管理混乱等问题，有效遏制新增欠薪问题，实现源头治理可控、隐患动态清零。</w:t>
      </w:r>
      <w:r>
        <w:rPr>
          <w:rFonts w:hint="eastAsia" w:ascii="方正仿宋_GBK" w:hAnsi="方正仿宋_GBK" w:eastAsia="方正仿宋_GBK" w:cs="方正仿宋_GBK"/>
          <w:b/>
          <w:bCs/>
          <w:kern w:val="2"/>
          <w:sz w:val="32"/>
          <w:szCs w:val="32"/>
          <w:highlight w:val="none"/>
          <w:u w:val="none"/>
          <w:lang w:val="en-US" w:eastAsia="zh-CN" w:bidi="ar-SA"/>
        </w:rPr>
        <w:t>二是</w:t>
      </w:r>
      <w:r>
        <w:rPr>
          <w:rFonts w:hint="eastAsia" w:ascii="方正仿宋_GBK" w:hAnsi="方正仿宋_GBK" w:eastAsia="方正仿宋_GBK" w:cs="方正仿宋_GBK"/>
          <w:kern w:val="2"/>
          <w:sz w:val="32"/>
          <w:szCs w:val="32"/>
          <w:highlight w:val="none"/>
          <w:u w:val="none"/>
          <w:lang w:val="en-US" w:eastAsia="zh-CN" w:bidi="ar-SA"/>
        </w:rPr>
        <w:t>存量欠薪问题有效化解。通过建立风险隐患台账、落实欠薪线索闭环处置、开展常态化巡查监管，精准排查整治在建、完工及违建项目欠薪风险隐患，分类化解历年存量欠薪纠纷，逐步清零历史遗留欠薪问题，大幅降低工程领域欠薪投诉和信访总量。</w:t>
      </w:r>
      <w:r>
        <w:rPr>
          <w:rFonts w:hint="eastAsia" w:ascii="方正仿宋_GBK" w:hAnsi="方正仿宋_GBK" w:eastAsia="方正仿宋_GBK" w:cs="方正仿宋_GBK"/>
          <w:b/>
          <w:bCs/>
          <w:kern w:val="2"/>
          <w:sz w:val="32"/>
          <w:szCs w:val="32"/>
          <w:highlight w:val="none"/>
          <w:u w:val="none"/>
          <w:lang w:val="en-US" w:eastAsia="zh-CN" w:bidi="ar-SA"/>
        </w:rPr>
        <w:t>三是</w:t>
      </w:r>
      <w:r>
        <w:rPr>
          <w:rFonts w:hint="eastAsia" w:ascii="方正仿宋_GBK" w:hAnsi="方正仿宋_GBK" w:eastAsia="方正仿宋_GBK" w:cs="方正仿宋_GBK"/>
          <w:kern w:val="2"/>
          <w:sz w:val="32"/>
          <w:szCs w:val="32"/>
          <w:highlight w:val="none"/>
          <w:u w:val="none"/>
          <w:lang w:val="en-US" w:eastAsia="zh-CN" w:bidi="ar-SA"/>
        </w:rPr>
        <w:t>监管治理体系更加健全。进一步厘清行业主管部门、属地人民政府、用工企业三方责任，打通部门监管壁垒，形成各司其职、协同联动、齐抓共管的治理格局，扭转以往分散监管、被动处置的工作局面，实现欠薪治理常态化、规范化、制度化。</w:t>
      </w:r>
    </w:p>
    <w:p w14:paraId="57514129">
      <w:pPr>
        <w:keepNext w:val="0"/>
        <w:keepLines w:val="0"/>
        <w:pageBreakBefore w:val="0"/>
        <w:widowControl/>
        <w:suppressLineNumbers w:val="0"/>
        <w:kinsoku/>
        <w:wordWrap/>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kern w:val="2"/>
          <w:sz w:val="32"/>
          <w:szCs w:val="32"/>
          <w:highlight w:val="none"/>
          <w:u w:val="none"/>
          <w:lang w:val="en-US" w:eastAsia="zh-CN" w:bidi="ar-SA"/>
        </w:rPr>
      </w:pPr>
      <w:r>
        <w:rPr>
          <w:rFonts w:hint="eastAsia" w:ascii="方正楷体_GBK" w:hAnsi="方正楷体_GBK" w:eastAsia="方正楷体_GBK" w:cs="方正楷体_GBK"/>
          <w:kern w:val="2"/>
          <w:sz w:val="32"/>
          <w:szCs w:val="32"/>
          <w:highlight w:val="none"/>
          <w:u w:val="none"/>
          <w:lang w:val="en-US" w:eastAsia="zh-CN" w:bidi="ar-SA"/>
        </w:rPr>
        <w:t>（二）可能产生的影响</w:t>
      </w:r>
    </w:p>
    <w:p w14:paraId="54350B37">
      <w:pPr>
        <w:keepNext w:val="0"/>
        <w:keepLines w:val="0"/>
        <w:pageBreakBefore w:val="0"/>
        <w:widowControl/>
        <w:suppressLineNumbers w:val="0"/>
        <w:kinsoku/>
        <w:wordWrap/>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kern w:val="2"/>
          <w:sz w:val="32"/>
          <w:szCs w:val="32"/>
          <w:highlight w:val="none"/>
          <w:u w:val="none"/>
          <w:lang w:val="en-US" w:eastAsia="zh-CN" w:bidi="ar-SA"/>
        </w:rPr>
      </w:pPr>
      <w:r>
        <w:rPr>
          <w:rFonts w:hint="eastAsia" w:ascii="方正仿宋_GBK" w:hAnsi="方正仿宋_GBK" w:eastAsia="方正仿宋_GBK" w:cs="方正仿宋_GBK"/>
          <w:kern w:val="2"/>
          <w:sz w:val="32"/>
          <w:szCs w:val="32"/>
          <w:highlight w:val="none"/>
          <w:lang w:val="en-US" w:eastAsia="zh-CN" w:bidi="ar-SA"/>
        </w:rPr>
        <w:t>《工作措施》</w:t>
      </w:r>
      <w:r>
        <w:rPr>
          <w:rFonts w:hint="eastAsia" w:ascii="方正仿宋_GBK" w:hAnsi="方正仿宋_GBK" w:eastAsia="方正仿宋_GBK" w:cs="方正仿宋_GBK"/>
          <w:kern w:val="2"/>
          <w:sz w:val="32"/>
          <w:szCs w:val="32"/>
          <w:highlight w:val="none"/>
          <w:u w:val="none"/>
          <w:lang w:val="en-US" w:eastAsia="zh-CN" w:bidi="ar-SA"/>
        </w:rPr>
        <w:t>将全面规范我市工程建设领域劳动用工管理和工资支付行为，纠治工程建设领域欠薪顽疾，切实维护农民工劳动报酬权益，有效规范建筑市场秩序，净化行业发展环境，推动建筑行业规范化、高质量发展。此外，长效治理机制的建立，能够持续化解社会矛盾纠纷、维护社会公平正义，提升社会治理能力和治理效能。</w:t>
      </w:r>
    </w:p>
    <w:p w14:paraId="52C872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黑体_GBK" w:hAnsi="方正黑体_GBK" w:eastAsia="方正黑体_GBK" w:cs="方正黑体_GBK"/>
          <w:color w:val="auto"/>
          <w:sz w:val="32"/>
          <w:szCs w:val="32"/>
          <w:highlight w:val="none"/>
          <w:u w:val="none"/>
          <w:lang w:eastAsia="zh-CN"/>
        </w:rPr>
      </w:pPr>
      <w:r>
        <w:rPr>
          <w:rFonts w:hint="eastAsia" w:ascii="方正黑体_GBK" w:hAnsi="方正黑体_GBK" w:eastAsia="方正黑体_GBK" w:cs="方正黑体_GBK"/>
          <w:color w:val="auto"/>
          <w:sz w:val="32"/>
          <w:szCs w:val="32"/>
          <w:highlight w:val="none"/>
          <w:u w:val="none"/>
          <w:lang w:val="en-US" w:eastAsia="zh-CN"/>
        </w:rPr>
        <w:t>七</w:t>
      </w:r>
      <w:r>
        <w:rPr>
          <w:rFonts w:hint="eastAsia" w:ascii="方正黑体_GBK" w:hAnsi="方正黑体_GBK" w:eastAsia="方正黑体_GBK" w:cs="方正黑体_GBK"/>
          <w:color w:val="auto"/>
          <w:sz w:val="32"/>
          <w:szCs w:val="32"/>
          <w:highlight w:val="none"/>
          <w:u w:val="none"/>
          <w:lang w:eastAsia="zh-CN"/>
        </w:rPr>
        <w:t>、请示事项</w:t>
      </w:r>
      <w:bookmarkEnd w:id="7"/>
    </w:p>
    <w:p w14:paraId="650FA8C2">
      <w:pPr>
        <w:keepNext w:val="0"/>
        <w:keepLines w:val="0"/>
        <w:pageBreakBefore w:val="0"/>
        <w:widowControl/>
        <w:suppressLineNumbers w:val="0"/>
        <w:kinsoku/>
        <w:wordWrap/>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kern w:val="2"/>
          <w:sz w:val="32"/>
          <w:szCs w:val="32"/>
          <w:highlight w:val="none"/>
          <w:u w:val="none"/>
          <w:lang w:val="en-US" w:eastAsia="zh-CN" w:bidi="ar-SA"/>
        </w:rPr>
      </w:pPr>
      <w:r>
        <w:rPr>
          <w:rFonts w:hint="eastAsia" w:ascii="方正仿宋_GBK" w:hAnsi="方正仿宋_GBK" w:eastAsia="方正仿宋_GBK" w:cs="方正仿宋_GBK"/>
          <w:color w:val="auto"/>
          <w:sz w:val="32"/>
          <w:szCs w:val="32"/>
          <w:highlight w:val="none"/>
          <w:u w:val="none"/>
          <w:lang w:val="en-US" w:eastAsia="zh-CN"/>
        </w:rPr>
        <w:t>《工作措施》已征求了各区（县）、市属相关行业主管部门、行业协会及有代表性的企业意见建议并进行修改完善，</w:t>
      </w:r>
      <w:r>
        <w:rPr>
          <w:rFonts w:hint="eastAsia" w:ascii="方正仿宋_GBK" w:hAnsi="方正仿宋_GBK" w:eastAsia="方正仿宋_GBK" w:cs="方正仿宋_GBK"/>
          <w:kern w:val="2"/>
          <w:sz w:val="32"/>
          <w:szCs w:val="32"/>
          <w:highlight w:val="none"/>
          <w:u w:val="none"/>
          <w:lang w:val="en-US" w:eastAsia="zh-CN" w:bidi="ar-SA"/>
        </w:rPr>
        <w:t>建议呈报市政府常务会议研究审议。</w:t>
      </w:r>
    </w:p>
    <w:p w14:paraId="4345D9B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kern w:val="2"/>
          <w:sz w:val="32"/>
          <w:szCs w:val="32"/>
          <w:highlight w:val="none"/>
          <w:u w:val="none"/>
          <w:lang w:val="en-US" w:eastAsia="zh-CN" w:bidi="ar-SA"/>
        </w:rPr>
        <w:sectPr>
          <w:footerReference r:id="rId3" w:type="default"/>
          <w:pgSz w:w="11906" w:h="16838"/>
          <w:pgMar w:top="2098" w:right="1361" w:bottom="1531" w:left="1361" w:header="851" w:footer="992" w:gutter="0"/>
          <w:pgNumType w:fmt="decimal"/>
          <w:cols w:space="720" w:num="1"/>
          <w:docGrid w:type="lines" w:linePitch="312" w:charSpace="0"/>
        </w:sectPr>
      </w:pPr>
      <w:bookmarkStart w:id="8" w:name="_GoBack"/>
      <w:bookmarkEnd w:id="8"/>
    </w:p>
    <w:p w14:paraId="5C6CEDC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B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方正黑体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656D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35E0C31">
                          <w:pPr>
                            <w:pStyle w:val="4"/>
                            <w:rPr>
                              <w:rFonts w:hint="default" w:ascii="Times New Roman" w:hAnsi="Times New Roman" w:eastAsia="宋体" w:cs="Times New Roman"/>
                              <w:sz w:val="32"/>
                              <w:szCs w:val="32"/>
                              <w:lang w:eastAsia="zh-CN"/>
                            </w:rPr>
                          </w:pPr>
                          <w:r>
                            <w:rPr>
                              <w:rFonts w:hint="default" w:eastAsia="宋体" w:cs="Times New Roman"/>
                              <w:sz w:val="32"/>
                              <w:szCs w:val="32"/>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12</w:t>
                          </w:r>
                          <w:r>
                            <w:rPr>
                              <w:rFonts w:hint="default" w:ascii="Times New Roman" w:hAnsi="Times New Roman" w:eastAsia="宋体" w:cs="Times New Roman"/>
                              <w:sz w:val="28"/>
                              <w:szCs w:val="28"/>
                              <w:lang w:eastAsia="zh-CN"/>
                            </w:rPr>
                            <w:fldChar w:fldCharType="end"/>
                          </w:r>
                          <w:r>
                            <w:rPr>
                              <w:rFonts w:hint="default" w:eastAsia="宋体" w:cs="Times New Roman"/>
                              <w:sz w:val="32"/>
                              <w:szCs w:val="32"/>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N+E4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dYwVaRp6mEipKz1aod23&#10;Pc+9Kc6g6Uw3Kd7yTY1StsyHB+YwGigfjyfcYymlQUrTW5RUxn3513mMR8fgpaTBqOVU42VRIt9r&#10;dBKAYTDcYOwHQx/VncHsojmoJZm44IIczNIZ9RkvahVzwMU0R6achsG8C92440VysVqloKN19aHq&#10;LmAOLQtbvbM8polSebs6BkibFI8CdaqgU3GDSUw9619NHPU/9ynq8U+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5w34TgCAABxBAAADgAAAAAAAAABACAAAAAfAQAAZHJzL2Uyb0RvYy54&#10;bWxQSwUGAAAAAAYABgBZAQAAyQUAAAAA&#10;">
              <v:fill on="f" focussize="0,0"/>
              <v:stroke on="f" weight="0.5pt"/>
              <v:imagedata o:title=""/>
              <o:lock v:ext="edit" aspectratio="f"/>
              <v:textbox inset="0mm,0mm,0mm,0mm" style="mso-fit-shape-to-text:t;">
                <w:txbxContent>
                  <w:p w14:paraId="035E0C31">
                    <w:pPr>
                      <w:pStyle w:val="4"/>
                      <w:rPr>
                        <w:rFonts w:hint="default" w:ascii="Times New Roman" w:hAnsi="Times New Roman" w:eastAsia="宋体" w:cs="Times New Roman"/>
                        <w:sz w:val="32"/>
                        <w:szCs w:val="32"/>
                        <w:lang w:eastAsia="zh-CN"/>
                      </w:rPr>
                    </w:pPr>
                    <w:r>
                      <w:rPr>
                        <w:rFonts w:hint="default" w:eastAsia="宋体" w:cs="Times New Roman"/>
                        <w:sz w:val="32"/>
                        <w:szCs w:val="32"/>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12</w:t>
                    </w:r>
                    <w:r>
                      <w:rPr>
                        <w:rFonts w:hint="default" w:ascii="Times New Roman" w:hAnsi="Times New Roman" w:eastAsia="宋体" w:cs="Times New Roman"/>
                        <w:sz w:val="28"/>
                        <w:szCs w:val="28"/>
                        <w:lang w:eastAsia="zh-CN"/>
                      </w:rPr>
                      <w:fldChar w:fldCharType="end"/>
                    </w:r>
                    <w:r>
                      <w:rPr>
                        <w:rFonts w:hint="default" w:eastAsia="宋体" w:cs="Times New Roman"/>
                        <w:sz w:val="32"/>
                        <w:szCs w:val="32"/>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532037"/>
    <w:rsid w:val="1E532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keepNext/>
      <w:keepLines/>
      <w:spacing w:line="560" w:lineRule="exact"/>
      <w:ind w:firstLine="200" w:firstLineChars="200"/>
      <w:outlineLvl w:val="2"/>
    </w:pPr>
    <w:rPr>
      <w:rFonts w:ascii="方正楷体_GBK" w:hAnsi="方正楷体_GBK" w:eastAsia="方正楷体_GBK" w:cs="仿宋"/>
      <w:color w:val="000000" w:themeColor="text1"/>
      <w:sz w:val="32"/>
      <w:szCs w:val="32"/>
      <w14:textFill>
        <w14:solidFill>
          <w14:schemeClr w14:val="tx1"/>
        </w14:solidFill>
      </w14:textFill>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index 5"/>
    <w:basedOn w:val="1"/>
    <w:next w:val="1"/>
    <w:qFormat/>
    <w:uiPriority w:val="0"/>
    <w:pPr>
      <w:ind w:left="1680"/>
    </w:pPr>
  </w:style>
  <w:style w:type="paragraph" w:styleId="4">
    <w:name w:val="footer"/>
    <w:basedOn w:val="1"/>
    <w:next w:val="3"/>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2026-08-19T07:43:00Z</dcterms:created>
  <dc:creator>佚名</dc:creator>
  <cp:lastModifiedBy>佚名</cp:lastModifiedBy>
  <dcterms:modified xsi:type="dcterms:W3CDTF">2026-08-19T07:43:17Z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3F18DBC3CE96463191E1683CB32E8C96_11</vt:lpwstr>
  </property>
</Properties>
</file>