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8C34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附件</w:t>
      </w:r>
      <w:r>
        <w:rPr>
          <w:rFonts w:hint="default" w:ascii="Times New Roman" w:hAnsi="Times New Roman" w:eastAsia="方正黑体_GBK" w:cs="Times New Roman"/>
          <w:sz w:val="32"/>
          <w:szCs w:val="32"/>
          <w:highlight w:val="none"/>
          <w:lang w:val="en-US" w:eastAsia="zh-CN"/>
        </w:rPr>
        <w:t>1</w:t>
      </w:r>
    </w:p>
    <w:p w14:paraId="6286C3D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highlight w:val="none"/>
          <w:lang w:val="en-US" w:eastAsia="zh-CN"/>
        </w:rPr>
      </w:pPr>
    </w:p>
    <w:p w14:paraId="2D148D2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color w:val="auto"/>
          <w:sz w:val="44"/>
          <w:szCs w:val="44"/>
          <w:highlight w:val="none"/>
          <w:u w:val="none"/>
          <w:lang w:val="en-US" w:eastAsia="zh-CN"/>
        </w:rPr>
      </w:pPr>
      <w:r>
        <w:rPr>
          <w:rFonts w:hint="eastAsia" w:ascii="方正小标宋_GBK" w:hAnsi="方正小标宋_GBK" w:eastAsia="方正小标宋_GBK" w:cs="方正小标宋_GBK"/>
          <w:b w:val="0"/>
          <w:bCs w:val="0"/>
          <w:color w:val="auto"/>
          <w:sz w:val="44"/>
          <w:szCs w:val="44"/>
          <w:highlight w:val="none"/>
          <w:u w:val="none"/>
          <w:lang w:val="en-US" w:eastAsia="zh-CN"/>
        </w:rPr>
        <w:t>乌鲁木齐市工程建设领域治理欠薪</w:t>
      </w:r>
    </w:p>
    <w:p w14:paraId="3152EF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44"/>
          <w:szCs w:val="44"/>
          <w:highlight w:val="none"/>
          <w:lang w:val="en-US" w:eastAsia="zh-CN"/>
        </w:rPr>
      </w:pPr>
      <w:r>
        <w:rPr>
          <w:rFonts w:hint="eastAsia" w:ascii="方正小标宋_GBK" w:hAnsi="方正小标宋_GBK" w:eastAsia="方正小标宋_GBK" w:cs="方正小标宋_GBK"/>
          <w:b w:val="0"/>
          <w:bCs w:val="0"/>
          <w:color w:val="auto"/>
          <w:sz w:val="44"/>
          <w:szCs w:val="44"/>
          <w:highlight w:val="none"/>
          <w:u w:val="none"/>
          <w:lang w:val="en-US" w:eastAsia="zh-CN"/>
        </w:rPr>
        <w:t>工作措施</w:t>
      </w:r>
    </w:p>
    <w:p w14:paraId="164E01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征求意见稿</w:t>
      </w:r>
      <w:bookmarkStart w:id="2" w:name="_GoBack"/>
      <w:bookmarkEnd w:id="2"/>
      <w:r>
        <w:rPr>
          <w:rFonts w:hint="eastAsia" w:ascii="方正楷体_GBK" w:hAnsi="方正楷体_GBK" w:eastAsia="方正楷体_GBK" w:cs="方正楷体_GBK"/>
          <w:sz w:val="32"/>
          <w:szCs w:val="32"/>
          <w:highlight w:val="none"/>
          <w:lang w:eastAsia="zh-CN"/>
        </w:rPr>
        <w:t>）</w:t>
      </w:r>
    </w:p>
    <w:p w14:paraId="6048D550">
      <w:pPr>
        <w:keepNext w:val="0"/>
        <w:keepLines w:val="0"/>
        <w:pageBreakBefore w:val="0"/>
        <w:widowControl w:val="0"/>
        <w:kinsoku/>
        <w:wordWrap/>
        <w:overflowPunct/>
        <w:topLinePunct w:val="0"/>
        <w:autoSpaceDE/>
        <w:autoSpaceDN/>
        <w:bidi w:val="0"/>
        <w:adjustRightInd/>
        <w:snapToGrid/>
        <w:spacing w:line="560" w:lineRule="exact"/>
        <w:ind w:left="0" w:leftChars="0" w:firstLine="641"/>
        <w:jc w:val="both"/>
        <w:textAlignment w:val="auto"/>
        <w:rPr>
          <w:rFonts w:hint="eastAsia" w:ascii="Times New Roman" w:eastAsia="方正仿宋_GBK" w:cs="Times New Roman"/>
          <w:b w:val="0"/>
          <w:bCs w:val="0"/>
          <w:sz w:val="32"/>
          <w:szCs w:val="32"/>
          <w:highlight w:val="none"/>
          <w:lang w:val="en-US" w:eastAsia="zh-CN"/>
        </w:rPr>
      </w:pPr>
    </w:p>
    <w:p w14:paraId="78F6739E">
      <w:pPr>
        <w:keepNext w:val="0"/>
        <w:keepLines w:val="0"/>
        <w:pageBreakBefore w:val="0"/>
        <w:widowControl w:val="0"/>
        <w:kinsoku/>
        <w:wordWrap/>
        <w:overflowPunct/>
        <w:topLinePunct w:val="0"/>
        <w:autoSpaceDE/>
        <w:autoSpaceDN/>
        <w:bidi w:val="0"/>
        <w:adjustRightInd/>
        <w:snapToGrid/>
        <w:spacing w:line="560" w:lineRule="exact"/>
        <w:ind w:left="0" w:leftChars="0" w:firstLine="640"/>
        <w:jc w:val="both"/>
        <w:textAlignment w:val="auto"/>
        <w:rPr>
          <w:rFonts w:hint="default" w:ascii="方正仿宋_GBK" w:hAnsi="方正仿宋_GBK" w:eastAsia="方正仿宋_GBK" w:cs="方正仿宋_GBK"/>
          <w:b w:val="0"/>
          <w:bCs w:val="0"/>
          <w:color w:val="auto"/>
          <w:sz w:val="32"/>
          <w:szCs w:val="32"/>
          <w:highlight w:val="none"/>
          <w:u w:val="none"/>
          <w:lang w:val="en-US" w:eastAsia="zh-CN"/>
        </w:rPr>
      </w:pPr>
      <w:r>
        <w:rPr>
          <w:rFonts w:hint="eastAsia" w:ascii="方正仿宋_GBK" w:hAnsi="方正仿宋_GBK" w:eastAsia="方正仿宋_GBK" w:cs="方正仿宋_GBK"/>
          <w:b w:val="0"/>
          <w:bCs w:val="0"/>
          <w:color w:val="auto"/>
          <w:sz w:val="32"/>
          <w:szCs w:val="32"/>
          <w:highlight w:val="none"/>
          <w:u w:val="none"/>
          <w:lang w:val="en-US" w:eastAsia="zh-CN"/>
        </w:rPr>
        <w:t>深化治理欠薪问题是严肃的政治任务和重要的民生工程。为始终站稳人民立场，树立和践行正确的政绩观，进一步强化欠薪源头治理，推动工程建设领域农民工工资按时足额发放，新增建设项目从源头预防上“遏增量”、在建（续建）、已完工及违建项目从过程监管上“减存量”、</w:t>
      </w:r>
      <w:r>
        <w:rPr>
          <w:rFonts w:hint="eastAsia" w:ascii="Times New Roman" w:hAnsi="Times New Roman" w:eastAsia="方正仿宋_GBK" w:cs="Times New Roman"/>
          <w:b w:val="0"/>
          <w:bCs w:val="0"/>
          <w:color w:val="auto"/>
          <w:sz w:val="32"/>
          <w:szCs w:val="32"/>
          <w:highlight w:val="none"/>
          <w:u w:val="none"/>
          <w:lang w:val="en-US" w:eastAsia="zh-CN"/>
        </w:rPr>
        <w:t>形成治理欠薪工作合力</w:t>
      </w:r>
      <w:r>
        <w:rPr>
          <w:rFonts w:hint="eastAsia" w:ascii="方正仿宋_GBK" w:hAnsi="方正仿宋_GBK" w:eastAsia="方正仿宋_GBK" w:cs="方正仿宋_GBK"/>
          <w:b w:val="0"/>
          <w:bCs w:val="0"/>
          <w:color w:val="auto"/>
          <w:sz w:val="32"/>
          <w:szCs w:val="32"/>
          <w:highlight w:val="none"/>
          <w:u w:val="none"/>
          <w:lang w:val="en-US" w:eastAsia="zh-CN"/>
        </w:rPr>
        <w:t>从压实责任上“防变量”，构建权责清晰、防控有力、处置高效的欠薪治理多方联动体系，切实保障农民工合法权益，结合我市实际，制定以下措施。</w:t>
      </w:r>
    </w:p>
    <w:p w14:paraId="26DB98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黑体_GBK" w:hAnsi="方正黑体_GBK" w:eastAsia="方正黑体_GBK" w:cs="方正黑体_GBK"/>
          <w:b w:val="0"/>
          <w:bCs w:val="0"/>
          <w:color w:val="auto"/>
          <w:sz w:val="32"/>
          <w:szCs w:val="32"/>
          <w:highlight w:val="none"/>
          <w:u w:val="none"/>
          <w:lang w:val="en-US" w:eastAsia="zh-CN"/>
        </w:rPr>
      </w:pPr>
      <w:r>
        <w:rPr>
          <w:rFonts w:hint="eastAsia" w:ascii="方正黑体_GBK" w:hAnsi="方正黑体_GBK" w:eastAsia="方正黑体_GBK" w:cs="方正黑体_GBK"/>
          <w:b w:val="0"/>
          <w:bCs w:val="0"/>
          <w:color w:val="auto"/>
          <w:sz w:val="32"/>
          <w:szCs w:val="32"/>
          <w:highlight w:val="none"/>
          <w:u w:val="none"/>
          <w:lang w:val="en-US" w:eastAsia="zh-CN"/>
        </w:rPr>
        <w:t>一、源头预防“遏增量”</w:t>
      </w:r>
    </w:p>
    <w:p w14:paraId="0B5FD6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方正仿宋_GBK" w:cs="Times New Roman"/>
          <w:b w:val="0"/>
          <w:bCs w:val="0"/>
          <w:color w:val="auto"/>
          <w:sz w:val="32"/>
          <w:szCs w:val="32"/>
          <w:highlight w:val="none"/>
          <w:u w:val="none"/>
          <w:lang w:val="en-US" w:eastAsia="zh-CN"/>
        </w:rPr>
      </w:pPr>
      <w:r>
        <w:rPr>
          <w:rFonts w:hint="eastAsia" w:ascii="Times New Roman" w:hAnsi="Times New Roman" w:eastAsia="方正楷体_GBK" w:cs="Times New Roman"/>
          <w:b w:val="0"/>
          <w:bCs w:val="0"/>
          <w:color w:val="auto"/>
          <w:sz w:val="32"/>
          <w:szCs w:val="32"/>
          <w:highlight w:val="none"/>
          <w:u w:val="none"/>
          <w:lang w:val="en-US" w:eastAsia="zh-CN"/>
        </w:rPr>
        <w:t>第一条 严格执行工资支付保障制度</w:t>
      </w:r>
      <w:r>
        <w:rPr>
          <w:rFonts w:hint="default" w:ascii="Times New Roman" w:hAnsi="Times New Roman" w:eastAsia="方正楷体_GBK" w:cs="Times New Roman"/>
          <w:b w:val="0"/>
          <w:bCs w:val="0"/>
          <w:color w:val="auto"/>
          <w:sz w:val="32"/>
          <w:szCs w:val="32"/>
          <w:highlight w:val="none"/>
          <w:u w:val="none"/>
          <w:lang w:val="en-US" w:eastAsia="zh-CN"/>
        </w:rPr>
        <w:t>。</w:t>
      </w:r>
      <w:r>
        <w:rPr>
          <w:rFonts w:hint="eastAsia" w:ascii="方正仿宋_GBK" w:hAnsi="方正仿宋_GBK" w:eastAsia="方正仿宋_GBK" w:cs="方正仿宋_GBK"/>
          <w:color w:val="auto"/>
          <w:sz w:val="32"/>
          <w:szCs w:val="32"/>
          <w:highlight w:val="none"/>
          <w:u w:val="none"/>
          <w:lang w:val="en-US" w:eastAsia="zh-CN"/>
        </w:rPr>
        <w:t>依据《政府投资条例》《国务院办公厅关于深化审批制度改革的意见》《新疆维吾尔自治区政府投资管理办法》等文件要求，发展改革部门对于政府投资项目是否符合发展建设规划、区域规划、产业政策以及资金筹措等建设条件落实情况进行重点审查，确保各项建设和运行条件保障到位。行业主管部门落实监管责任，确保在建的国企项目和社会投资项目有满足施工所需要的资金安排。</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val="en-US" w:eastAsia="zh-CN"/>
        </w:rPr>
        <w:t>住建、交通、水务等</w:t>
      </w:r>
      <w:r>
        <w:rPr>
          <w:rFonts w:hint="eastAsia" w:ascii="方正仿宋_GBK" w:hAnsi="方正仿宋_GBK" w:eastAsia="方正仿宋_GBK" w:cs="方正仿宋_GBK"/>
          <w:color w:val="auto"/>
          <w:sz w:val="32"/>
          <w:szCs w:val="32"/>
          <w:highlight w:val="none"/>
          <w:u w:val="none"/>
          <w:lang w:val="en-US" w:eastAsia="zh-CN"/>
        </w:rPr>
        <w:t>行业主管部门在核发施工许可或开工批复报告时，督促总包单位同步开设农民工工资专用账户、缴纳农民工工资保证金或提供银行（保险）保函，</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val="en-US" w:eastAsia="zh-CN"/>
        </w:rPr>
        <w:t>并对实名制管理和工程款支</w:t>
      </w:r>
      <w:r>
        <w:rPr>
          <w:rFonts w:hint="eastAsia" w:ascii="方正仿宋_GBK" w:hAnsi="方正仿宋_GBK" w:eastAsia="方正仿宋_GBK" w:cs="方正仿宋_GBK"/>
          <w:b w:val="0"/>
          <w:bCs w:val="0"/>
          <w:color w:val="auto"/>
          <w:sz w:val="32"/>
          <w:szCs w:val="32"/>
          <w:highlight w:val="none"/>
          <w:u w:val="none"/>
          <w:lang w:val="en-US" w:eastAsia="zh-CN"/>
        </w:rPr>
        <w:t>付担保制度落实情况进行监督检查</w:t>
      </w:r>
      <w:r>
        <w:rPr>
          <w:rFonts w:hint="eastAsia" w:ascii="方正仿宋_GBK" w:hAnsi="方正仿宋_GBK" w:eastAsia="方正仿宋_GBK" w:cs="方正仿宋_GBK"/>
          <w:color w:val="auto"/>
          <w:sz w:val="32"/>
          <w:szCs w:val="32"/>
          <w:highlight w:val="none"/>
          <w:u w:val="none"/>
          <w:lang w:val="en-US" w:eastAsia="zh-CN"/>
        </w:rPr>
        <w:t>；</w:t>
      </w:r>
      <w:r>
        <w:rPr>
          <w:rFonts w:hint="eastAsia" w:ascii="方正仿宋_GBK" w:hAnsi="方正仿宋_GBK" w:eastAsia="方正仿宋_GBK" w:cs="方正仿宋_GBK"/>
          <w:b w:val="0"/>
          <w:bCs w:val="0"/>
          <w:color w:val="auto"/>
          <w:sz w:val="32"/>
          <w:szCs w:val="32"/>
          <w:highlight w:val="none"/>
          <w:u w:val="none"/>
          <w:lang w:val="en-US" w:eastAsia="zh-CN"/>
        </w:rPr>
        <w:t>人社部门对</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eastAsia="zh-CN"/>
        </w:rPr>
        <w:t>农民工工资</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val="en-US" w:eastAsia="zh-CN"/>
        </w:rPr>
        <w:t>支付</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eastAsia="zh-CN"/>
        </w:rPr>
        <w:t>制度落实</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val="en-US" w:eastAsia="zh-CN"/>
        </w:rPr>
        <w:t>和农民工工资专用账户资金使用</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eastAsia="zh-CN"/>
        </w:rPr>
        <w:t>情况</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val="en-US" w:eastAsia="zh-CN"/>
        </w:rPr>
        <w:t>加强</w:t>
      </w:r>
      <w:r>
        <w:rPr>
          <w:rFonts w:hint="eastAsia" w:ascii="方正仿宋_GBK" w:hAnsi="方正仿宋_GBK" w:eastAsia="方正仿宋_GBK" w:cs="方正仿宋_GBK"/>
          <w:i w:val="0"/>
          <w:iCs w:val="0"/>
          <w:caps w:val="0"/>
          <w:color w:val="auto"/>
          <w:spacing w:val="0"/>
          <w:kern w:val="2"/>
          <w:sz w:val="32"/>
          <w:szCs w:val="32"/>
          <w:highlight w:val="none"/>
          <w:u w:val="none"/>
          <w:shd w:val="clear" w:fill="FFFFFF"/>
          <w:lang w:eastAsia="zh-CN"/>
        </w:rPr>
        <w:t>监督检查，</w:t>
      </w:r>
      <w:r>
        <w:rPr>
          <w:rFonts w:hint="eastAsia" w:ascii="方正仿宋_GBK" w:hAnsi="方正仿宋_GBK" w:eastAsia="方正仿宋_GBK" w:cs="方正仿宋_GBK"/>
          <w:b w:val="0"/>
          <w:bCs w:val="0"/>
          <w:color w:val="auto"/>
          <w:sz w:val="32"/>
          <w:szCs w:val="32"/>
          <w:highlight w:val="none"/>
          <w:u w:val="none"/>
          <w:lang w:val="en-US" w:eastAsia="zh-CN"/>
        </w:rPr>
        <w:t>对未落实工资支付保障制度的，人社部门、行业主管部门按照工作职责，依据《保障农民工工资支付条例》相关规定，依法依规作出相应处理。</w:t>
      </w:r>
    </w:p>
    <w:p w14:paraId="192508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方正仿宋_GBK" w:cs="Times New Roman"/>
          <w:b w:val="0"/>
          <w:bCs w:val="0"/>
          <w:color w:val="auto"/>
          <w:sz w:val="32"/>
          <w:szCs w:val="32"/>
          <w:highlight w:val="none"/>
          <w:u w:val="none"/>
          <w:lang w:val="en-US" w:eastAsia="zh-CN"/>
        </w:rPr>
      </w:pPr>
      <w:r>
        <w:rPr>
          <w:rFonts w:hint="eastAsia" w:ascii="Times New Roman" w:hAnsi="Times New Roman" w:eastAsia="方正楷体_GBK" w:cs="Times New Roman"/>
          <w:b w:val="0"/>
          <w:bCs w:val="0"/>
          <w:color w:val="auto"/>
          <w:sz w:val="32"/>
          <w:szCs w:val="32"/>
          <w:highlight w:val="none"/>
          <w:u w:val="none"/>
          <w:lang w:val="en-US" w:eastAsia="zh-CN"/>
        </w:rPr>
        <w:t>第二条 及时足额拨付人工费用。</w:t>
      </w:r>
      <w:r>
        <w:rPr>
          <w:rFonts w:hint="default" w:ascii="Times New Roman" w:hAnsi="Times New Roman" w:eastAsia="方正仿宋_GBK" w:cs="Times New Roman"/>
          <w:b w:val="0"/>
          <w:bCs w:val="0"/>
          <w:color w:val="auto"/>
          <w:sz w:val="32"/>
          <w:szCs w:val="32"/>
          <w:highlight w:val="none"/>
          <w:u w:val="none"/>
          <w:lang w:val="en-US" w:eastAsia="zh-CN"/>
        </w:rPr>
        <w:t>按照自治区</w:t>
      </w:r>
      <w:r>
        <w:rPr>
          <w:rFonts w:hint="default" w:ascii="Times New Roman" w:hAnsi="Times New Roman" w:eastAsia="方正仿宋_GBK" w:cs="Times New Roman"/>
          <w:b w:val="0"/>
          <w:bCs w:val="0"/>
          <w:color w:val="auto"/>
          <w:kern w:val="2"/>
          <w:sz w:val="32"/>
          <w:szCs w:val="32"/>
          <w:highlight w:val="none"/>
          <w:u w:val="none"/>
          <w:lang w:val="en-US" w:eastAsia="zh-CN" w:bidi="ar-SA"/>
        </w:rPr>
        <w:t>人力资源和社会保障厅</w:t>
      </w:r>
      <w:r>
        <w:rPr>
          <w:rFonts w:hint="default" w:ascii="Times New Roman" w:hAnsi="Times New Roman" w:eastAsia="方正仿宋_GBK" w:cs="Times New Roman"/>
          <w:b w:val="0"/>
          <w:bCs w:val="0"/>
          <w:color w:val="auto"/>
          <w:sz w:val="32"/>
          <w:szCs w:val="32"/>
          <w:highlight w:val="none"/>
          <w:u w:val="none"/>
          <w:lang w:val="en-US" w:eastAsia="zh-CN"/>
        </w:rPr>
        <w:t>等六部门《关于印发〈关于政府项目推行人工费用单项按月拨付的实施意见〉的通知》（新人社发〔2025〕26号）要求，各行业主管部门负责督促本领域使用财政预算资金投资的工程项目在施工合同中明确人工费用占工程款的比例、拨付周期等内容，人工费拨付比例按照房屋市政工程类不低于签约合同价30%、交通运输类不低于15%、水利类不低于25%、农业农村类不低于30%的标准，确保人工费用按时足额拨付；督促国有企业作为出资方投资的工程项目（以下简称国企项目）和社会投资工程项目参照执行。政府项目、国企项目和社会投资工程项目建设资金分批拨付的，人工费用拨付周期不得超过1个月，并通过农民工工资支付监控预警平台发放工资；对未落实按月发薪的工程项目，人社部门会同行业主管部门及时约谈施工单位，督促整改，形成有效监管。</w:t>
      </w:r>
    </w:p>
    <w:p w14:paraId="1E9162BF">
      <w:pPr>
        <w:keepNext w:val="0"/>
        <w:keepLines w:val="0"/>
        <w:pageBreakBefore w:val="0"/>
        <w:widowControl w:val="0"/>
        <w:kinsoku/>
        <w:wordWrap/>
        <w:overflowPunct/>
        <w:topLinePunct w:val="0"/>
        <w:autoSpaceDE/>
        <w:autoSpaceDN/>
        <w:bidi w:val="0"/>
        <w:adjustRightInd/>
        <w:snapToGrid/>
        <w:spacing w:line="560" w:lineRule="exact"/>
        <w:ind w:left="0" w:leftChars="0" w:firstLine="640"/>
        <w:jc w:val="both"/>
        <w:textAlignment w:val="auto"/>
        <w:rPr>
          <w:rFonts w:hint="eastAsia" w:ascii="方正黑体_GBK" w:hAnsi="方正黑体_GBK" w:eastAsia="方正黑体_GBK" w:cs="方正黑体_GBK"/>
          <w:b w:val="0"/>
          <w:bCs w:val="0"/>
          <w:color w:val="auto"/>
          <w:sz w:val="32"/>
          <w:szCs w:val="32"/>
          <w:highlight w:val="none"/>
          <w:u w:val="none"/>
          <w:lang w:val="en-US" w:eastAsia="zh-CN"/>
        </w:rPr>
      </w:pPr>
      <w:r>
        <w:rPr>
          <w:rFonts w:hint="eastAsia" w:ascii="方正黑体_GBK" w:hAnsi="方正黑体_GBK" w:eastAsia="方正黑体_GBK" w:cs="方正黑体_GBK"/>
          <w:b w:val="0"/>
          <w:bCs w:val="0"/>
          <w:color w:val="auto"/>
          <w:sz w:val="32"/>
          <w:szCs w:val="32"/>
          <w:highlight w:val="none"/>
          <w:u w:val="none"/>
          <w:lang w:val="en-US" w:eastAsia="zh-CN"/>
        </w:rPr>
        <w:t>二、过程监管“减存量”</w:t>
      </w:r>
    </w:p>
    <w:p w14:paraId="3D17F61C">
      <w:pPr>
        <w:keepNext w:val="0"/>
        <w:keepLines w:val="0"/>
        <w:pageBreakBefore w:val="0"/>
        <w:widowControl w:val="0"/>
        <w:kinsoku/>
        <w:wordWrap/>
        <w:overflowPunct/>
        <w:topLinePunct w:val="0"/>
        <w:autoSpaceDE/>
        <w:autoSpaceDN/>
        <w:bidi w:val="0"/>
        <w:adjustRightInd/>
        <w:snapToGrid/>
        <w:spacing w:line="560" w:lineRule="exact"/>
        <w:ind w:left="0" w:leftChars="0" w:firstLine="641"/>
        <w:jc w:val="both"/>
        <w:textAlignment w:val="auto"/>
        <w:rPr>
          <w:rFonts w:hint="eastAsia" w:ascii="方正仿宋_GBK" w:hAnsi="方正仿宋_GBK" w:eastAsia="方正仿宋_GBK" w:cs="方正仿宋_GBK"/>
          <w:b w:val="0"/>
          <w:bCs w:val="0"/>
          <w:color w:val="auto"/>
          <w:sz w:val="32"/>
          <w:szCs w:val="32"/>
          <w:highlight w:val="none"/>
          <w:u w:val="none"/>
          <w:lang w:val="en-US" w:eastAsia="zh-CN"/>
        </w:rPr>
      </w:pPr>
      <w:r>
        <w:rPr>
          <w:rFonts w:hint="eastAsia" w:ascii="Times New Roman" w:hAnsi="Times New Roman" w:eastAsia="方正楷体_GBK" w:cs="Times New Roman"/>
          <w:b w:val="0"/>
          <w:bCs w:val="0"/>
          <w:color w:val="auto"/>
          <w:sz w:val="32"/>
          <w:szCs w:val="32"/>
          <w:highlight w:val="none"/>
          <w:u w:val="none"/>
          <w:lang w:val="en-US" w:eastAsia="zh-CN"/>
        </w:rPr>
        <w:t>第三条 第一时间落实欠薪线索推送核查机制。</w:t>
      </w:r>
      <w:r>
        <w:rPr>
          <w:rFonts w:hint="eastAsia" w:ascii="方正仿宋_GBK" w:hAnsi="方正仿宋_GBK" w:eastAsia="方正仿宋_GBK" w:cs="方正仿宋_GBK"/>
          <w:b w:val="0"/>
          <w:bCs w:val="0"/>
          <w:color w:val="auto"/>
          <w:sz w:val="32"/>
          <w:szCs w:val="32"/>
          <w:highlight w:val="none"/>
          <w:u w:val="none"/>
          <w:lang w:val="en-US" w:eastAsia="zh-CN"/>
        </w:rPr>
        <w:t>市、区（县）两级人社部门要加大欠薪隐患排查力度，对在建（续建）和已完工仍存在欠薪投诉项目，摸清存量欠薪底数，建立台账，动态管理。对日常排查发现和农民工工资支付监控预警平台推送的欠薪线索，第一时间分级分类推送至行业主管部门：政府项目线索推送至日常监管责任单位，国企项目线索推送至具有监管权的国资部门，社会投资项目线索推送至对应行业主管部门；各相关责任单位、行业主管部门在规定时限内完成核查、处置及移交事项。人社部门牵头对已办结线索开展常态化“回头看”，每月对已办结的线索进行抽查回访，对未及时妥善处置的单位予以通报并跟踪督办，有效化解欠薪问题。</w:t>
      </w:r>
    </w:p>
    <w:p w14:paraId="603822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方正仿宋_GBK" w:hAnsi="方正仿宋_GBK" w:eastAsia="方正仿宋_GBK" w:cs="方正仿宋_GBK"/>
          <w:color w:val="auto"/>
          <w:sz w:val="32"/>
          <w:szCs w:val="32"/>
          <w:highlight w:val="none"/>
          <w:u w:val="none"/>
          <w:lang w:val="en-US" w:eastAsia="zh-CN"/>
        </w:rPr>
      </w:pPr>
      <w:r>
        <w:rPr>
          <w:rFonts w:hint="eastAsia" w:ascii="Times New Roman" w:hAnsi="Times New Roman" w:eastAsia="方正楷体_GBK" w:cs="Times New Roman"/>
          <w:b w:val="0"/>
          <w:bCs w:val="0"/>
          <w:color w:val="auto"/>
          <w:sz w:val="32"/>
          <w:szCs w:val="32"/>
          <w:highlight w:val="none"/>
          <w:u w:val="none"/>
          <w:lang w:val="en-US" w:eastAsia="zh-CN"/>
        </w:rPr>
        <w:t xml:space="preserve">第四条 </w:t>
      </w:r>
      <w:r>
        <w:rPr>
          <w:rFonts w:hint="default" w:ascii="Times New Roman" w:hAnsi="Times New Roman" w:eastAsia="方正楷体_GBK" w:cs="Times New Roman"/>
          <w:color w:val="auto"/>
          <w:sz w:val="32"/>
          <w:szCs w:val="32"/>
          <w:highlight w:val="none"/>
          <w:u w:val="none"/>
          <w:lang w:val="en-US" w:eastAsia="zh-CN"/>
        </w:rPr>
        <w:t>规范劳动用工管理。</w:t>
      </w:r>
      <w:r>
        <w:rPr>
          <w:rFonts w:hint="eastAsia" w:ascii="方正仿宋_GBK" w:hAnsi="方正仿宋_GBK" w:eastAsia="方正仿宋_GBK" w:cs="方正仿宋_GBK"/>
          <w:color w:val="auto"/>
          <w:sz w:val="32"/>
          <w:szCs w:val="32"/>
          <w:highlight w:val="none"/>
          <w:u w:val="none"/>
          <w:lang w:val="en-US" w:eastAsia="zh-CN"/>
        </w:rPr>
        <w:t>行业主管部门督促本领域工程项目总包单位落实实名制管理，建立完整的农民工实名制台账，未签订劳动合同并完成实名登记的人员不得进入项目现场施工，人社部门负责督促用工企业依法签订劳动合同。人社部门与住建部门进一步发挥农民工工资支付监控预警平台与建筑工人实名制管理平台数据交换作用，及时掌握施工现场人员及薪资发放信息情况，根据职责分工，常态化对用工企业进行检查，督促</w:t>
      </w:r>
      <w:bookmarkStart w:id="0" w:name="OLE_LINK6"/>
      <w:r>
        <w:rPr>
          <w:rFonts w:hint="eastAsia" w:ascii="方正仿宋_GBK" w:hAnsi="方正仿宋_GBK" w:eastAsia="方正仿宋_GBK" w:cs="方正仿宋_GBK"/>
          <w:color w:val="auto"/>
          <w:sz w:val="32"/>
          <w:szCs w:val="32"/>
          <w:highlight w:val="none"/>
          <w:u w:val="none"/>
          <w:lang w:val="en-US" w:eastAsia="zh-CN"/>
        </w:rPr>
        <w:t>用工企业</w:t>
      </w:r>
      <w:bookmarkEnd w:id="0"/>
      <w:r>
        <w:rPr>
          <w:rFonts w:hint="eastAsia" w:ascii="方正仿宋_GBK" w:hAnsi="方正仿宋_GBK" w:eastAsia="方正仿宋_GBK" w:cs="方正仿宋_GBK"/>
          <w:color w:val="auto"/>
          <w:sz w:val="32"/>
          <w:szCs w:val="32"/>
          <w:highlight w:val="none"/>
          <w:u w:val="none"/>
          <w:lang w:val="en-US" w:eastAsia="zh-CN"/>
        </w:rPr>
        <w:t>落实施工现场人员进、退场信息录入工作，严格执行建筑工人实名考勤要求，确保工资发放与考勤数据相匹配，严禁出现转移或套取农民工工资专用账户资金的情况。</w:t>
      </w:r>
    </w:p>
    <w:p w14:paraId="2075B0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b w:val="0"/>
          <w:bCs w:val="0"/>
          <w:color w:val="auto"/>
          <w:sz w:val="32"/>
          <w:szCs w:val="32"/>
          <w:highlight w:val="none"/>
          <w:u w:val="none"/>
          <w:lang w:val="en-US" w:eastAsia="zh-CN"/>
        </w:rPr>
      </w:pPr>
      <w:r>
        <w:rPr>
          <w:rFonts w:hint="eastAsia" w:ascii="Times New Roman" w:hAnsi="Times New Roman" w:eastAsia="方正楷体_GBK" w:cs="Times New Roman"/>
          <w:b w:val="0"/>
          <w:bCs w:val="0"/>
          <w:color w:val="auto"/>
          <w:sz w:val="32"/>
          <w:szCs w:val="32"/>
          <w:highlight w:val="none"/>
          <w:u w:val="none"/>
          <w:lang w:val="en-US" w:eastAsia="zh-CN"/>
        </w:rPr>
        <w:t>第五条 严抓施工过程监管。</w:t>
      </w:r>
      <w:r>
        <w:rPr>
          <w:rFonts w:hint="eastAsia" w:ascii="方正仿宋_GBK" w:hAnsi="方正仿宋_GBK" w:eastAsia="方正仿宋_GBK" w:cs="方正仿宋_GBK"/>
          <w:color w:val="auto"/>
          <w:sz w:val="32"/>
          <w:szCs w:val="32"/>
          <w:highlight w:val="none"/>
          <w:u w:val="none"/>
          <w:lang w:val="en-US" w:eastAsia="zh-CN"/>
        </w:rPr>
        <w:t>行</w:t>
      </w:r>
      <w:r>
        <w:rPr>
          <w:rFonts w:hint="eastAsia" w:ascii="方正仿宋_GBK" w:hAnsi="方正仿宋_GBK" w:eastAsia="方正仿宋_GBK" w:cs="方正仿宋_GBK"/>
          <w:b w:val="0"/>
          <w:bCs w:val="0"/>
          <w:color w:val="auto"/>
          <w:sz w:val="32"/>
          <w:szCs w:val="32"/>
          <w:highlight w:val="none"/>
          <w:u w:val="none"/>
          <w:lang w:val="en-US" w:eastAsia="zh-CN"/>
        </w:rPr>
        <w:t>业主管部门引导本领域</w:t>
      </w:r>
      <w:r>
        <w:rPr>
          <w:rFonts w:hint="eastAsia" w:ascii="方正仿宋_GBK" w:hAnsi="方正仿宋_GBK" w:eastAsia="方正仿宋_GBK" w:cs="方正仿宋_GBK"/>
          <w:color w:val="auto"/>
          <w:sz w:val="32"/>
          <w:szCs w:val="32"/>
          <w:highlight w:val="none"/>
          <w:u w:val="none"/>
          <w:lang w:val="en-US" w:eastAsia="zh-CN"/>
        </w:rPr>
        <w:t>工程项目</w:t>
      </w:r>
      <w:r>
        <w:rPr>
          <w:rFonts w:hint="eastAsia" w:ascii="方正仿宋_GBK" w:hAnsi="方正仿宋_GBK" w:eastAsia="方正仿宋_GBK" w:cs="方正仿宋_GBK"/>
          <w:b w:val="0"/>
          <w:bCs w:val="0"/>
          <w:color w:val="auto"/>
          <w:sz w:val="32"/>
          <w:szCs w:val="32"/>
          <w:highlight w:val="none"/>
          <w:u w:val="none"/>
          <w:lang w:val="en-US" w:eastAsia="zh-CN"/>
        </w:rPr>
        <w:t>建设单位在工程施工合同约定期限内，完成施工过程结算的核对确认，合同双方不得以设计变更、工程洽商、未完成审计等理由变相拖延施工过程结算。督促建设单位按照合同约定的支付周期或支付比例拨付施工过程结算款；加快已完工项目工程款结算进度，及时支付工程尾款。财政部门对政府投资项目，应当根据经批准的预算，按照法律、行政法规和国库管理的有关规定，及时、足额办理政府投资资金拨付；督促国企项目和社会投资工程项目参照执行。对未批先建等违规建设项目，依据《乌鲁木齐市城市管理行政综合执法试行办法》，由市、区两级城管部门联合规划、园林、住建等行业主管部门依法履行管理职责，对建设单位未取得施工许可证或者开工报告未经批准，擅自施工的工程项目，由项目属地城管部门责令停止施工，依法依规作出相应处理。</w:t>
      </w:r>
    </w:p>
    <w:p w14:paraId="09605A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_GBK" w:hAnsi="方正黑体_GBK" w:eastAsia="方正黑体_GBK" w:cs="方正黑体_GBK"/>
          <w:b w:val="0"/>
          <w:bCs w:val="0"/>
          <w:color w:val="auto"/>
          <w:sz w:val="32"/>
          <w:szCs w:val="32"/>
          <w:highlight w:val="none"/>
          <w:u w:val="none"/>
          <w:lang w:val="en-US" w:eastAsia="zh-CN"/>
        </w:rPr>
      </w:pPr>
      <w:r>
        <w:rPr>
          <w:rFonts w:hint="eastAsia" w:ascii="方正黑体_GBK" w:hAnsi="方正黑体_GBK" w:eastAsia="方正黑体_GBK" w:cs="方正黑体_GBK"/>
          <w:b w:val="0"/>
          <w:bCs w:val="0"/>
          <w:color w:val="auto"/>
          <w:sz w:val="32"/>
          <w:szCs w:val="32"/>
          <w:highlight w:val="none"/>
          <w:u w:val="none"/>
          <w:lang w:val="en-US" w:eastAsia="zh-CN"/>
        </w:rPr>
        <w:t>三、压实责任“防变量”</w:t>
      </w:r>
    </w:p>
    <w:p w14:paraId="7C17ED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ascii="Times New Roman" w:hAnsi="Times New Roman" w:eastAsia="方正仿宋_GBK" w:cs="Arial"/>
          <w:color w:val="auto"/>
          <w:sz w:val="32"/>
          <w:szCs w:val="32"/>
          <w:highlight w:val="none"/>
          <w:u w:val="none"/>
        </w:rPr>
      </w:pPr>
      <w:r>
        <w:rPr>
          <w:rFonts w:hint="eastAsia" w:ascii="Times New Roman" w:hAnsi="Times New Roman" w:eastAsia="方正楷体_GBK" w:cs="Times New Roman"/>
          <w:b w:val="0"/>
          <w:bCs w:val="0"/>
          <w:color w:val="auto"/>
          <w:sz w:val="32"/>
          <w:szCs w:val="32"/>
          <w:highlight w:val="none"/>
          <w:u w:val="none"/>
          <w:lang w:val="en-US" w:eastAsia="zh-CN"/>
        </w:rPr>
        <w:t>第六条 压实工作责任。</w:t>
      </w:r>
      <w:r>
        <w:rPr>
          <w:rFonts w:hint="eastAsia" w:ascii="方正仿宋_GBK" w:hAnsi="方正仿宋_GBK" w:eastAsia="方正仿宋_GBK" w:cs="方正仿宋_GBK"/>
          <w:b w:val="0"/>
          <w:bCs w:val="0"/>
          <w:color w:val="auto"/>
          <w:sz w:val="32"/>
          <w:szCs w:val="32"/>
          <w:highlight w:val="none"/>
          <w:u w:val="none"/>
          <w:lang w:val="en-US" w:eastAsia="zh-CN"/>
        </w:rPr>
        <w:t>人社部门发挥就业促进和劳动保护工作领导小组办公室牵头抓总的作用，负责保障农民工工资支付工作组织协调、管理指导和农民工工资支付情况的监督检查；行业主管部门按照职责履行行业监管责任，督办因违法发包、转包、违法分包、挂靠、拖欠工程款等导致的拖欠农民工工资案件。各区（县）人民政府落实属地主体责任，本级行业主管部门参照市级行业主管部门职责，加强对属地政府、国企项目和社会投资工程项目监督检查，督促落实工资支付保障制度，全面实行工程款与人工费用分账管理，督促建设单位按施工合同约定的支付周期或支付比例及时拨付施工结算款，重点推进已完工项目和招商引资项目工程尾款支付进度，杜绝无故变相拖延施工过程结算。加大重点欠薪隐患项目推进化解力度，开展释法宣传，对采取非正常访的人员，快速妥善处置，有效化解矛盾纠纷。按照欠薪线索推送核查工作要求，行业主管部门及时办理推送的欠薪线索，</w:t>
      </w:r>
      <w:bookmarkStart w:id="1" w:name="OLE_LINK4"/>
      <w:r>
        <w:rPr>
          <w:rFonts w:hint="eastAsia" w:ascii="方正仿宋_GBK" w:hAnsi="方正仿宋_GBK" w:eastAsia="方正仿宋_GBK" w:cs="方正仿宋_GBK"/>
          <w:b w:val="0"/>
          <w:bCs w:val="0"/>
          <w:color w:val="auto"/>
          <w:sz w:val="32"/>
          <w:szCs w:val="32"/>
          <w:highlight w:val="none"/>
          <w:u w:val="none"/>
          <w:lang w:val="en-US" w:eastAsia="zh-CN"/>
        </w:rPr>
        <w:t>形成治理欠薪工作合力</w:t>
      </w:r>
      <w:bookmarkEnd w:id="1"/>
      <w:r>
        <w:rPr>
          <w:rFonts w:hint="eastAsia" w:ascii="方正仿宋_GBK" w:hAnsi="方正仿宋_GBK" w:eastAsia="方正仿宋_GBK" w:cs="方正仿宋_GBK"/>
          <w:b w:val="0"/>
          <w:bCs w:val="0"/>
          <w:color w:val="auto"/>
          <w:sz w:val="32"/>
          <w:szCs w:val="32"/>
          <w:highlight w:val="none"/>
          <w:u w:val="none"/>
          <w:lang w:val="en-US" w:eastAsia="zh-CN"/>
        </w:rPr>
        <w:t>，妥善化解存量欠薪问题，确保各项措施落地见效。</w:t>
      </w:r>
    </w:p>
    <w:p w14:paraId="666EFA28">
      <w:pPr>
        <w:keepNext w:val="0"/>
        <w:keepLines w:val="0"/>
        <w:pageBreakBefore w:val="0"/>
        <w:widowControl w:val="0"/>
        <w:kinsoku/>
        <w:wordWrap/>
        <w:overflowPunct/>
        <w:topLinePunct w:val="0"/>
        <w:autoSpaceDE/>
        <w:autoSpaceDN/>
        <w:bidi w:val="0"/>
        <w:adjustRightInd/>
        <w:snapToGrid/>
        <w:spacing w:line="560" w:lineRule="exact"/>
        <w:ind w:left="0" w:leftChars="0" w:firstLine="640"/>
        <w:jc w:val="both"/>
        <w:textAlignment w:val="auto"/>
        <w:rPr>
          <w:rFonts w:hint="eastAsia" w:ascii="Times New Roman" w:hAnsi="Times New Roman" w:eastAsia="方正仿宋_GBK" w:cs="Times New Roman"/>
          <w:b w:val="0"/>
          <w:bCs w:val="0"/>
          <w:color w:val="auto"/>
          <w:sz w:val="32"/>
          <w:szCs w:val="32"/>
          <w:highlight w:val="none"/>
          <w:u w:val="none"/>
          <w:lang w:val="en-US" w:eastAsia="zh-CN"/>
        </w:rPr>
      </w:pPr>
      <w:r>
        <w:rPr>
          <w:rFonts w:hint="eastAsia" w:ascii="Times New Roman" w:hAnsi="Times New Roman" w:eastAsia="方正楷体_GBK" w:cs="Times New Roman"/>
          <w:b w:val="0"/>
          <w:bCs w:val="0"/>
          <w:color w:val="auto"/>
          <w:sz w:val="32"/>
          <w:szCs w:val="32"/>
          <w:highlight w:val="none"/>
          <w:u w:val="none"/>
          <w:lang w:val="en-US" w:eastAsia="zh-CN"/>
        </w:rPr>
        <w:t>第七条 实施联合惩戒。</w:t>
      </w:r>
      <w:r>
        <w:rPr>
          <w:rFonts w:hint="eastAsia" w:ascii="方正仿宋_GBK" w:hAnsi="方正仿宋_GBK" w:eastAsia="方正仿宋_GBK" w:cs="方正仿宋_GBK"/>
          <w:b w:val="0"/>
          <w:bCs w:val="0"/>
          <w:color w:val="auto"/>
          <w:sz w:val="32"/>
          <w:szCs w:val="32"/>
          <w:highlight w:val="none"/>
          <w:u w:val="none"/>
          <w:lang w:val="en-US" w:eastAsia="zh-CN"/>
        </w:rPr>
        <w:t>人社部门对企业开展劳动保障守法诚信等级评价，依法公布重大劳动保障违法行为，规范认定拖欠农民工工资失信联合惩戒对象名单，并会同行业主管部门依法对建设单位未按约定及时足额向农民工工资专用账户拨付工程款中的人工费用、总包单位未履行监管责任或未按规定存储工资保证金导致欠薪的，依据《保障农民工工资支付条例》相关规定，依法依规作出相应处理。对涉嫌拒不支付劳动报酬犯罪的案件，人社部门依法移送公安机关，对符合立案条件的，公安机关应当依法立案侦查；并对人社会部门商请协助的重大、疑难、复杂案件，与人社部门加强执法联动。</w:t>
      </w:r>
    </w:p>
    <w:p w14:paraId="53CAA7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方正仿宋_GBK" w:cs="Times New Roman"/>
          <w:b w:val="0"/>
          <w:bCs w:val="0"/>
          <w:color w:val="auto"/>
          <w:sz w:val="32"/>
          <w:szCs w:val="32"/>
          <w:highlight w:val="none"/>
          <w:u w:val="none"/>
          <w:lang w:val="en-US" w:eastAsia="zh-CN"/>
        </w:rPr>
      </w:pPr>
      <w:r>
        <w:rPr>
          <w:rFonts w:hint="eastAsia" w:ascii="方正楷体_GBK" w:hAnsi="方正楷体_GBK" w:eastAsia="方正楷体_GBK" w:cs="方正楷体_GBK"/>
          <w:b w:val="0"/>
          <w:bCs w:val="0"/>
          <w:color w:val="auto"/>
          <w:kern w:val="2"/>
          <w:sz w:val="32"/>
          <w:szCs w:val="32"/>
          <w:highlight w:val="none"/>
          <w:u w:val="none"/>
          <w:lang w:val="en-US" w:eastAsia="zh-CN" w:bidi="ar-SA"/>
        </w:rPr>
        <w:t>第八条 健全奖惩问责。</w:t>
      </w:r>
      <w:r>
        <w:rPr>
          <w:rFonts w:hint="eastAsia" w:ascii="Times New Roman" w:hAnsi="Times New Roman" w:eastAsia="方正仿宋_GBK" w:cs="Times New Roman"/>
          <w:b w:val="0"/>
          <w:bCs w:val="0"/>
          <w:color w:val="auto"/>
          <w:kern w:val="2"/>
          <w:sz w:val="32"/>
          <w:szCs w:val="32"/>
          <w:highlight w:val="none"/>
          <w:u w:val="none"/>
          <w:lang w:val="en-US" w:eastAsia="zh-CN" w:bidi="ar-SA"/>
        </w:rPr>
        <w:t>在治理欠薪工作中，对履职成效突出的单位及相关责任人，由就业促进和劳动保护工作领导小组办公室汇总相关情况报送组织部门，作为绩效考核、薪酬分配、评优评先、职务晋升的重要依据。对工作落实不到位的单位及相关责任人，依法依规做出相应处理。对政府、国企项目分级分类进行处置，情节严重的，移交纪检部门对行业主管部门和建设单位负责人、直接责任人追责问责，因投资资金不到位导致欠薪的，市级监管项目由人社部门报市政府批准，责令责任单位限期足额拨付，逾期未拨付的约谈直接责任部门和行业主管部门负责人；区（县）级监管项目责令属地限期足额拨付，市人社部门约谈区（县）政府负责人。因未批先建、擅自扩大建设规模、增加投资概算、未及时拨付工程款导致欠薪的，人社部门会同行业主管部门约谈建设单位负责人。</w:t>
      </w:r>
      <w:r>
        <w:rPr>
          <w:rFonts w:hint="eastAsia" w:ascii="Times New Roman" w:hAnsi="Times New Roman" w:eastAsia="方正仿宋_GBK" w:cs="Times New Roman"/>
          <w:b w:val="0"/>
          <w:bCs w:val="0"/>
          <w:color w:val="auto"/>
          <w:sz w:val="32"/>
          <w:szCs w:val="32"/>
          <w:highlight w:val="none"/>
          <w:u w:val="none"/>
          <w:lang w:val="en-US" w:eastAsia="zh-CN"/>
        </w:rPr>
        <w:t>对社会投资项目因资金不到位或违法违规开工导致欠薪的，人社部门和行业主管部门按职</w:t>
      </w:r>
      <w:r>
        <w:rPr>
          <w:rFonts w:hint="eastAsia" w:ascii="Times New Roman" w:hAnsi="Times New Roman" w:eastAsia="方正仿宋_GBK" w:cs="Times New Roman"/>
          <w:b w:val="0"/>
          <w:bCs w:val="0"/>
          <w:color w:val="auto"/>
          <w:kern w:val="2"/>
          <w:sz w:val="32"/>
          <w:szCs w:val="32"/>
          <w:highlight w:val="none"/>
          <w:u w:val="none"/>
          <w:lang w:val="en-US" w:eastAsia="zh-CN" w:bidi="ar-SA"/>
        </w:rPr>
        <w:t>责对建设单位及负责人依法处罚。住建、交通运输、水务等行业主管部门及人社、发展改革、财政等部门工作人员，在欠薪治理工作中滥用职权、玩忽职守、徇私</w:t>
      </w:r>
      <w:r>
        <w:rPr>
          <w:rFonts w:hint="eastAsia" w:ascii="Times New Roman" w:hAnsi="Times New Roman" w:eastAsia="方正仿宋_GBK" w:cs="Times New Roman"/>
          <w:b w:val="0"/>
          <w:bCs w:val="0"/>
          <w:color w:val="auto"/>
          <w:sz w:val="32"/>
          <w:szCs w:val="32"/>
          <w:highlight w:val="none"/>
          <w:u w:val="none"/>
          <w:lang w:val="en-US" w:eastAsia="zh-CN"/>
        </w:rPr>
        <w:t>舞弊、失职失责的，纪检部门依规处理，构成犯罪的，依法追究刑事责任；对未落实“遏增量、减存量”工作要求的，约谈相关责任单位主要领导和分管领导。</w:t>
      </w:r>
    </w:p>
    <w:p w14:paraId="50E563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23C5B"/>
    <w:rsid w:val="59E23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spacing w:line="560" w:lineRule="exact"/>
      <w:ind w:firstLine="200" w:firstLineChars="200"/>
      <w:outlineLvl w:val="2"/>
    </w:pPr>
    <w:rPr>
      <w:rFonts w:ascii="方正楷体_GBK" w:hAnsi="方正楷体_GBK" w:eastAsia="方正楷体_GBK" w:cs="仿宋"/>
      <w:color w:val="000000" w:themeColor="text1"/>
      <w:sz w:val="32"/>
      <w:szCs w:val="32"/>
      <w14:textFill>
        <w14:solidFill>
          <w14:schemeClr w14:val="tx1"/>
        </w14:solidFill>
      </w14:textFill>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2026-08-19T07:42:00Z</dcterms:created>
  <dc:creator>佚名</dc:creator>
  <cp:lastModifiedBy>佚名</cp:lastModifiedBy>
  <dcterms:modified xsi:type="dcterms:W3CDTF">2026-08-19T07:42:56Z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BCD81F57386C4CD1A13EFD354CF1B381_11</vt:lpwstr>
  </property>
</Properties>
</file>