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C34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w:t>
      </w:r>
    </w:p>
    <w:p w14:paraId="6286C3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14:paraId="3C7BBE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lang w:val="en-US" w:eastAsia="zh-CN"/>
        </w:rPr>
        <w:t>乌鲁木齐市治理欠薪工作七条措施</w:t>
      </w:r>
    </w:p>
    <w:p w14:paraId="164E01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征求意见稿</w:t>
      </w:r>
      <w:r>
        <w:rPr>
          <w:rFonts w:hint="eastAsia" w:ascii="方正楷体_GBK" w:hAnsi="方正楷体_GBK" w:eastAsia="方正楷体_GBK" w:cs="方正楷体_GBK"/>
          <w:sz w:val="32"/>
          <w:szCs w:val="32"/>
          <w:highlight w:val="none"/>
          <w:lang w:eastAsia="zh-CN"/>
        </w:rPr>
        <w:t>）</w:t>
      </w:r>
    </w:p>
    <w:p w14:paraId="6048D550">
      <w:pPr>
        <w:keepNext w:val="0"/>
        <w:keepLines w:val="0"/>
        <w:pageBreakBefore w:val="0"/>
        <w:widowControl w:val="0"/>
        <w:kinsoku/>
        <w:wordWrap/>
        <w:overflowPunct/>
        <w:topLinePunct w:val="0"/>
        <w:autoSpaceDE/>
        <w:autoSpaceDN/>
        <w:bidi w:val="0"/>
        <w:adjustRightInd/>
        <w:snapToGrid/>
        <w:spacing w:line="560" w:lineRule="exact"/>
        <w:ind w:left="0" w:leftChars="0" w:firstLine="641"/>
        <w:jc w:val="both"/>
        <w:textAlignment w:val="auto"/>
        <w:rPr>
          <w:rFonts w:hint="eastAsia" w:ascii="Times New Roman" w:eastAsia="方正仿宋_GBK" w:cs="Times New Roman"/>
          <w:b w:val="0"/>
          <w:bCs w:val="0"/>
          <w:sz w:val="32"/>
          <w:szCs w:val="32"/>
          <w:highlight w:val="none"/>
          <w:lang w:val="en-US" w:eastAsia="zh-CN"/>
        </w:rPr>
      </w:pPr>
    </w:p>
    <w:p w14:paraId="3BDD1476">
      <w:pPr>
        <w:keepNext w:val="0"/>
        <w:keepLines w:val="0"/>
        <w:pageBreakBefore w:val="0"/>
        <w:widowControl w:val="0"/>
        <w:kinsoku/>
        <w:wordWrap/>
        <w:overflowPunct/>
        <w:topLinePunct w:val="0"/>
        <w:autoSpaceDE/>
        <w:autoSpaceDN/>
        <w:bidi w:val="0"/>
        <w:adjustRightInd/>
        <w:snapToGrid/>
        <w:spacing w:line="560" w:lineRule="exact"/>
        <w:ind w:left="0" w:leftChars="0" w:firstLine="641"/>
        <w:jc w:val="both"/>
        <w:textAlignment w:val="auto"/>
        <w:rPr>
          <w:rFonts w:hint="eastAsia" w:ascii="Times New Roman" w:eastAsia="方正仿宋_GBK" w:cs="Times New Roman"/>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为进一步加强欠薪源头治理，</w:t>
      </w:r>
      <w:r>
        <w:rPr>
          <w:rFonts w:hint="eastAsia" w:ascii="Times New Roman" w:eastAsia="方正仿宋_GBK" w:cs="Times New Roman"/>
          <w:b w:val="0"/>
          <w:bCs w:val="0"/>
          <w:sz w:val="32"/>
          <w:szCs w:val="32"/>
          <w:highlight w:val="none"/>
          <w:lang w:val="en-US" w:eastAsia="zh-CN"/>
        </w:rPr>
        <w:t>坚持以人民为中心的发展思想，重点加强工程建设领域劳动用工管理，从源头预防、过程监管、责任追究三个环节明确工作要求、压实主体责任，构建权责清晰、防控有力、处置高效的治理欠薪防控化解体系，切实保障农民工等劳动者的合法权</w:t>
      </w:r>
      <w:bookmarkStart w:id="0" w:name="_GoBack"/>
      <w:bookmarkEnd w:id="0"/>
      <w:r>
        <w:rPr>
          <w:rFonts w:hint="eastAsia" w:ascii="Times New Roman" w:eastAsia="方正仿宋_GBK" w:cs="Times New Roman"/>
          <w:b w:val="0"/>
          <w:bCs w:val="0"/>
          <w:sz w:val="32"/>
          <w:szCs w:val="32"/>
          <w:highlight w:val="none"/>
          <w:lang w:val="en-US" w:eastAsia="zh-CN"/>
        </w:rPr>
        <w:t>益。结合我市实际，制定以下措施。</w:t>
      </w:r>
    </w:p>
    <w:p w14:paraId="589686B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一、源头预防“遏增量”</w:t>
      </w:r>
    </w:p>
    <w:p w14:paraId="03BA84E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sz w:val="32"/>
          <w:szCs w:val="32"/>
          <w:highlight w:val="none"/>
          <w:lang w:val="en-US" w:eastAsia="zh-CN"/>
        </w:rPr>
        <w:t>1.严格施工许可前置审核。</w:t>
      </w:r>
      <w:r>
        <w:rPr>
          <w:rFonts w:hint="eastAsia" w:ascii="Times New Roman" w:eastAsia="方正仿宋_GBK" w:cs="Times New Roman"/>
          <w:b w:val="0"/>
          <w:bCs w:val="0"/>
          <w:sz w:val="32"/>
          <w:szCs w:val="32"/>
          <w:highlight w:val="none"/>
          <w:lang w:val="en-US" w:eastAsia="zh-CN"/>
        </w:rPr>
        <w:t>将工程款支付担保作为办理建筑工程施工许可证或申请开工批复报告的必要前置条件，由住建、交通、水利、农业农村等对应行业主管部门负责审核把关。对未满足上述条件的工程建设项目，行业主管部门一律不予核发建筑工程施工许可证或出具开工批复报告；审核把关不严导致项目违规开工并引发欠薪的，由该行业主管部门牵头处置相关投诉举报，并承担监管失职责任。施工总承包单位（以下简称总包单位）为工资保证金存储责任主体，应在取得施工许可证或开工报告批复之日起20个工作日内足额存储工资保证金或提供金融机构保函，相关行业主管部门负责督促落实。总包单位未按规定落实的，由行业主管部门会同人社部门责令限期改正，逾期不改正的，人社部门作出行政处罚并由行业主管部门责令项目停工。</w:t>
      </w:r>
    </w:p>
    <w:p w14:paraId="3DC023B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Times New Roman" w:eastAsia="方正仿宋_GBK" w:cs="Times New Roman"/>
          <w:b w:val="0"/>
          <w:bCs w:val="0"/>
          <w:sz w:val="32"/>
          <w:szCs w:val="32"/>
          <w:highlight w:val="none"/>
          <w:lang w:val="en-US" w:eastAsia="zh-CN"/>
        </w:rPr>
      </w:pPr>
      <w:r>
        <w:rPr>
          <w:rFonts w:hint="eastAsia" w:ascii="Times New Roman" w:hAnsi="Times New Roman" w:eastAsia="方正楷体_GBK" w:cs="Times New Roman"/>
          <w:b w:val="0"/>
          <w:bCs w:val="0"/>
          <w:sz w:val="32"/>
          <w:szCs w:val="32"/>
          <w:highlight w:val="none"/>
          <w:lang w:val="en-US" w:eastAsia="zh-CN"/>
        </w:rPr>
        <w:t>2.及时足额拨付人工费用。</w:t>
      </w:r>
      <w:r>
        <w:rPr>
          <w:rFonts w:hint="eastAsia" w:ascii="Times New Roman" w:eastAsia="方正仿宋_GBK" w:cs="Times New Roman"/>
          <w:b w:val="0"/>
          <w:bCs w:val="0"/>
          <w:sz w:val="32"/>
          <w:szCs w:val="32"/>
          <w:highlight w:val="none"/>
          <w:lang w:val="en-US" w:eastAsia="zh-CN"/>
        </w:rPr>
        <w:t>住建、交通、水利、农业农村等行业主管部门负责督促本领域工程建设项目建设单位落实人工费用拨付要求，并对拨付情况进行监管，未履行督促监管职责导致欠薪的，由对应行业主管部门承担相关监管责任。人工费用占工程款的比例按以下标准执行：房屋市政工程类不低于签约合同价30%、交通运输类不低于15%、水利类不低于25%、农业农村类不低于30%。工程建设项目建设资金全部到位的，建设单位可按合同约定一次性将人工费用拨付至专用账户；资金分批拨付的，人工费用拨付周期不得超过1个月。建设单位未按约定及时足额拨付人工费用的，由行业主管部门会同人社部门责令限期改正，逾期不改正的，人社部门作出行政处罚并由行业主管部门责令项目停工。</w:t>
      </w:r>
    </w:p>
    <w:p w14:paraId="1838FFBF">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Times New Roman" w:eastAsia="方正仿宋_GBK" w:cs="Times New Roman"/>
          <w:b w:val="0"/>
          <w:bCs w:val="0"/>
          <w:sz w:val="32"/>
          <w:szCs w:val="32"/>
          <w:highlight w:val="none"/>
          <w:lang w:val="en-US" w:eastAsia="zh-CN"/>
        </w:rPr>
      </w:pPr>
      <w:r>
        <w:rPr>
          <w:rFonts w:hint="eastAsia" w:ascii="Times New Roman" w:eastAsia="方正仿宋_GBK" w:cs="Times New Roman"/>
          <w:b w:val="0"/>
          <w:bCs w:val="0"/>
          <w:sz w:val="32"/>
          <w:szCs w:val="32"/>
          <w:highlight w:val="none"/>
          <w:lang w:val="en-US" w:eastAsia="zh-CN"/>
        </w:rPr>
        <w:t>通过以上两条具体措施，严格把控准入关口，规范人工费用拨付管理，切实筑牢欠薪防控屏障，从源头上遏制新增欠薪问题的发生。</w:t>
      </w:r>
    </w:p>
    <w:p w14:paraId="4AE3791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二、过程监管“减存量”</w:t>
      </w:r>
    </w:p>
    <w:p w14:paraId="05803BC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Times New Roman" w:eastAsia="方正仿宋_GBK" w:cs="Times New Roman"/>
          <w:b w:val="0"/>
          <w:bCs w:val="0"/>
          <w:sz w:val="32"/>
          <w:szCs w:val="32"/>
          <w:highlight w:val="none"/>
          <w:lang w:val="en-US" w:eastAsia="zh-CN"/>
        </w:rPr>
      </w:pPr>
      <w:r>
        <w:rPr>
          <w:rFonts w:hint="eastAsia" w:ascii="Times New Roman" w:hAnsi="Times New Roman" w:eastAsia="方正楷体_GBK" w:cs="Times New Roman"/>
          <w:b w:val="0"/>
          <w:bCs w:val="0"/>
          <w:sz w:val="32"/>
          <w:szCs w:val="32"/>
          <w:highlight w:val="none"/>
          <w:lang w:val="en-US" w:eastAsia="zh-CN"/>
        </w:rPr>
        <w:t>3.强化劳动用工管理。</w:t>
      </w:r>
      <w:r>
        <w:rPr>
          <w:rFonts w:hint="eastAsia" w:ascii="Times New Roman" w:eastAsia="方正仿宋_GBK" w:cs="Times New Roman"/>
          <w:b w:val="0"/>
          <w:bCs w:val="0"/>
          <w:sz w:val="32"/>
          <w:szCs w:val="32"/>
          <w:highlight w:val="none"/>
          <w:lang w:val="en-US" w:eastAsia="zh-CN"/>
        </w:rPr>
        <w:t>住建、交通、水利、农业农村等行业主管部门按领域负责督促工程建设项目落实实名制管理和离场确认制度，将其纳入日常监管重点内容。总包单位对项目劳动用工管理负总责，需建立完整农民工实名制台账，未订立劳动合同并完成实名登记的人员，一律不得进入项目现场施工；分包单位对所招用农民工的实名制管理和工资支付负直接责任。工程建设项目整体停工、竣工，农民工需离场；项目阶段性完工，农民工因个人原因或用工需求需离场；总包单位、分包单位与农民工解除或终止劳动关系、签订的用工协议到期等，农民工离场时，与总包单位、分包单位共同完成工资结算、责任确认。分包单位核定实际工作量、核算应发工资、核对已支付金额，填写离场结算确认书，明确入场时间、工种、工资标准、应发金额、未结清金额及支付时限等关键信息，经农民工本人、分包单位负责人、总包单位劳资专管员三方签字确认，并加盖分包单位、总包单位公章。存在未结清工资的，由总包单位全程监督支付过程，确保按期足额支付到位，行业主管部门对结算确认及支付情况承担监督落实责任并进行抽查。</w:t>
      </w:r>
    </w:p>
    <w:p w14:paraId="6E0AB60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Times New Roman" w:eastAsia="方正仿宋_GBK" w:cs="Times New Roman"/>
          <w:b w:val="0"/>
          <w:bCs w:val="0"/>
          <w:sz w:val="32"/>
          <w:szCs w:val="32"/>
          <w:highlight w:val="none"/>
          <w:lang w:val="en-US" w:eastAsia="zh-CN"/>
        </w:rPr>
      </w:pPr>
      <w:r>
        <w:rPr>
          <w:rFonts w:hint="eastAsia" w:ascii="Times New Roman" w:hAnsi="Times New Roman" w:eastAsia="方正楷体_GBK" w:cs="Times New Roman"/>
          <w:b w:val="0"/>
          <w:bCs w:val="0"/>
          <w:sz w:val="32"/>
          <w:szCs w:val="32"/>
          <w:highlight w:val="none"/>
          <w:lang w:val="en-US" w:eastAsia="zh-CN"/>
        </w:rPr>
        <w:t>4.推进施工过程结算。</w:t>
      </w:r>
      <w:r>
        <w:rPr>
          <w:rFonts w:hint="eastAsia" w:ascii="Times New Roman" w:eastAsia="方正仿宋_GBK" w:cs="Times New Roman"/>
          <w:b w:val="0"/>
          <w:bCs w:val="0"/>
          <w:sz w:val="32"/>
          <w:szCs w:val="32"/>
          <w:highlight w:val="none"/>
          <w:lang w:val="en-US" w:eastAsia="zh-CN"/>
        </w:rPr>
        <w:t>住建、交通、水利等行业主管部门负责监督本领域项目过程结算执行情况，对拖延结算的建设单位约谈警示、限期整改。建设单位对施工过程结算负主责，必须在工程施工合同约定期限内完成核对确认，不得借设计变更、工程洽商、未完成审计等理由变相拖延；合同未约定办理时限的，期限均为28个自然日。同时，建设单位应按合同约定比例支付</w:t>
      </w:r>
      <w:r>
        <w:rPr>
          <w:rFonts w:hint="default" w:ascii="Times New Roman" w:eastAsia="方正仿宋_GBK" w:cs="Times New Roman"/>
          <w:b w:val="0"/>
          <w:bCs w:val="0"/>
          <w:sz w:val="32"/>
          <w:szCs w:val="32"/>
          <w:highlight w:val="none"/>
          <w:lang w:val="en-US" w:eastAsia="zh-CN"/>
        </w:rPr>
        <w:t>工程进度款</w:t>
      </w:r>
      <w:r>
        <w:rPr>
          <w:rFonts w:hint="eastAsia" w:ascii="Times New Roman" w:eastAsia="方正仿宋_GBK" w:cs="Times New Roman"/>
          <w:b w:val="0"/>
          <w:bCs w:val="0"/>
          <w:sz w:val="32"/>
          <w:szCs w:val="32"/>
          <w:highlight w:val="none"/>
          <w:lang w:val="en-US" w:eastAsia="zh-CN"/>
        </w:rPr>
        <w:t>，其中政府机关、事业单位、国有企业建设项目进度款支付比例不得低于已完成工程价款的80%，财政部门对政府投资项目资金拨付情况进行监督。</w:t>
      </w:r>
    </w:p>
    <w:p w14:paraId="37214FD5">
      <w:pPr>
        <w:keepNext w:val="0"/>
        <w:keepLines w:val="0"/>
        <w:pageBreakBefore w:val="0"/>
        <w:widowControl w:val="0"/>
        <w:kinsoku/>
        <w:wordWrap/>
        <w:overflowPunct/>
        <w:topLinePunct w:val="0"/>
        <w:autoSpaceDE/>
        <w:autoSpaceDN/>
        <w:bidi w:val="0"/>
        <w:adjustRightInd/>
        <w:snapToGrid/>
        <w:spacing w:line="560" w:lineRule="exact"/>
        <w:ind w:left="0" w:leftChars="0" w:firstLine="641"/>
        <w:jc w:val="both"/>
        <w:textAlignment w:val="auto"/>
        <w:rPr>
          <w:rFonts w:hint="eastAsia" w:ascii="Times New Roman" w:eastAsia="方正仿宋_GBK" w:cs="Times New Roman"/>
          <w:b w:val="0"/>
          <w:bCs w:val="0"/>
          <w:sz w:val="32"/>
          <w:szCs w:val="32"/>
          <w:highlight w:val="none"/>
          <w:lang w:val="en-US" w:eastAsia="zh-CN"/>
        </w:rPr>
      </w:pPr>
      <w:r>
        <w:rPr>
          <w:rFonts w:hint="eastAsia" w:ascii="Times New Roman" w:hAnsi="Times New Roman" w:eastAsia="方正楷体_GBK" w:cs="Times New Roman"/>
          <w:b w:val="0"/>
          <w:bCs w:val="0"/>
          <w:sz w:val="32"/>
          <w:szCs w:val="32"/>
          <w:highlight w:val="none"/>
          <w:lang w:val="en-US" w:eastAsia="zh-CN"/>
        </w:rPr>
        <w:t>5.落实欠薪线索推送核查机制。</w:t>
      </w:r>
      <w:r>
        <w:rPr>
          <w:rFonts w:hint="eastAsia" w:ascii="Times New Roman" w:eastAsia="方正仿宋_GBK" w:cs="Times New Roman"/>
          <w:b w:val="0"/>
          <w:bCs w:val="0"/>
          <w:sz w:val="32"/>
          <w:szCs w:val="32"/>
          <w:highlight w:val="none"/>
          <w:lang w:val="en-US" w:eastAsia="zh-CN"/>
        </w:rPr>
        <w:t>市就业促进和劳动保护工作领导小组办公室为线索统筹推送责任主体，按项目类型精准分流：政府项目线索推送至日常监管责任单位，国企项目线索推送至国资监管部门，社会投资项目线索推送至对应行业主管部门，非工程建设领域线索由属地人社部门直接处置。各处置责任单位需在规定时限内完成核查处置：领导小组办公室初核时限2个工作日，行业主管部门、国资部门等处置时限5个工作日（复杂情况可延长3个工作日），人社部门复核时限5个工作日（复杂情况可延长5个工作日）。处置完成后需及时反馈结果，对欠薪线索销号式管理。人社部门牵头对已办结线索开展常态化“回头看”，进行回访核实；建立抽查制度，对未及时妥善处置的单位予以通报并跟踪督办，确保线索处置形成闭环。</w:t>
      </w:r>
    </w:p>
    <w:p w14:paraId="06AECBE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Times New Roman" w:eastAsia="方正仿宋_GBK" w:cs="Times New Roman"/>
          <w:b w:val="0"/>
          <w:bCs w:val="0"/>
          <w:sz w:val="32"/>
          <w:szCs w:val="32"/>
          <w:highlight w:val="none"/>
          <w:lang w:val="en-US" w:eastAsia="zh-CN"/>
        </w:rPr>
      </w:pPr>
      <w:r>
        <w:rPr>
          <w:rFonts w:hint="eastAsia" w:ascii="Times New Roman" w:eastAsia="方正仿宋_GBK" w:cs="Times New Roman"/>
          <w:b w:val="0"/>
          <w:bCs w:val="0"/>
          <w:sz w:val="32"/>
          <w:szCs w:val="32"/>
          <w:highlight w:val="none"/>
          <w:lang w:val="en-US" w:eastAsia="zh-CN"/>
        </w:rPr>
        <w:t>通过以上三条具体措施，对在建、续建的工程建设项目实施全流程监管，强化劳动用工管理、施工过程结算、线索处置等关键环节，及时妥善处置欠薪问题线索，实行销号式管理，达到“减存量”的目标。</w:t>
      </w:r>
    </w:p>
    <w:p w14:paraId="3CE9708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三、压实责任“防变量”</w:t>
      </w:r>
    </w:p>
    <w:p w14:paraId="37C3C22F">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Times New Roman" w:eastAsia="方正仿宋_GBK" w:cs="Times New Roman"/>
          <w:b w:val="0"/>
          <w:bCs w:val="0"/>
          <w:sz w:val="32"/>
          <w:szCs w:val="32"/>
          <w:highlight w:val="none"/>
          <w:lang w:val="en-US" w:eastAsia="zh-CN"/>
        </w:rPr>
      </w:pPr>
      <w:r>
        <w:rPr>
          <w:rFonts w:hint="eastAsia" w:ascii="Times New Roman" w:hAnsi="Times New Roman" w:eastAsia="方正楷体_GBK" w:cs="Times New Roman"/>
          <w:b w:val="0"/>
          <w:bCs w:val="0"/>
          <w:sz w:val="32"/>
          <w:szCs w:val="32"/>
          <w:highlight w:val="none"/>
          <w:lang w:val="en-US" w:eastAsia="zh-CN"/>
        </w:rPr>
        <w:t>6.实施联合惩戒。</w:t>
      </w:r>
      <w:r>
        <w:rPr>
          <w:rFonts w:hint="eastAsia" w:ascii="Times New Roman" w:eastAsia="方正仿宋_GBK" w:cs="Times New Roman"/>
          <w:b w:val="0"/>
          <w:bCs w:val="0"/>
          <w:sz w:val="32"/>
          <w:szCs w:val="32"/>
          <w:highlight w:val="none"/>
          <w:lang w:val="en-US" w:eastAsia="zh-CN"/>
        </w:rPr>
        <w:t>人社部门为劳动保障诚信评价和失信惩戒牵头单位，负责动态分级评价企业劳动保障守法诚信等级，依法公布重大劳动保障违法行为，规范认定拖欠农民工工资失信联合惩戒对象名单。对建设单位未及时拨付人工费用、总包单位未履行监管责任或未按规定存储工资保证金导致欠薪的，由人社部门会同行业主管部门依法作出行政处罚（处理），并将处罚信息推送至“信用中国”网站，面向社会公示。发展改革、市场监督、住建、银行等相关部门依据失信名单实施联合惩戒，在招投标、市场准入、融资贷款等方面予以限制，实现“一处欠薪，处处受限”。</w:t>
      </w:r>
    </w:p>
    <w:p w14:paraId="42C5F2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eastAsia="方正仿宋_GBK" w:cs="Times New Roman"/>
          <w:b w:val="0"/>
          <w:bCs w:val="0"/>
          <w:sz w:val="32"/>
          <w:szCs w:val="32"/>
          <w:highlight w:val="none"/>
          <w:lang w:val="en-US" w:eastAsia="zh-CN"/>
        </w:rPr>
      </w:pPr>
      <w:r>
        <w:rPr>
          <w:rFonts w:hint="eastAsia" w:ascii="Times New Roman" w:hAnsi="Times New Roman" w:eastAsia="方正楷体_GBK" w:cs="Times New Roman"/>
          <w:b w:val="0"/>
          <w:bCs w:val="0"/>
          <w:sz w:val="32"/>
          <w:szCs w:val="32"/>
          <w:highlight w:val="none"/>
          <w:lang w:val="en-US" w:eastAsia="zh-CN"/>
        </w:rPr>
        <w:t>7.严肃追责问责。</w:t>
      </w:r>
      <w:r>
        <w:rPr>
          <w:rFonts w:hint="eastAsia" w:ascii="Times New Roman" w:eastAsia="方正仿宋_GBK" w:cs="Times New Roman"/>
          <w:b w:val="0"/>
          <w:bCs w:val="0"/>
          <w:sz w:val="32"/>
          <w:szCs w:val="32"/>
          <w:highlight w:val="none"/>
          <w:lang w:val="en-US" w:eastAsia="zh-CN"/>
        </w:rPr>
        <w:t>对政府、国企项目因投资资金不到位导致欠薪的：市级监管项目由人社部门报市政府批准，责令责任单位限期足额拨付，逾期未拨付的约谈直接责任部门和行业主管部门负责人；区（县）级监管项目责令属地限期足额拨付，市人社部门约谈区（县）政府负责人；情节严重的，移交纪检监察机关对行业主管部门负责人、直接责任人追责问责。对政府、国企项目因未批先建、擅自扩大建设规模、增加投资概算、未及时拨付工程款导致欠薪的，建设单位承担主体责任，人社部门会同行业主管部门约谈其负责人，相关情况作为业绩考核、薪酬分配、评优评先、职务晋升的重要依据。对社会投资项目因资金不到位或违法违规开工导致欠薪的，人社部门和行业主管部门按职责对建设单位及负责人依法处罚。住建、交通、水利等行业主管部门及人社、发改、财政等部门工作人员，在欠薪治理工作中滥用职权、玩忽职守、徇私舞弊、失职失责的，直接移交纪检监察机关追责问责。</w:t>
      </w:r>
    </w:p>
    <w:p w14:paraId="3883356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eastAsia="方正仿宋_GBK" w:cs="Times New Roman"/>
          <w:b w:val="0"/>
          <w:bCs w:val="0"/>
          <w:sz w:val="32"/>
          <w:szCs w:val="32"/>
          <w:highlight w:val="none"/>
          <w:lang w:val="en-US" w:eastAsia="zh-CN"/>
        </w:rPr>
      </w:pPr>
      <w:r>
        <w:rPr>
          <w:rFonts w:hint="eastAsia" w:ascii="Times New Roman" w:eastAsia="方正仿宋_GBK" w:cs="Times New Roman"/>
          <w:b w:val="0"/>
          <w:bCs w:val="0"/>
          <w:sz w:val="32"/>
          <w:szCs w:val="32"/>
          <w:highlight w:val="none"/>
          <w:lang w:val="en-US" w:eastAsia="zh-CN"/>
        </w:rPr>
        <w:t>通过以上两条具体措施，采取强化信用约束、严肃追责问责的方式，进一步压实各区（县）政府属地主体责任、各行业主管部门监管责任及用人单位的主体责任，大幅提高违法成本，有效防范欠薪案件引发的社会风险隐患，达到“防变量”的目标。</w:t>
      </w:r>
    </w:p>
    <w:p w14:paraId="7F10A0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eastAsia="方正仿宋_GBK" w:cs="Times New Roman"/>
          <w:b w:val="0"/>
          <w:bCs w:val="0"/>
          <w:sz w:val="32"/>
          <w:szCs w:val="32"/>
          <w:highlight w:val="none"/>
          <w:lang w:val="en-US" w:eastAsia="zh-CN"/>
        </w:rPr>
      </w:pPr>
    </w:p>
    <w:p w14:paraId="0A242DDE">
      <w:pPr>
        <w:keepNext w:val="0"/>
        <w:keepLines w:val="0"/>
        <w:pageBreakBefore w:val="0"/>
        <w:widowControl w:val="0"/>
        <w:kinsoku/>
        <w:wordWrap/>
        <w:topLinePunct w:val="0"/>
        <w:autoSpaceDE/>
        <w:autoSpaceDN/>
        <w:bidi w:val="0"/>
        <w:adjustRightInd/>
        <w:snapToGrid/>
        <w:spacing w:line="560" w:lineRule="exact"/>
        <w:textAlignment w:val="auto"/>
        <w:rPr>
          <w:rFonts w:hint="default"/>
          <w:sz w:val="32"/>
          <w:szCs w:val="32"/>
          <w:lang w:val="en-US" w:eastAsia="zh-CN"/>
        </w:rPr>
        <w:sectPr>
          <w:footerReference r:id="rId3" w:type="default"/>
          <w:pgSz w:w="11906" w:h="16838"/>
          <w:pgMar w:top="2098" w:right="1531" w:bottom="1984" w:left="1531" w:header="851" w:footer="1417"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6394CD5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lang w:val="en-US" w:eastAsia="zh-CN"/>
        </w:rPr>
      </w:pPr>
    </w:p>
    <w:p w14:paraId="0F2687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0"/>
          <w:szCs w:val="48"/>
          <w:lang w:val="en-US" w:eastAsia="zh-CN"/>
        </w:rPr>
      </w:pPr>
      <w:r>
        <w:rPr>
          <w:rFonts w:hint="eastAsia" w:ascii="方正小标宋_GBK" w:hAnsi="方正小标宋_GBK" w:eastAsia="方正小标宋_GBK" w:cs="方正小标宋_GBK"/>
          <w:sz w:val="40"/>
          <w:szCs w:val="48"/>
          <w:lang w:val="en-US" w:eastAsia="zh-CN"/>
        </w:rPr>
        <w:t>相关政策依据</w:t>
      </w:r>
    </w:p>
    <w:tbl>
      <w:tblPr>
        <w:tblStyle w:val="9"/>
        <w:tblW w:w="1609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3509"/>
        <w:gridCol w:w="1591"/>
        <w:gridCol w:w="10170"/>
      </w:tblGrid>
      <w:tr w14:paraId="5B90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405E97">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序号</w:t>
            </w:r>
          </w:p>
        </w:tc>
        <w:tc>
          <w:tcPr>
            <w:tcW w:w="350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8AA17">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内容</w:t>
            </w:r>
          </w:p>
        </w:tc>
        <w:tc>
          <w:tcPr>
            <w:tcW w:w="15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C5FB7">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依据</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B9986">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相关条款</w:t>
            </w:r>
          </w:p>
        </w:tc>
      </w:tr>
      <w:tr w14:paraId="0283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7"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93F0C">
            <w:pPr>
              <w:spacing w:beforeLines="0" w:afterLines="0"/>
              <w:jc w:val="center"/>
              <w:rPr>
                <w:rFonts w:hint="eastAsia" w:ascii="Times New Roman" w:hAnsi="Times New Roman" w:eastAsia="宋体"/>
                <w:color w:val="000000"/>
                <w:sz w:val="21"/>
                <w:szCs w:val="22"/>
                <w:lang w:eastAsia="zh-CN"/>
              </w:rPr>
            </w:pPr>
            <w:r>
              <w:rPr>
                <w:rFonts w:hint="eastAsia" w:ascii="Times New Roman" w:hAnsi="Times New Roman"/>
                <w:color w:val="000000"/>
                <w:sz w:val="21"/>
                <w:szCs w:val="22"/>
                <w:lang w:val="en-US" w:eastAsia="zh-CN"/>
              </w:rPr>
              <w:t>1</w:t>
            </w:r>
          </w:p>
        </w:tc>
        <w:tc>
          <w:tcPr>
            <w:tcW w:w="350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9C60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b w:val="0"/>
                <w:bCs/>
                <w:color w:val="000000"/>
                <w:sz w:val="21"/>
                <w:szCs w:val="22"/>
              </w:rPr>
            </w:pPr>
            <w:r>
              <w:rPr>
                <w:rFonts w:hint="eastAsia" w:ascii="方正仿宋_GBK" w:hAnsi="方正仿宋_GBK" w:eastAsia="方正仿宋_GBK" w:cs="方正仿宋_GBK"/>
                <w:b/>
                <w:bCs/>
                <w:i w:val="0"/>
                <w:iCs w:val="0"/>
                <w:color w:val="000000"/>
                <w:kern w:val="0"/>
                <w:sz w:val="22"/>
                <w:szCs w:val="22"/>
                <w:u w:val="none"/>
                <w:lang w:val="en-US" w:eastAsia="zh-CN" w:bidi="ar"/>
              </w:rPr>
              <w:t>严格施工许可前置审核。</w:t>
            </w:r>
            <w:r>
              <w:rPr>
                <w:rFonts w:hint="eastAsia" w:ascii="方正仿宋_GBK" w:hAnsi="方正仿宋_GBK" w:eastAsia="方正仿宋_GBK" w:cs="方正仿宋_GBK"/>
                <w:i w:val="0"/>
                <w:iCs w:val="0"/>
                <w:color w:val="000000"/>
                <w:kern w:val="0"/>
                <w:sz w:val="22"/>
                <w:szCs w:val="22"/>
                <w:u w:val="none"/>
                <w:lang w:val="en-US" w:eastAsia="zh-CN" w:bidi="ar"/>
              </w:rPr>
              <w:t>将工程款支付担保作为办理建筑工程施工许可证或申请开工批复报告的必要前置条件，由住建、交通、水利、农业农村等对应行业主管部门负责审核把关。对未满足上述条件的工程建设项目，行业主管部门一律不予核发建筑工程施工许可证或出具开工批复报告；审核把关不严导致项目违规开工并引发欠薪的，由该行业主管部门牵头处置相关投诉举报，并承担监管失职责任。施工总承包单位（以下简称总包单位）为工资保证金存储责任主体，应在取得施工许可证或开工报告批复之日起</w:t>
            </w:r>
            <w:r>
              <w:rPr>
                <w:rFonts w:hint="default" w:ascii="Times New Roman" w:hAnsi="Times New Roman" w:eastAsia="方正仿宋_GBK" w:cs="Times New Roman"/>
                <w:i w:val="0"/>
                <w:iCs w:val="0"/>
                <w:color w:val="000000"/>
                <w:kern w:val="0"/>
                <w:sz w:val="22"/>
                <w:szCs w:val="22"/>
                <w:u w:val="none"/>
                <w:lang w:val="en-US" w:eastAsia="zh-CN" w:bidi="ar"/>
              </w:rPr>
              <w:t>20</w:t>
            </w:r>
            <w:r>
              <w:rPr>
                <w:rFonts w:hint="eastAsia" w:ascii="方正仿宋_GBK" w:hAnsi="方正仿宋_GBK" w:eastAsia="方正仿宋_GBK" w:cs="方正仿宋_GBK"/>
                <w:i w:val="0"/>
                <w:iCs w:val="0"/>
                <w:color w:val="000000"/>
                <w:kern w:val="0"/>
                <w:sz w:val="22"/>
                <w:szCs w:val="22"/>
                <w:u w:val="none"/>
                <w:lang w:val="en-US" w:eastAsia="zh-CN" w:bidi="ar"/>
              </w:rPr>
              <w:t>个工作日内足额存储工资保证金或提供金融机构保函，相关行业主管部门负责督促落实。总包单位未按规定落实的，由行业主管部门会同人社部门责令限期改正，逾期不改正的，人社部门作出行政处罚并由行业主管部门责令项目停工。</w:t>
            </w:r>
          </w:p>
        </w:tc>
        <w:tc>
          <w:tcPr>
            <w:tcW w:w="159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5CBA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《保障农民工工资支付条例》（国务院令第</w:t>
            </w:r>
            <w:r>
              <w:rPr>
                <w:rFonts w:hint="default" w:ascii="Times New Roman" w:hAnsi="Times New Roman" w:eastAsia="宋体" w:cs="Times New Roman"/>
                <w:i w:val="0"/>
                <w:iCs w:val="0"/>
                <w:color w:val="000000"/>
                <w:kern w:val="0"/>
                <w:sz w:val="22"/>
                <w:szCs w:val="22"/>
                <w:u w:val="none"/>
                <w:lang w:val="en-US" w:eastAsia="zh-CN" w:bidi="ar"/>
              </w:rPr>
              <w:t>724</w:t>
            </w:r>
            <w:r>
              <w:rPr>
                <w:rFonts w:hint="eastAsia" w:ascii="方正仿宋_GBK" w:hAnsi="方正仿宋_GBK" w:eastAsia="方正仿宋_GBK" w:cs="方正仿宋_GBK"/>
                <w:i w:val="0"/>
                <w:iCs w:val="0"/>
                <w:color w:val="000000"/>
                <w:kern w:val="0"/>
                <w:sz w:val="22"/>
                <w:szCs w:val="22"/>
                <w:u w:val="none"/>
                <w:lang w:val="en-US" w:eastAsia="zh-CN" w:bidi="ar"/>
              </w:rPr>
              <w:t>号）</w:t>
            </w:r>
          </w:p>
          <w:p w14:paraId="1DA733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《建筑工程施工许可管理办法》（住建部令第</w:t>
            </w:r>
            <w:r>
              <w:rPr>
                <w:rFonts w:hint="default" w:ascii="Times New Roman" w:hAnsi="Times New Roman" w:eastAsia="宋体" w:cs="Times New Roman"/>
                <w:i w:val="0"/>
                <w:iCs w:val="0"/>
                <w:color w:val="000000"/>
                <w:kern w:val="0"/>
                <w:sz w:val="22"/>
                <w:szCs w:val="22"/>
                <w:u w:val="none"/>
                <w:lang w:val="en-US" w:eastAsia="zh-CN" w:bidi="ar"/>
              </w:rPr>
              <w:t>18</w:t>
            </w:r>
            <w:r>
              <w:rPr>
                <w:rFonts w:hint="eastAsia" w:ascii="方正仿宋_GBK" w:hAnsi="方正仿宋_GBK" w:eastAsia="方正仿宋_GBK" w:cs="方正仿宋_GBK"/>
                <w:i w:val="0"/>
                <w:iCs w:val="0"/>
                <w:color w:val="000000"/>
                <w:kern w:val="0"/>
                <w:sz w:val="22"/>
                <w:szCs w:val="22"/>
                <w:u w:val="none"/>
                <w:lang w:val="en-US" w:eastAsia="zh-CN" w:bidi="ar"/>
              </w:rPr>
              <w:t>号）</w:t>
            </w:r>
          </w:p>
          <w:p w14:paraId="3ED7C0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自治区人力资源和社会保障厅等七部门关于印发《新疆维吾尔自治区工程建设领域农民工工资保证金管理实施细则》的通知（新人社规〔</w:t>
            </w: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号）</w:t>
            </w:r>
          </w:p>
          <w:p w14:paraId="291D30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Times New Roman"/>
                <w:b w:val="0"/>
                <w:bCs/>
                <w:color w:val="000000"/>
                <w:sz w:val="21"/>
                <w:szCs w:val="22"/>
              </w:rPr>
            </w:pP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《关于进一步推进全区房屋建筑和市政基础设施工程支付担保制度落实的通知》（新建建函〔</w:t>
            </w:r>
            <w:r>
              <w:rPr>
                <w:rFonts w:hint="default" w:ascii="Times New Roman" w:hAnsi="Times New Roman" w:eastAsia="宋体"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方正仿宋_GBK" w:hAnsi="方正仿宋_GBK" w:eastAsia="方正仿宋_GBK" w:cs="方正仿宋_GBK"/>
                <w:i w:val="0"/>
                <w:iCs w:val="0"/>
                <w:color w:val="000000"/>
                <w:kern w:val="0"/>
                <w:sz w:val="22"/>
                <w:szCs w:val="22"/>
                <w:u w:val="none"/>
                <w:lang w:val="en-US" w:eastAsia="zh-CN" w:bidi="ar"/>
              </w:rPr>
              <w:t>号）</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532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楷体_GBK" w:hAnsi="方正楷体_GBK" w:eastAsia="方正楷体_GBK" w:cs="方正楷体_GBK"/>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w:t>
            </w:r>
            <w:r>
              <w:rPr>
                <w:rFonts w:ascii="方正楷体_GBK" w:hAnsi="方正楷体_GBK" w:eastAsia="方正楷体_GBK" w:cs="方正楷体_GBK"/>
                <w:b/>
                <w:bCs/>
                <w:i w:val="0"/>
                <w:iCs w:val="0"/>
                <w:color w:val="000000"/>
                <w:kern w:val="0"/>
                <w:sz w:val="22"/>
                <w:szCs w:val="22"/>
                <w:u w:val="none"/>
                <w:lang w:val="en-US" w:eastAsia="zh-CN" w:bidi="ar"/>
              </w:rPr>
              <w:t>《保障农民工工资支付条例》：</w:t>
            </w:r>
          </w:p>
          <w:p w14:paraId="667A57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第二十三条</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建设单位应当有满足施工所需要的资金安排。没有满足施工所需要的资金安排的，工程建设项目不得开工建设；依法需要办理施工许可证的，相关行业工程建设主管部门不予颁发施工许可证。政府投资项目所需资金，应当按照国家有关规定落实到位，不得由施工单位垫资建设。</w:t>
            </w:r>
          </w:p>
          <w:p w14:paraId="28642A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第二十四条</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建设单位应当向施工单位提供工程款支付担保。建设单位与施工总承包单位依法订立书面工程施工合同，应当约定工程款计量周期、工程款进度结算办法以及人工费用拨付周期，并按照保障农民工工资按时足额支付的要求约定人工费用。人工费用拨付周期不得超过</w:t>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个月。</w:t>
            </w:r>
          </w:p>
          <w:p w14:paraId="3BC646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第四十九条</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建设单位未依法提供工程款支付担保或者政府投资项目拖欠工程款，导致拖欠农民工工资的，县级以上地方人民政府应当限制其新建项目，并记入信用记录，纳入国家信用信息系统进行公示。</w:t>
            </w:r>
          </w:p>
          <w:p w14:paraId="252F4E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楷体_GBK" w:hAnsi="方正楷体_GBK" w:eastAsia="方正楷体_GBK" w:cs="方正楷体_GBK"/>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2.</w:t>
            </w:r>
            <w:r>
              <w:rPr>
                <w:rFonts w:ascii="方正楷体_GBK" w:hAnsi="方正楷体_GBK" w:eastAsia="方正楷体_GBK" w:cs="方正楷体_GBK"/>
                <w:b/>
                <w:bCs/>
                <w:i w:val="0"/>
                <w:iCs w:val="0"/>
                <w:color w:val="000000"/>
                <w:kern w:val="0"/>
                <w:sz w:val="22"/>
                <w:szCs w:val="22"/>
                <w:u w:val="none"/>
                <w:lang w:val="en-US" w:eastAsia="zh-CN" w:bidi="ar"/>
              </w:rPr>
              <w:t>《建筑工程施工许可管理办法》</w:t>
            </w:r>
          </w:p>
          <w:p w14:paraId="1CB7E2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第三条</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本办法规定应当申请领取施工许可证的建筑工程未取得施工许可证的，一律不得开工。</w:t>
            </w:r>
          </w:p>
          <w:p w14:paraId="69B5D9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第四条</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建设单位申请领取施工许可证，应当具备下列条件，并提交相应的证明文件：有满足施工需要的资金安排、施工图纸及技术资料，建设单位应当提供建设资金已经落实承诺书，施工图设计文件已按规定审查合格。</w:t>
            </w:r>
          </w:p>
          <w:p w14:paraId="582739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楷体_GBK" w:hAnsi="方正楷体_GBK" w:eastAsia="方正楷体_GBK" w:cs="方正楷体_GBK"/>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ascii="方正楷体_GBK" w:hAnsi="方正楷体_GBK" w:eastAsia="方正楷体_GBK" w:cs="方正楷体_GBK"/>
                <w:b/>
                <w:bCs/>
                <w:i w:val="0"/>
                <w:iCs w:val="0"/>
                <w:color w:val="000000"/>
                <w:kern w:val="0"/>
                <w:sz w:val="22"/>
                <w:szCs w:val="22"/>
                <w:u w:val="none"/>
                <w:lang w:val="en-US" w:eastAsia="zh-CN" w:bidi="ar"/>
              </w:rPr>
              <w:t>自治区人力资源和社会保障厅等七部门关于印发《新疆维吾尔自治区工程建设领域农民工工资保证金管理实施细则》的通知</w:t>
            </w:r>
          </w:p>
          <w:p w14:paraId="5D01D8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第八条</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施工总承包单位应当自工程取得施工许可证（或开工报告批复）之日起</w:t>
            </w: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方正仿宋_GBK" w:hAnsi="方正仿宋_GBK" w:eastAsia="方正仿宋_GBK" w:cs="方正仿宋_GBK"/>
                <w:i w:val="0"/>
                <w:iCs w:val="0"/>
                <w:color w:val="000000"/>
                <w:kern w:val="0"/>
                <w:sz w:val="22"/>
                <w:szCs w:val="22"/>
                <w:u w:val="none"/>
                <w:lang w:val="en-US" w:eastAsia="zh-CN" w:bidi="ar"/>
              </w:rPr>
              <w:t>个工作日内（依法不需要办理施工许可证或批准开工报告的工程自签订施工合同之日起</w:t>
            </w: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方正仿宋_GBK" w:hAnsi="方正仿宋_GBK" w:eastAsia="方正仿宋_GBK" w:cs="方正仿宋_GBK"/>
                <w:i w:val="0"/>
                <w:iCs w:val="0"/>
                <w:color w:val="000000"/>
                <w:kern w:val="0"/>
                <w:sz w:val="22"/>
                <w:szCs w:val="22"/>
                <w:u w:val="none"/>
                <w:lang w:val="en-US" w:eastAsia="zh-CN" w:bidi="ar"/>
              </w:rPr>
              <w:t>个工作日之内），持营业执照副本、与建设单位签订的施工合同到属地人力资源社会保障行政部门确定应存储工资保证金金额，并在经办银行开立工资保证金专门账户存储工资保证金。</w:t>
            </w:r>
          </w:p>
          <w:p w14:paraId="149496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楷体_GBK" w:hAnsi="方正楷体_GBK" w:eastAsia="方正楷体_GBK" w:cs="方正楷体_GBK"/>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ascii="方正楷体_GBK" w:hAnsi="方正楷体_GBK" w:eastAsia="方正楷体_GBK" w:cs="方正楷体_GBK"/>
                <w:b/>
                <w:bCs/>
                <w:i w:val="0"/>
                <w:iCs w:val="0"/>
                <w:color w:val="000000"/>
                <w:kern w:val="0"/>
                <w:sz w:val="22"/>
                <w:szCs w:val="22"/>
                <w:u w:val="none"/>
                <w:lang w:val="en-US" w:eastAsia="zh-CN" w:bidi="ar"/>
              </w:rPr>
              <w:t>《关于进一步推进全区房屋建筑和市政基础设施工程支付担保制度落实的通知》</w:t>
            </w:r>
          </w:p>
          <w:p w14:paraId="1E0975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b w:val="0"/>
                <w:bCs/>
                <w:color w:val="000000"/>
                <w:sz w:val="21"/>
                <w:szCs w:val="22"/>
              </w:rPr>
            </w:pPr>
            <w:r>
              <w:rPr>
                <w:rFonts w:hint="eastAsia" w:ascii="方正仿宋_GBK" w:hAnsi="方正仿宋_GBK" w:eastAsia="方正仿宋_GBK" w:cs="方正仿宋_GBK"/>
                <w:i w:val="0"/>
                <w:iCs w:val="0"/>
                <w:color w:val="000000"/>
                <w:kern w:val="0"/>
                <w:sz w:val="22"/>
                <w:szCs w:val="22"/>
                <w:u w:val="none"/>
                <w:lang w:val="en-US" w:eastAsia="zh-CN" w:bidi="ar"/>
              </w:rPr>
              <w:t>建设单位与施工单位在新疆工程建设云平台进行承发包业务办理时，建设单位应准确填写工程款支付担保相关信息，上传不少于工程造价</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方正仿宋_GBK" w:hAnsi="方正仿宋_GBK" w:eastAsia="方正仿宋_GBK" w:cs="方正仿宋_GBK"/>
                <w:i w:val="0"/>
                <w:iCs w:val="0"/>
                <w:color w:val="000000"/>
                <w:kern w:val="0"/>
                <w:sz w:val="22"/>
                <w:szCs w:val="22"/>
                <w:u w:val="none"/>
                <w:lang w:val="en-US" w:eastAsia="zh-CN" w:bidi="ar"/>
              </w:rPr>
              <w:t>的工程款支付担保保函凭证，各地要高度重视，加强政策宣传引导，积极协调解决工程款支付担保制度实施过程中存在的困难及问题，各县（市、区）住房和城乡建设主管部门于</w:t>
            </w:r>
            <w:r>
              <w:rPr>
                <w:rFonts w:hint="default" w:ascii="Times New Roman" w:hAnsi="Times New Roman" w:eastAsia="宋体"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日起可依托新疆工程建设云系统，在核发建设工程施工许可环节查看建设单位工程款支付担保信息并进行信息登记，建立工程款支付担保档案，档案保留至所涉及工程建设项目竣工验收备案。</w:t>
            </w:r>
          </w:p>
        </w:tc>
      </w:tr>
    </w:tbl>
    <w:p w14:paraId="12FC5D6C">
      <w:pPr>
        <w:rPr>
          <w:rFonts w:hint="eastAsia"/>
          <w:lang w:val="en-US" w:eastAsia="zh-CN"/>
        </w:rPr>
      </w:pPr>
    </w:p>
    <w:p w14:paraId="0E43F267">
      <w:pPr>
        <w:rPr>
          <w:rFonts w:hint="default"/>
          <w:lang w:val="en-US" w:eastAsia="zh-CN"/>
        </w:rPr>
      </w:pPr>
      <w:r>
        <w:rPr>
          <w:rFonts w:hint="default"/>
          <w:lang w:val="en-US" w:eastAsia="zh-CN"/>
        </w:rPr>
        <w:br w:type="page"/>
      </w:r>
    </w:p>
    <w:p w14:paraId="65D6EE42">
      <w:pPr>
        <w:rPr>
          <w:rFonts w:hint="default"/>
          <w:lang w:val="en-US" w:eastAsia="zh-CN"/>
        </w:rPr>
      </w:pPr>
    </w:p>
    <w:p w14:paraId="1E462AE0">
      <w:pPr>
        <w:rPr>
          <w:rFonts w:hint="default"/>
          <w:lang w:val="en-US" w:eastAsia="zh-CN"/>
        </w:rPr>
      </w:pPr>
    </w:p>
    <w:p w14:paraId="39DC50F8">
      <w:pPr>
        <w:rPr>
          <w:rFonts w:hint="default"/>
          <w:lang w:val="en-US" w:eastAsia="zh-CN"/>
        </w:rPr>
      </w:pPr>
    </w:p>
    <w:tbl>
      <w:tblPr>
        <w:tblStyle w:val="9"/>
        <w:tblW w:w="1609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3675"/>
        <w:gridCol w:w="1425"/>
        <w:gridCol w:w="10170"/>
      </w:tblGrid>
      <w:tr w14:paraId="3828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C2B05">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序号</w:t>
            </w:r>
          </w:p>
        </w:tc>
        <w:tc>
          <w:tcPr>
            <w:tcW w:w="3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1C3F5">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内容</w:t>
            </w: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3E6CD3">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依据</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CCA66">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相关条款</w:t>
            </w:r>
          </w:p>
        </w:tc>
      </w:tr>
      <w:tr w14:paraId="2ADC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7"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5FA9D">
            <w:pPr>
              <w:spacing w:beforeLines="0" w:afterLines="0"/>
              <w:jc w:val="center"/>
              <w:rPr>
                <w:rFonts w:hint="eastAsia" w:ascii="Times New Roman" w:hAnsi="Times New Roman" w:eastAsia="宋体"/>
                <w:color w:val="000000"/>
                <w:sz w:val="21"/>
                <w:szCs w:val="22"/>
                <w:lang w:eastAsia="zh-CN"/>
              </w:rPr>
            </w:pPr>
            <w:r>
              <w:rPr>
                <w:rFonts w:hint="eastAsia" w:ascii="Times New Roman" w:hAnsi="Times New Roman"/>
                <w:color w:val="000000"/>
                <w:sz w:val="21"/>
                <w:szCs w:val="22"/>
                <w:lang w:val="en-US" w:eastAsia="zh-CN"/>
              </w:rPr>
              <w:t>2</w:t>
            </w:r>
          </w:p>
        </w:tc>
        <w:tc>
          <w:tcPr>
            <w:tcW w:w="3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C08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b w:val="0"/>
                <w:bCs/>
                <w:color w:val="000000"/>
                <w:sz w:val="21"/>
                <w:szCs w:val="22"/>
              </w:rPr>
            </w:pPr>
            <w:r>
              <w:rPr>
                <w:rFonts w:hint="eastAsia" w:ascii="方正仿宋_GBK" w:hAnsi="方正仿宋_GBK" w:eastAsia="方正仿宋_GBK" w:cs="方正仿宋_GBK"/>
                <w:b/>
                <w:bCs/>
                <w:i w:val="0"/>
                <w:iCs w:val="0"/>
                <w:color w:val="000000"/>
                <w:kern w:val="0"/>
                <w:sz w:val="22"/>
                <w:szCs w:val="22"/>
                <w:u w:val="none"/>
                <w:lang w:val="en-US" w:eastAsia="zh-CN" w:bidi="ar"/>
              </w:rPr>
              <w:t>强化劳动用工管理。</w:t>
            </w:r>
            <w:r>
              <w:rPr>
                <w:rFonts w:hint="eastAsia" w:ascii="方正仿宋_GBK" w:hAnsi="方正仿宋_GBK" w:eastAsia="方正仿宋_GBK" w:cs="方正仿宋_GBK"/>
                <w:i w:val="0"/>
                <w:iCs w:val="0"/>
                <w:color w:val="000000"/>
                <w:kern w:val="0"/>
                <w:sz w:val="22"/>
                <w:szCs w:val="22"/>
                <w:u w:val="none"/>
                <w:lang w:val="en-US" w:eastAsia="zh-CN" w:bidi="ar"/>
              </w:rPr>
              <w:t>住建、交通、水利、农业农村等行业主管部门按领域负责督促工程建设项目落实实名制管理和离场确认制度，将其纳入日常监管重点内容。总包单位对项目劳动用工管理负总责，需建立完整农民工实名制台账，未订立劳动合同并完成实名登记的人员，一律不得进入项目现场施工；分包单位对所招用农民工的实名制管理和工资支付负直接责任。工程建设项目出现整体停工、竣工、阶段性完工，或农民工因个人原因、用工需求离场的，由分包单位牵头、总包单位监督，与农民工共同完成工资结算：分包单位核定实际工作量、核算应发工资、核对已支付金额，填写离场结算确认书，明确入场时间、工种、工资标准、应发金额、未结清金额及支付时限等关键信息，经农民工本人、分包单位负责人、总包单位劳资专管员三方签字，并加盖两家单位公章确认。存在未结清工资的，由总包单位全程监督支付过程，确保按期足额支付到位，行业主管部门对结算确认及支付情况承担监督落实责任并进行抽查。</w:t>
            </w: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EA99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《保障农民工工资支付条例》（国务院令第</w:t>
            </w:r>
            <w:r>
              <w:rPr>
                <w:rFonts w:hint="default" w:ascii="Times New Roman" w:hAnsi="Times New Roman" w:eastAsia="宋体" w:cs="Times New Roman"/>
                <w:i w:val="0"/>
                <w:iCs w:val="0"/>
                <w:color w:val="000000"/>
                <w:kern w:val="0"/>
                <w:sz w:val="22"/>
                <w:szCs w:val="22"/>
                <w:u w:val="none"/>
                <w:lang w:val="en-US" w:eastAsia="zh-CN" w:bidi="ar"/>
              </w:rPr>
              <w:t>724</w:t>
            </w:r>
            <w:r>
              <w:rPr>
                <w:rFonts w:hint="eastAsia" w:ascii="方正仿宋_GBK" w:hAnsi="方正仿宋_GBK" w:eastAsia="方正仿宋_GBK" w:cs="方正仿宋_GBK"/>
                <w:i w:val="0"/>
                <w:iCs w:val="0"/>
                <w:color w:val="000000"/>
                <w:kern w:val="0"/>
                <w:sz w:val="22"/>
                <w:szCs w:val="22"/>
                <w:u w:val="none"/>
                <w:lang w:val="en-US" w:eastAsia="zh-CN" w:bidi="ar"/>
              </w:rPr>
              <w:t>号）</w:t>
            </w:r>
          </w:p>
          <w:p w14:paraId="0BC82B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Times New Roman"/>
                <w:b w:val="0"/>
                <w:bCs/>
                <w:color w:val="000000"/>
                <w:sz w:val="21"/>
                <w:szCs w:val="22"/>
              </w:rPr>
            </w:pP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《关于建立工程建设项目农民工工资支付离场结算确认制度的通知》（新就劳办发〔</w:t>
            </w:r>
            <w:r>
              <w:rPr>
                <w:rFonts w:hint="default" w:ascii="Times New Roman" w:hAnsi="Times New Roman" w:eastAsia="宋体" w:cs="Times New Roman"/>
                <w:i w:val="0"/>
                <w:iCs w:val="0"/>
                <w:color w:val="000000"/>
                <w:kern w:val="0"/>
                <w:sz w:val="22"/>
                <w:szCs w:val="22"/>
                <w:u w:val="none"/>
                <w:lang w:val="en-US" w:eastAsia="zh-CN" w:bidi="ar"/>
              </w:rPr>
              <w:t>2025</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号）</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B6A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1"/>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w:t>
            </w:r>
            <w:r>
              <w:rPr>
                <w:rStyle w:val="11"/>
                <w:lang w:val="en-US" w:eastAsia="zh-CN" w:bidi="ar"/>
              </w:rPr>
              <w:t>《保障农民工工资支付条例》：</w:t>
            </w:r>
          </w:p>
          <w:p w14:paraId="55179B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第二十八条</w:t>
            </w:r>
            <w:r>
              <w:rPr>
                <w:rFonts w:hint="eastAsia" w:ascii="方正仿宋_GBK" w:hAnsi="方正仿宋_GBK" w:eastAsia="方正仿宋_GBK" w:cs="方正仿宋_GBK"/>
                <w:i w:val="0"/>
                <w:iCs w:val="0"/>
                <w:color w:val="000000"/>
                <w:kern w:val="0"/>
                <w:sz w:val="22"/>
                <w:szCs w:val="22"/>
                <w:u w:val="none"/>
                <w:lang w:val="en-US" w:eastAsia="zh-CN" w:bidi="ar"/>
              </w:rPr>
              <w:t xml:space="preserve">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14:paraId="0F3DA7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第三十条</w:t>
            </w:r>
            <w:r>
              <w:rPr>
                <w:rFonts w:hint="default" w:ascii="Times New Roman" w:hAnsi="Times New Roman" w:eastAsia="宋体" w:cs="Times New Roman"/>
                <w:b/>
                <w:bCs/>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分包单位对所招用农民工的实名制管理和工资支付负直接责任。施工总承包单位对分包单位劳动用工和工资发放等情况进行监督。分包单位拖欠农民工工资的，由施工总承包单位先行清偿，再依法进行追偿。工程建设项目转包，拖欠农民工工资的，由施工总承包单位先行清偿，再依法进行追偿。</w:t>
            </w:r>
          </w:p>
          <w:p w14:paraId="7DCE8A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1"/>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2.</w:t>
            </w:r>
            <w:r>
              <w:rPr>
                <w:rStyle w:val="11"/>
                <w:lang w:val="en-US" w:eastAsia="zh-CN" w:bidi="ar"/>
              </w:rPr>
              <w:t>《关于建立工程建设项目农民工工资支付离场结算确认制度的通知》</w:t>
            </w:r>
          </w:p>
          <w:p w14:paraId="4A5098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离场情形。</w:t>
            </w:r>
            <w:r>
              <w:rPr>
                <w:rFonts w:hint="eastAsia" w:ascii="方正仿宋_GBK" w:hAnsi="方正仿宋_GBK" w:eastAsia="方正仿宋_GBK" w:cs="方正仿宋_GBK"/>
                <w:i w:val="0"/>
                <w:iCs w:val="0"/>
                <w:color w:val="000000"/>
                <w:kern w:val="0"/>
                <w:sz w:val="22"/>
                <w:szCs w:val="22"/>
                <w:u w:val="none"/>
                <w:lang w:val="en-US" w:eastAsia="zh-CN" w:bidi="ar"/>
              </w:rPr>
              <w:t>工程建设项目整体停工、竣工，农民工需离场；项目阶段性完工，农民工因个人原因或用工需求需离场；总包单位、分包单位与农民工解除或终止劳动关系、签订的用工协议到期等。</w:t>
            </w:r>
          </w:p>
          <w:p w14:paraId="305EBE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工作量核定</w:t>
            </w:r>
            <w:r>
              <w:rPr>
                <w:rFonts w:hint="eastAsia" w:ascii="方正仿宋_GBK" w:hAnsi="方正仿宋_GBK" w:eastAsia="方正仿宋_GBK" w:cs="方正仿宋_GBK"/>
                <w:i w:val="0"/>
                <w:iCs w:val="0"/>
                <w:color w:val="000000"/>
                <w:kern w:val="0"/>
                <w:sz w:val="22"/>
                <w:szCs w:val="22"/>
                <w:u w:val="none"/>
                <w:lang w:val="en-US" w:eastAsia="zh-CN" w:bidi="ar"/>
              </w:rPr>
              <w:t>。由分包单位负责，联合总包单位劳资专管员，依据劳动用工实名制考勤记录、工作任务完成清单，核定农民工离场前的实际工作量，确保数据真实可追溯。</w:t>
            </w:r>
          </w:p>
          <w:p w14:paraId="5DFCDE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确认书签订。</w:t>
            </w:r>
            <w:r>
              <w:rPr>
                <w:rFonts w:hint="eastAsia" w:ascii="方正仿宋_GBK" w:hAnsi="方正仿宋_GBK" w:eastAsia="方正仿宋_GBK" w:cs="方正仿宋_GBK"/>
                <w:i w:val="0"/>
                <w:iCs w:val="0"/>
                <w:color w:val="000000"/>
                <w:kern w:val="0"/>
                <w:sz w:val="22"/>
                <w:szCs w:val="22"/>
                <w:u w:val="none"/>
                <w:lang w:val="en-US" w:eastAsia="zh-CN" w:bidi="ar"/>
              </w:rPr>
              <w:t>由分包单位填写《工程建设项目农民工工资支付离场确认书》，逐项明确农民工入场时间、工种、工资标准、核定工作量、应发工资、已支付金额、未结清金额、未结清工资支付时间及方式等信息，经农民工本人、分包单位负责人、总包单位劳资专管员三方签字确认，并加盖分包单位、总包单位公章，一式三份，三方各执一份。</w:t>
            </w:r>
          </w:p>
          <w:p w14:paraId="3E75B6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b w:val="0"/>
                <w:bCs/>
                <w:color w:val="000000"/>
                <w:sz w:val="21"/>
                <w:szCs w:val="22"/>
              </w:rPr>
            </w:pPr>
            <w:r>
              <w:rPr>
                <w:rFonts w:hint="eastAsia" w:ascii="方正仿宋_GBK" w:hAnsi="方正仿宋_GBK" w:eastAsia="方正仿宋_GBK" w:cs="方正仿宋_GBK"/>
                <w:b/>
                <w:bCs/>
                <w:i w:val="0"/>
                <w:iCs w:val="0"/>
                <w:color w:val="000000"/>
                <w:kern w:val="0"/>
                <w:sz w:val="22"/>
                <w:szCs w:val="22"/>
                <w:u w:val="none"/>
                <w:lang w:val="en-US" w:eastAsia="zh-CN" w:bidi="ar"/>
              </w:rPr>
              <w:t>工资支付。</w:t>
            </w:r>
            <w:r>
              <w:rPr>
                <w:rFonts w:hint="eastAsia" w:ascii="方正仿宋_GBK" w:hAnsi="方正仿宋_GBK" w:eastAsia="方正仿宋_GBK" w:cs="方正仿宋_GBK"/>
                <w:i w:val="0"/>
                <w:iCs w:val="0"/>
                <w:color w:val="000000"/>
                <w:kern w:val="0"/>
                <w:sz w:val="22"/>
                <w:szCs w:val="22"/>
                <w:u w:val="none"/>
                <w:lang w:val="en-US" w:eastAsia="zh-CN" w:bidi="ar"/>
              </w:rPr>
              <w:t>工资已结清的，在离场确认书中注明“工资已全部结清，双方无工资争议”，避免后续纠纷；工资未结清的，明确支付时间及方式，由总包单位对支付过程进行监管，确保按期足额支付到位。</w:t>
            </w:r>
          </w:p>
        </w:tc>
      </w:tr>
    </w:tbl>
    <w:p w14:paraId="6BE575FF">
      <w:pPr>
        <w:pStyle w:val="2"/>
        <w:rPr>
          <w:rFonts w:hint="default"/>
          <w:lang w:val="en-US" w:eastAsia="zh-CN"/>
        </w:rPr>
      </w:pPr>
    </w:p>
    <w:p w14:paraId="5019415E">
      <w:pPr>
        <w:rPr>
          <w:rFonts w:hint="default"/>
          <w:lang w:val="en-US" w:eastAsia="zh-CN"/>
        </w:rPr>
      </w:pPr>
      <w:r>
        <w:rPr>
          <w:rFonts w:hint="default"/>
          <w:lang w:val="en-US" w:eastAsia="zh-CN"/>
        </w:rPr>
        <w:br w:type="page"/>
      </w:r>
    </w:p>
    <w:p w14:paraId="1993CF45">
      <w:pPr>
        <w:rPr>
          <w:rFonts w:hint="default"/>
          <w:lang w:val="en-US" w:eastAsia="zh-CN"/>
        </w:rPr>
      </w:pPr>
    </w:p>
    <w:p w14:paraId="2E30E02C">
      <w:pPr>
        <w:rPr>
          <w:rFonts w:hint="default"/>
          <w:lang w:val="en-US" w:eastAsia="zh-CN"/>
        </w:rPr>
      </w:pPr>
    </w:p>
    <w:p w14:paraId="3510790A">
      <w:pPr>
        <w:rPr>
          <w:rFonts w:hint="default"/>
          <w:lang w:val="en-US" w:eastAsia="zh-CN"/>
        </w:rPr>
      </w:pPr>
    </w:p>
    <w:tbl>
      <w:tblPr>
        <w:tblStyle w:val="9"/>
        <w:tblW w:w="1609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3675"/>
        <w:gridCol w:w="1425"/>
        <w:gridCol w:w="10170"/>
      </w:tblGrid>
      <w:tr w14:paraId="5521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CD474">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序号</w:t>
            </w:r>
          </w:p>
        </w:tc>
        <w:tc>
          <w:tcPr>
            <w:tcW w:w="3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5C7F3">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内容</w:t>
            </w: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90927">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依据</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3E554">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相关条款</w:t>
            </w:r>
          </w:p>
        </w:tc>
      </w:tr>
      <w:tr w14:paraId="56E5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7"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B8FF2">
            <w:pPr>
              <w:spacing w:beforeLines="0" w:afterLines="0"/>
              <w:jc w:val="center"/>
              <w:rPr>
                <w:rFonts w:hint="eastAsia" w:ascii="Times New Roman" w:hAnsi="Times New Roman" w:eastAsia="宋体"/>
                <w:color w:val="000000"/>
                <w:sz w:val="21"/>
                <w:szCs w:val="22"/>
                <w:lang w:eastAsia="zh-CN"/>
              </w:rPr>
            </w:pPr>
            <w:r>
              <w:rPr>
                <w:rFonts w:hint="eastAsia" w:ascii="Times New Roman" w:hAnsi="Times New Roman"/>
                <w:color w:val="000000"/>
                <w:sz w:val="21"/>
                <w:szCs w:val="22"/>
                <w:lang w:val="en-US" w:eastAsia="zh-CN"/>
              </w:rPr>
              <w:t>3</w:t>
            </w:r>
          </w:p>
        </w:tc>
        <w:tc>
          <w:tcPr>
            <w:tcW w:w="3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24DF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b w:val="0"/>
                <w:bCs/>
                <w:color w:val="000000"/>
                <w:sz w:val="21"/>
                <w:szCs w:val="22"/>
              </w:rPr>
            </w:pPr>
            <w:r>
              <w:rPr>
                <w:rFonts w:hint="eastAsia" w:ascii="方正仿宋_GBK" w:hAnsi="方正仿宋_GBK" w:eastAsia="方正仿宋_GBK" w:cs="方正仿宋_GBK"/>
                <w:b/>
                <w:bCs/>
                <w:i w:val="0"/>
                <w:iCs w:val="0"/>
                <w:color w:val="000000"/>
                <w:kern w:val="0"/>
                <w:sz w:val="22"/>
                <w:szCs w:val="22"/>
                <w:u w:val="none"/>
                <w:lang w:val="en-US" w:eastAsia="zh-CN" w:bidi="ar"/>
              </w:rPr>
              <w:t>强化劳动用工管理。</w:t>
            </w:r>
            <w:r>
              <w:rPr>
                <w:rFonts w:hint="eastAsia" w:ascii="方正仿宋_GBK" w:hAnsi="方正仿宋_GBK" w:eastAsia="方正仿宋_GBK" w:cs="方正仿宋_GBK"/>
                <w:i w:val="0"/>
                <w:iCs w:val="0"/>
                <w:color w:val="000000"/>
                <w:kern w:val="0"/>
                <w:sz w:val="22"/>
                <w:szCs w:val="22"/>
                <w:u w:val="none"/>
                <w:lang w:val="en-US" w:eastAsia="zh-CN" w:bidi="ar"/>
              </w:rPr>
              <w:t>住建、交通、水利、农业农村等行业主管部门按领域负责督促工程建设项目落实实名制管理和离场确认制度，将其纳入日常监管重点内容。总包单位对项目劳动用工管理负总责，需建立完整农民工实名制台账，未订立劳动合同并完成实名登记的人员，一律不得进入项目现场施工；分包单位对所招用农民工的实名制管理和工资支付负直接责任。工程建设项目出现整体停工、竣工、阶段性完工，或农民工因个人原因、用工需求离场的，由分包单位牵头、总包单位监督，与农民工共同完成工资结算：分包单位核定实际工作量、核算应发工资、核对已支付金额，填写离场结算确认书，明确入场时间、工种、工资标准、应发金额、未结清金额及支付时限等关键信息，经农民工本人、分包单位负责人、总包单位劳资专管员三方签字，并加盖两家单位公章确认。存在未结清工资的，由总包单位全程监督支付过程，确保按期足额支付到位，行业主管部门对结算确认及支付情况承担监督落实责任并进行抽查。</w:t>
            </w: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7FEB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《保障农民工工资支付条例》（国务院令第</w:t>
            </w:r>
            <w:r>
              <w:rPr>
                <w:rFonts w:hint="default" w:ascii="Times New Roman" w:hAnsi="Times New Roman" w:eastAsia="宋体" w:cs="Times New Roman"/>
                <w:i w:val="0"/>
                <w:iCs w:val="0"/>
                <w:color w:val="000000"/>
                <w:kern w:val="0"/>
                <w:sz w:val="22"/>
                <w:szCs w:val="22"/>
                <w:u w:val="none"/>
                <w:lang w:val="en-US" w:eastAsia="zh-CN" w:bidi="ar"/>
              </w:rPr>
              <w:t>724</w:t>
            </w:r>
            <w:r>
              <w:rPr>
                <w:rFonts w:hint="eastAsia" w:ascii="方正仿宋_GBK" w:hAnsi="方正仿宋_GBK" w:eastAsia="方正仿宋_GBK" w:cs="方正仿宋_GBK"/>
                <w:i w:val="0"/>
                <w:iCs w:val="0"/>
                <w:color w:val="000000"/>
                <w:kern w:val="0"/>
                <w:sz w:val="22"/>
                <w:szCs w:val="22"/>
                <w:u w:val="none"/>
                <w:lang w:val="en-US" w:eastAsia="zh-CN" w:bidi="ar"/>
              </w:rPr>
              <w:t>号）</w:t>
            </w:r>
          </w:p>
          <w:p w14:paraId="095261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Times New Roman"/>
                <w:b w:val="0"/>
                <w:bCs/>
                <w:color w:val="000000"/>
                <w:sz w:val="21"/>
                <w:szCs w:val="22"/>
              </w:rPr>
            </w:pP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《关于建立工程建设项目农民工工资支付离场结算确认制度的通知》（新就劳办发〔</w:t>
            </w:r>
            <w:r>
              <w:rPr>
                <w:rFonts w:hint="default" w:ascii="Times New Roman" w:hAnsi="Times New Roman" w:eastAsia="宋体" w:cs="Times New Roman"/>
                <w:i w:val="0"/>
                <w:iCs w:val="0"/>
                <w:color w:val="000000"/>
                <w:kern w:val="0"/>
                <w:sz w:val="22"/>
                <w:szCs w:val="22"/>
                <w:u w:val="none"/>
                <w:lang w:val="en-US" w:eastAsia="zh-CN" w:bidi="ar"/>
              </w:rPr>
              <w:t>2025</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号）</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740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1"/>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w:t>
            </w:r>
            <w:r>
              <w:rPr>
                <w:rStyle w:val="11"/>
                <w:lang w:val="en-US" w:eastAsia="zh-CN" w:bidi="ar"/>
              </w:rPr>
              <w:t>《保障农民工工资支付条例》：</w:t>
            </w:r>
          </w:p>
          <w:p w14:paraId="6F7A13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第二十八条</w:t>
            </w:r>
            <w:r>
              <w:rPr>
                <w:rFonts w:hint="eastAsia" w:ascii="方正仿宋_GBK" w:hAnsi="方正仿宋_GBK" w:eastAsia="方正仿宋_GBK" w:cs="方正仿宋_GBK"/>
                <w:i w:val="0"/>
                <w:iCs w:val="0"/>
                <w:color w:val="000000"/>
                <w:kern w:val="0"/>
                <w:sz w:val="22"/>
                <w:szCs w:val="22"/>
                <w:u w:val="none"/>
                <w:lang w:val="en-US" w:eastAsia="zh-CN" w:bidi="ar"/>
              </w:rPr>
              <w:t xml:space="preserve">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14:paraId="52B65F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第三十条</w:t>
            </w:r>
            <w:r>
              <w:rPr>
                <w:rFonts w:hint="default" w:ascii="Times New Roman" w:hAnsi="Times New Roman" w:eastAsia="宋体" w:cs="Times New Roman"/>
                <w:b/>
                <w:bCs/>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分包单位对所招用农民工的实名制管理和工资支付负直接责任。施工总承包单位对分包单位劳动用工和工资发放等情况进行监督。分包单位拖欠农民工工资的，由施工总承包单位先行清偿，再依法进行追偿。工程建设项目转包，拖欠农民工工资的，由施工总承包单位先行清偿，再依法进行追偿。</w:t>
            </w:r>
          </w:p>
          <w:p w14:paraId="27B088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1"/>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2.</w:t>
            </w:r>
            <w:r>
              <w:rPr>
                <w:rStyle w:val="11"/>
                <w:lang w:val="en-US" w:eastAsia="zh-CN" w:bidi="ar"/>
              </w:rPr>
              <w:t>《关于建立工程建设项目农民工工资支付离场结算确认制度的通知》</w:t>
            </w:r>
          </w:p>
          <w:p w14:paraId="63CDB5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离场情形。</w:t>
            </w:r>
            <w:r>
              <w:rPr>
                <w:rFonts w:hint="eastAsia" w:ascii="方正仿宋_GBK" w:hAnsi="方正仿宋_GBK" w:eastAsia="方正仿宋_GBK" w:cs="方正仿宋_GBK"/>
                <w:i w:val="0"/>
                <w:iCs w:val="0"/>
                <w:color w:val="000000"/>
                <w:kern w:val="0"/>
                <w:sz w:val="22"/>
                <w:szCs w:val="22"/>
                <w:u w:val="none"/>
                <w:lang w:val="en-US" w:eastAsia="zh-CN" w:bidi="ar"/>
              </w:rPr>
              <w:t>工程建设项目整体停工、竣工，农民工需离场；项目阶段性完工，农民工因个人原因或用工需求需离场；总包单位、分包单位与农民工解除或终止劳动关系、签订的用工协议到期等。</w:t>
            </w:r>
          </w:p>
          <w:p w14:paraId="7CE757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工作量核定</w:t>
            </w:r>
            <w:r>
              <w:rPr>
                <w:rFonts w:hint="eastAsia" w:ascii="方正仿宋_GBK" w:hAnsi="方正仿宋_GBK" w:eastAsia="方正仿宋_GBK" w:cs="方正仿宋_GBK"/>
                <w:i w:val="0"/>
                <w:iCs w:val="0"/>
                <w:color w:val="000000"/>
                <w:kern w:val="0"/>
                <w:sz w:val="22"/>
                <w:szCs w:val="22"/>
                <w:u w:val="none"/>
                <w:lang w:val="en-US" w:eastAsia="zh-CN" w:bidi="ar"/>
              </w:rPr>
              <w:t>。由分包单位负责，联合总包单位劳资专管员，依据劳动用工实名制考勤记录、工作任务完成清单，核定农民工离场前的实际工作量，确保数据真实可追溯。</w:t>
            </w:r>
          </w:p>
          <w:p w14:paraId="252F7E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确认书签订。</w:t>
            </w:r>
            <w:r>
              <w:rPr>
                <w:rFonts w:hint="eastAsia" w:ascii="方正仿宋_GBK" w:hAnsi="方正仿宋_GBK" w:eastAsia="方正仿宋_GBK" w:cs="方正仿宋_GBK"/>
                <w:i w:val="0"/>
                <w:iCs w:val="0"/>
                <w:color w:val="000000"/>
                <w:kern w:val="0"/>
                <w:sz w:val="22"/>
                <w:szCs w:val="22"/>
                <w:u w:val="none"/>
                <w:lang w:val="en-US" w:eastAsia="zh-CN" w:bidi="ar"/>
              </w:rPr>
              <w:t>由分包单位填写《工程建设项目农民工工资支付离场确认书》，逐项明确农民工入场时间、工种、工资标准、核定工作量、应发工资、已支付金额、未结清金额、未结清工资支付时间及方式等信息，经农民工本人、分包单位负责人、总包单位劳资专管员三方签字确认，并加盖分包单位、总包单位公章，一式三份，三方各执一份。</w:t>
            </w:r>
          </w:p>
          <w:p w14:paraId="1123F9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b w:val="0"/>
                <w:bCs/>
                <w:color w:val="000000"/>
                <w:sz w:val="21"/>
                <w:szCs w:val="22"/>
              </w:rPr>
            </w:pPr>
            <w:r>
              <w:rPr>
                <w:rFonts w:hint="eastAsia" w:ascii="方正仿宋_GBK" w:hAnsi="方正仿宋_GBK" w:eastAsia="方正仿宋_GBK" w:cs="方正仿宋_GBK"/>
                <w:b/>
                <w:bCs/>
                <w:i w:val="0"/>
                <w:iCs w:val="0"/>
                <w:color w:val="000000"/>
                <w:kern w:val="0"/>
                <w:sz w:val="22"/>
                <w:szCs w:val="22"/>
                <w:u w:val="none"/>
                <w:lang w:val="en-US" w:eastAsia="zh-CN" w:bidi="ar"/>
              </w:rPr>
              <w:t>工资支付。</w:t>
            </w:r>
            <w:r>
              <w:rPr>
                <w:rFonts w:hint="eastAsia" w:ascii="方正仿宋_GBK" w:hAnsi="方正仿宋_GBK" w:eastAsia="方正仿宋_GBK" w:cs="方正仿宋_GBK"/>
                <w:i w:val="0"/>
                <w:iCs w:val="0"/>
                <w:color w:val="000000"/>
                <w:kern w:val="0"/>
                <w:sz w:val="22"/>
                <w:szCs w:val="22"/>
                <w:u w:val="none"/>
                <w:lang w:val="en-US" w:eastAsia="zh-CN" w:bidi="ar"/>
              </w:rPr>
              <w:t>工资已结清的，在离场确认书中注明“工资已全部结清，双方无工资争议”，避免后续纠纷；工资未结清的，明确支付时间及方式，由总包单位对支付过程进行监管，确保按期足额支付到位。</w:t>
            </w:r>
          </w:p>
        </w:tc>
      </w:tr>
    </w:tbl>
    <w:p w14:paraId="6DAB230B">
      <w:pPr>
        <w:pStyle w:val="2"/>
        <w:rPr>
          <w:rFonts w:hint="default"/>
          <w:lang w:val="en-US" w:eastAsia="zh-CN"/>
        </w:rPr>
      </w:pPr>
    </w:p>
    <w:p w14:paraId="4C87C5E9">
      <w:pPr>
        <w:rPr>
          <w:rFonts w:hint="default"/>
          <w:lang w:val="en-US" w:eastAsia="zh-CN"/>
        </w:rPr>
      </w:pPr>
      <w:r>
        <w:rPr>
          <w:rFonts w:hint="default"/>
          <w:lang w:val="en-US" w:eastAsia="zh-CN"/>
        </w:rPr>
        <w:br w:type="page"/>
      </w:r>
    </w:p>
    <w:p w14:paraId="1E3671F5">
      <w:pPr>
        <w:rPr>
          <w:rFonts w:hint="default"/>
          <w:lang w:val="en-US" w:eastAsia="zh-CN"/>
        </w:rPr>
      </w:pPr>
    </w:p>
    <w:p w14:paraId="3AE75BC9">
      <w:pPr>
        <w:rPr>
          <w:rFonts w:hint="default"/>
          <w:lang w:val="en-US" w:eastAsia="zh-CN"/>
        </w:rPr>
      </w:pPr>
    </w:p>
    <w:p w14:paraId="22260EF2">
      <w:pPr>
        <w:rPr>
          <w:rFonts w:hint="default"/>
          <w:lang w:val="en-US" w:eastAsia="zh-CN"/>
        </w:rPr>
      </w:pPr>
    </w:p>
    <w:tbl>
      <w:tblPr>
        <w:tblStyle w:val="9"/>
        <w:tblW w:w="1609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3675"/>
        <w:gridCol w:w="1425"/>
        <w:gridCol w:w="10170"/>
      </w:tblGrid>
      <w:tr w14:paraId="4E39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E2113D">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序号</w:t>
            </w:r>
          </w:p>
        </w:tc>
        <w:tc>
          <w:tcPr>
            <w:tcW w:w="3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859BA2">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内容</w:t>
            </w: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A5F7A">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依据</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FA0B4">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相关条款</w:t>
            </w:r>
          </w:p>
        </w:tc>
      </w:tr>
      <w:tr w14:paraId="26D1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7"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0A4CDD">
            <w:pPr>
              <w:spacing w:beforeLines="0" w:afterLines="0"/>
              <w:jc w:val="center"/>
              <w:rPr>
                <w:rFonts w:hint="eastAsia" w:ascii="Times New Roman" w:hAnsi="Times New Roman" w:eastAsia="宋体"/>
                <w:color w:val="000000"/>
                <w:sz w:val="21"/>
                <w:szCs w:val="22"/>
                <w:lang w:eastAsia="zh-CN"/>
              </w:rPr>
            </w:pPr>
            <w:r>
              <w:rPr>
                <w:rFonts w:hint="eastAsia" w:ascii="Times New Roman" w:hAnsi="Times New Roman"/>
                <w:color w:val="000000"/>
                <w:sz w:val="21"/>
                <w:szCs w:val="22"/>
                <w:lang w:val="en-US" w:eastAsia="zh-CN"/>
              </w:rPr>
              <w:t>4</w:t>
            </w:r>
          </w:p>
        </w:tc>
        <w:tc>
          <w:tcPr>
            <w:tcW w:w="3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734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b w:val="0"/>
                <w:bCs/>
                <w:color w:val="000000"/>
                <w:sz w:val="21"/>
                <w:szCs w:val="22"/>
              </w:rPr>
            </w:pPr>
            <w:r>
              <w:rPr>
                <w:rFonts w:hint="eastAsia" w:ascii="方正仿宋_GBK" w:hAnsi="方正仿宋_GBK" w:eastAsia="方正仿宋_GBK" w:cs="方正仿宋_GBK"/>
                <w:i w:val="0"/>
                <w:iCs w:val="0"/>
                <w:color w:val="000000"/>
                <w:kern w:val="0"/>
                <w:sz w:val="22"/>
                <w:szCs w:val="22"/>
                <w:u w:val="none"/>
                <w:lang w:val="en-US" w:eastAsia="zh-CN" w:bidi="ar"/>
              </w:rPr>
              <w:t>推进施工过程结算。住建、交通、水利等行业主管部门负责监督本领域项目过程结算执行情况，对拖延结算的建设单位约谈警示、限期整改。建设单位对施工过程结算负主责，必须在工程施工合同约定期限内完成核对确认，不得借设计变更、工程洽商、未完成审计等理由变相拖延；合同未约定办理时限的，期限均为</w:t>
            </w:r>
            <w:r>
              <w:rPr>
                <w:rFonts w:hint="default" w:ascii="Times New Roman" w:hAnsi="Times New Roman" w:eastAsia="方正仿宋_GBK" w:cs="Times New Roman"/>
                <w:i w:val="0"/>
                <w:iCs w:val="0"/>
                <w:color w:val="000000"/>
                <w:kern w:val="0"/>
                <w:sz w:val="22"/>
                <w:szCs w:val="22"/>
                <w:u w:val="none"/>
                <w:lang w:val="en-US" w:eastAsia="zh-CN" w:bidi="ar"/>
              </w:rPr>
              <w:t>28</w:t>
            </w:r>
            <w:r>
              <w:rPr>
                <w:rFonts w:hint="eastAsia" w:ascii="方正仿宋_GBK" w:hAnsi="方正仿宋_GBK" w:eastAsia="方正仿宋_GBK" w:cs="方正仿宋_GBK"/>
                <w:i w:val="0"/>
                <w:iCs w:val="0"/>
                <w:color w:val="000000"/>
                <w:kern w:val="0"/>
                <w:sz w:val="22"/>
                <w:szCs w:val="22"/>
                <w:u w:val="none"/>
                <w:lang w:val="en-US" w:eastAsia="zh-CN" w:bidi="ar"/>
              </w:rPr>
              <w:t>个自然日。同时，建设单位应按合同约定比例支付工程进度款，其中政府机关、事业单位、国有企业建设项目进度款支付比例不得低于已完成工程价款的</w:t>
            </w:r>
            <w:r>
              <w:rPr>
                <w:rFonts w:hint="default" w:ascii="Times New Roman" w:hAnsi="Times New Roman" w:eastAsia="方正仿宋_GBK" w:cs="Times New Roman"/>
                <w:i w:val="0"/>
                <w:iCs w:val="0"/>
                <w:color w:val="000000"/>
                <w:kern w:val="0"/>
                <w:sz w:val="22"/>
                <w:szCs w:val="22"/>
                <w:u w:val="none"/>
                <w:lang w:val="en-US" w:eastAsia="zh-CN" w:bidi="ar"/>
              </w:rPr>
              <w:t>80%</w:t>
            </w:r>
            <w:r>
              <w:rPr>
                <w:rFonts w:hint="eastAsia" w:ascii="方正仿宋_GBK" w:hAnsi="方正仿宋_GBK" w:eastAsia="方正仿宋_GBK" w:cs="方正仿宋_GBK"/>
                <w:i w:val="0"/>
                <w:iCs w:val="0"/>
                <w:color w:val="000000"/>
                <w:kern w:val="0"/>
                <w:sz w:val="22"/>
                <w:szCs w:val="22"/>
                <w:u w:val="none"/>
                <w:lang w:val="en-US" w:eastAsia="zh-CN" w:bidi="ar"/>
              </w:rPr>
              <w:t>，财政部门对政府投资项目资金拨付情况进行监督。</w:t>
            </w: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700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Times New Roman"/>
                <w:b w:val="0"/>
                <w:bCs/>
                <w:color w:val="000000"/>
                <w:sz w:val="21"/>
                <w:szCs w:val="22"/>
              </w:rPr>
            </w:pPr>
            <w:r>
              <w:rPr>
                <w:rFonts w:hint="eastAsia" w:ascii="方正仿宋_GBK" w:hAnsi="方正仿宋_GBK" w:eastAsia="方正仿宋_GBK" w:cs="方正仿宋_GBK"/>
                <w:i w:val="0"/>
                <w:iCs w:val="0"/>
                <w:color w:val="000000"/>
                <w:kern w:val="0"/>
                <w:sz w:val="22"/>
                <w:szCs w:val="22"/>
                <w:u w:val="none"/>
                <w:lang w:val="en-US" w:eastAsia="zh-CN" w:bidi="ar"/>
              </w:rPr>
              <w:t>关于印发《关于在房屋建筑和市政基础设施工程中推行施工过程结算的实施意见》的通知（新建规〔</w:t>
            </w:r>
            <w:r>
              <w:rPr>
                <w:rFonts w:hint="default" w:ascii="Times New Roman" w:hAnsi="Times New Roman" w:eastAsia="宋体"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11</w:t>
            </w:r>
            <w:r>
              <w:rPr>
                <w:rFonts w:hint="eastAsia" w:ascii="方正仿宋_GBK" w:hAnsi="方正仿宋_GBK" w:eastAsia="方正仿宋_GBK" w:cs="方正仿宋_GBK"/>
                <w:i w:val="0"/>
                <w:iCs w:val="0"/>
                <w:color w:val="000000"/>
                <w:kern w:val="0"/>
                <w:sz w:val="22"/>
                <w:szCs w:val="22"/>
                <w:u w:val="none"/>
                <w:lang w:val="en-US" w:eastAsia="zh-CN" w:bidi="ar"/>
              </w:rPr>
              <w:t>号）</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A8F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b w:val="0"/>
                <w:bCs/>
                <w:color w:val="000000"/>
                <w:sz w:val="21"/>
                <w:szCs w:val="22"/>
              </w:rPr>
            </w:pPr>
            <w:r>
              <w:rPr>
                <w:rFonts w:hint="eastAsia" w:ascii="方正仿宋_GBK" w:hAnsi="方正仿宋_GBK" w:eastAsia="方正仿宋_GBK" w:cs="方正仿宋_GBK"/>
                <w:i w:val="0"/>
                <w:iCs w:val="0"/>
                <w:color w:val="000000"/>
                <w:kern w:val="0"/>
                <w:sz w:val="22"/>
                <w:szCs w:val="22"/>
                <w:u w:val="none"/>
                <w:lang w:val="en-US" w:eastAsia="zh-CN" w:bidi="ar"/>
              </w:rPr>
              <w:t>发包人应在约定期限内完成施工过程结算的核对并确认，合同双方不得以设计变更、工程洽商、未完成审计等理由变相拖延施工过程结算。合同中对施工过程结算办理时限没有约定的，期限均为</w:t>
            </w:r>
            <w:r>
              <w:rPr>
                <w:rFonts w:hint="default" w:ascii="Times New Roman" w:hAnsi="Times New Roman" w:eastAsia="宋体" w:cs="Times New Roman"/>
                <w:i w:val="0"/>
                <w:iCs w:val="0"/>
                <w:color w:val="000000"/>
                <w:kern w:val="0"/>
                <w:sz w:val="22"/>
                <w:szCs w:val="22"/>
                <w:u w:val="none"/>
                <w:lang w:val="en-US" w:eastAsia="zh-CN" w:bidi="ar"/>
              </w:rPr>
              <w:t>28</w:t>
            </w:r>
            <w:r>
              <w:rPr>
                <w:rFonts w:hint="eastAsia" w:ascii="方正仿宋_GBK" w:hAnsi="方正仿宋_GBK" w:eastAsia="方正仿宋_GBK" w:cs="方正仿宋_GBK"/>
                <w:i w:val="0"/>
                <w:iCs w:val="0"/>
                <w:color w:val="000000"/>
                <w:kern w:val="0"/>
                <w:sz w:val="22"/>
                <w:szCs w:val="22"/>
                <w:u w:val="none"/>
                <w:lang w:val="en-US" w:eastAsia="zh-CN" w:bidi="ar"/>
              </w:rPr>
              <w:t>日。发包人应在合同约定的时间内按照约定的比例支付施工过程结算款，政府机关、事业单位、国有企业建设工程进度款支付应不低于已完成工程价款的</w:t>
            </w:r>
            <w:r>
              <w:rPr>
                <w:rFonts w:hint="default" w:ascii="Times New Roman" w:hAnsi="Times New Roman" w:eastAsia="宋体" w:cs="Times New Roman"/>
                <w:i w:val="0"/>
                <w:iCs w:val="0"/>
                <w:color w:val="000000"/>
                <w:kern w:val="0"/>
                <w:sz w:val="22"/>
                <w:szCs w:val="22"/>
                <w:u w:val="none"/>
                <w:lang w:val="en-US" w:eastAsia="zh-CN" w:bidi="ar"/>
              </w:rPr>
              <w:t>80%</w:t>
            </w:r>
            <w:r>
              <w:rPr>
                <w:rFonts w:hint="eastAsia" w:ascii="方正仿宋_GBK" w:hAnsi="方正仿宋_GBK" w:eastAsia="方正仿宋_GBK" w:cs="方正仿宋_GBK"/>
                <w:i w:val="0"/>
                <w:iCs w:val="0"/>
                <w:color w:val="000000"/>
                <w:kern w:val="0"/>
                <w:sz w:val="22"/>
                <w:szCs w:val="22"/>
                <w:u w:val="none"/>
                <w:lang w:val="en-US" w:eastAsia="zh-CN" w:bidi="ar"/>
              </w:rPr>
              <w:t>。</w:t>
            </w:r>
          </w:p>
        </w:tc>
      </w:tr>
    </w:tbl>
    <w:p w14:paraId="0CF8B734">
      <w:pPr>
        <w:pStyle w:val="2"/>
        <w:rPr>
          <w:rFonts w:hint="default"/>
          <w:lang w:val="en-US" w:eastAsia="zh-CN"/>
        </w:rPr>
      </w:pPr>
    </w:p>
    <w:p w14:paraId="55CB2D41">
      <w:pPr>
        <w:rPr>
          <w:rFonts w:hint="default"/>
          <w:lang w:val="en-US" w:eastAsia="zh-CN"/>
        </w:rPr>
      </w:pPr>
      <w:r>
        <w:rPr>
          <w:rFonts w:hint="default"/>
          <w:lang w:val="en-US" w:eastAsia="zh-CN"/>
        </w:rPr>
        <w:br w:type="page"/>
      </w:r>
    </w:p>
    <w:p w14:paraId="6773FE9E">
      <w:pPr>
        <w:rPr>
          <w:rFonts w:hint="default"/>
          <w:lang w:val="en-US" w:eastAsia="zh-CN"/>
        </w:rPr>
      </w:pPr>
    </w:p>
    <w:p w14:paraId="74D70A14">
      <w:pPr>
        <w:rPr>
          <w:rFonts w:hint="default"/>
          <w:lang w:val="en-US" w:eastAsia="zh-CN"/>
        </w:rPr>
      </w:pPr>
    </w:p>
    <w:p w14:paraId="3F1F30A3">
      <w:pPr>
        <w:rPr>
          <w:rFonts w:hint="default"/>
          <w:lang w:val="en-US" w:eastAsia="zh-CN"/>
        </w:rPr>
      </w:pPr>
    </w:p>
    <w:tbl>
      <w:tblPr>
        <w:tblStyle w:val="9"/>
        <w:tblW w:w="1609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3675"/>
        <w:gridCol w:w="1425"/>
        <w:gridCol w:w="10170"/>
      </w:tblGrid>
      <w:tr w14:paraId="5C6E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312C1">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序号</w:t>
            </w:r>
          </w:p>
        </w:tc>
        <w:tc>
          <w:tcPr>
            <w:tcW w:w="3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EC335">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内容</w:t>
            </w: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A5D5FA">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依据</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F9F90">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相关条款</w:t>
            </w:r>
          </w:p>
        </w:tc>
      </w:tr>
      <w:tr w14:paraId="5947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7"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913D4">
            <w:pPr>
              <w:spacing w:beforeLines="0" w:afterLines="0"/>
              <w:jc w:val="center"/>
              <w:rPr>
                <w:rFonts w:hint="eastAsia" w:ascii="Times New Roman" w:hAnsi="Times New Roman" w:eastAsia="宋体"/>
                <w:color w:val="000000"/>
                <w:sz w:val="21"/>
                <w:szCs w:val="22"/>
                <w:lang w:eastAsia="zh-CN"/>
              </w:rPr>
            </w:pPr>
            <w:r>
              <w:rPr>
                <w:rFonts w:hint="eastAsia" w:ascii="Times New Roman" w:hAnsi="Times New Roman"/>
                <w:color w:val="000000"/>
                <w:sz w:val="21"/>
                <w:szCs w:val="22"/>
                <w:lang w:val="en-US" w:eastAsia="zh-CN"/>
              </w:rPr>
              <w:t>5</w:t>
            </w:r>
          </w:p>
        </w:tc>
        <w:tc>
          <w:tcPr>
            <w:tcW w:w="3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5B2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b w:val="0"/>
                <w:bCs/>
                <w:color w:val="000000"/>
                <w:sz w:val="21"/>
                <w:szCs w:val="22"/>
              </w:rPr>
            </w:pPr>
            <w:r>
              <w:rPr>
                <w:rFonts w:hint="eastAsia" w:ascii="方正仿宋_GBK" w:hAnsi="方正仿宋_GBK" w:eastAsia="方正仿宋_GBK" w:cs="方正仿宋_GBK"/>
                <w:b/>
                <w:bCs/>
                <w:i w:val="0"/>
                <w:iCs w:val="0"/>
                <w:color w:val="000000"/>
                <w:kern w:val="0"/>
                <w:sz w:val="22"/>
                <w:szCs w:val="22"/>
                <w:u w:val="none"/>
                <w:lang w:val="en-US" w:eastAsia="zh-CN" w:bidi="ar"/>
              </w:rPr>
              <w:t>落实欠薪线索推送核查机制。</w:t>
            </w:r>
            <w:r>
              <w:rPr>
                <w:rFonts w:hint="eastAsia" w:ascii="方正仿宋_GBK" w:hAnsi="方正仿宋_GBK" w:eastAsia="方正仿宋_GBK" w:cs="方正仿宋_GBK"/>
                <w:i w:val="0"/>
                <w:iCs w:val="0"/>
                <w:color w:val="000000"/>
                <w:kern w:val="0"/>
                <w:sz w:val="22"/>
                <w:szCs w:val="22"/>
                <w:u w:val="none"/>
                <w:lang w:val="en-US" w:eastAsia="zh-CN" w:bidi="ar"/>
              </w:rPr>
              <w:t>市就业促进和劳动保护工作领导小组办公室为线索统筹推送责任主体，按项目类型精准分流：政府项目线索推送至日常监管责任单位，国企项目线索推送至国资监管部门，社会投资项目线索推送至对应行业主管部门，非工程建设领域线索由属地人社部门直接处置。各处置责任单位需在规定时限内完成核查处置：领导小组办公室初核时限</w:t>
            </w:r>
            <w:r>
              <w:rPr>
                <w:rFonts w:hint="default" w:ascii="Times New Roman" w:hAnsi="Times New Roman" w:eastAsia="方正仿宋_GBK"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个工作日，行业主管部门、国资部门等处置时限</w:t>
            </w:r>
            <w:r>
              <w:rPr>
                <w:rFonts w:hint="default" w:ascii="Times New Roman" w:hAnsi="Times New Roman" w:eastAsia="方正仿宋_GBK"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个工作日（复杂情况可延长</w:t>
            </w:r>
            <w:r>
              <w:rPr>
                <w:rFonts w:hint="default" w:ascii="Times New Roman" w:hAnsi="Times New Roman" w:eastAsia="方正仿宋_GBK"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个工作日），人社部门复核时限</w:t>
            </w:r>
            <w:r>
              <w:rPr>
                <w:rFonts w:hint="default" w:ascii="Times New Roman" w:hAnsi="Times New Roman" w:eastAsia="方正仿宋_GBK"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个工作日（复杂情况可延长</w:t>
            </w:r>
            <w:r>
              <w:rPr>
                <w:rFonts w:hint="default" w:ascii="Times New Roman" w:hAnsi="Times New Roman" w:eastAsia="方正仿宋_GBK"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个工作日）。处置完成后需及时反馈结果，对欠薪线索销号式管理。人社部门牵头对已办结线索开展常态化</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回头看</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，进行回访核实；建立抽查制度，对未及时妥善处置的单位予以通报并跟踪督办，确保线索处置形成闭环。</w:t>
            </w: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41A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Times New Roman"/>
                <w:b w:val="0"/>
                <w:bCs/>
                <w:color w:val="000000"/>
                <w:sz w:val="21"/>
                <w:szCs w:val="22"/>
              </w:rPr>
            </w:pPr>
            <w:r>
              <w:rPr>
                <w:rFonts w:hint="eastAsia" w:ascii="方正仿宋_GBK" w:hAnsi="方正仿宋_GBK" w:eastAsia="方正仿宋_GBK" w:cs="方正仿宋_GBK"/>
                <w:i w:val="0"/>
                <w:iCs w:val="0"/>
                <w:color w:val="000000"/>
                <w:kern w:val="0"/>
                <w:sz w:val="22"/>
                <w:szCs w:val="22"/>
                <w:u w:val="none"/>
                <w:lang w:val="en-US" w:eastAsia="zh-CN" w:bidi="ar"/>
              </w:rPr>
              <w:t>关于建立欠薪线索推送核查机制的通知（新就劳组〔</w:t>
            </w:r>
            <w:r>
              <w:rPr>
                <w:rFonts w:hint="default" w:ascii="Times New Roman" w:hAnsi="Times New Roman" w:eastAsia="宋体" w:cs="Times New Roman"/>
                <w:i w:val="0"/>
                <w:iCs w:val="0"/>
                <w:color w:val="000000"/>
                <w:kern w:val="0"/>
                <w:sz w:val="22"/>
                <w:szCs w:val="22"/>
                <w:u w:val="none"/>
                <w:lang w:val="en-US" w:eastAsia="zh-CN" w:bidi="ar"/>
              </w:rPr>
              <w:t>2025</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号）</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860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w:t>
            </w:r>
            <w:r>
              <w:rPr>
                <w:rFonts w:hint="eastAsia" w:ascii="方正仿宋_GBK" w:hAnsi="方正仿宋_GBK" w:eastAsia="方正仿宋_GBK" w:cs="方正仿宋_GBK"/>
                <w:b/>
                <w:bCs/>
                <w:i w:val="0"/>
                <w:iCs w:val="0"/>
                <w:color w:val="000000"/>
                <w:kern w:val="0"/>
                <w:sz w:val="22"/>
                <w:szCs w:val="22"/>
                <w:u w:val="none"/>
                <w:lang w:val="en-US" w:eastAsia="zh-CN" w:bidi="ar"/>
              </w:rPr>
              <w:t>工程建设领域政府项目欠薪线索。</w:t>
            </w:r>
            <w:r>
              <w:rPr>
                <w:rFonts w:hint="eastAsia" w:ascii="方正仿宋_GBK" w:hAnsi="方正仿宋_GBK" w:eastAsia="方正仿宋_GBK" w:cs="方正仿宋_GBK"/>
                <w:i w:val="0"/>
                <w:iCs w:val="0"/>
                <w:color w:val="000000"/>
                <w:kern w:val="0"/>
                <w:sz w:val="22"/>
                <w:szCs w:val="22"/>
                <w:u w:val="none"/>
                <w:lang w:val="en-US" w:eastAsia="zh-CN" w:bidi="ar"/>
              </w:rPr>
              <w:t>由项目所在地就业促进和劳动保护工作领导小组办公室（以下简称领导小组办公室）推送项目日常监管责任单位（项目日常监管责任单位为项目的直接管理单位，即对项目单位的财务或人事行使管理职责的上一级单位。没有项目直接管理单位的，由项目上级行业主管部门履行日常监管责任）。</w:t>
            </w:r>
          </w:p>
          <w:p w14:paraId="499D37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2.</w:t>
            </w:r>
            <w:r>
              <w:rPr>
                <w:rFonts w:hint="eastAsia" w:ascii="方正仿宋_GBK" w:hAnsi="方正仿宋_GBK" w:eastAsia="方正仿宋_GBK" w:cs="方正仿宋_GBK"/>
                <w:b/>
                <w:bCs/>
                <w:i w:val="0"/>
                <w:iCs w:val="0"/>
                <w:color w:val="000000"/>
                <w:kern w:val="0"/>
                <w:sz w:val="22"/>
                <w:szCs w:val="22"/>
                <w:u w:val="none"/>
                <w:lang w:val="en-US" w:eastAsia="zh-CN" w:bidi="ar"/>
              </w:rPr>
              <w:t>工程建设领域国企项目欠薪线索。</w:t>
            </w:r>
            <w:r>
              <w:rPr>
                <w:rFonts w:hint="eastAsia" w:ascii="方正仿宋_GBK" w:hAnsi="方正仿宋_GBK" w:eastAsia="方正仿宋_GBK" w:cs="方正仿宋_GBK"/>
                <w:i w:val="0"/>
                <w:iCs w:val="0"/>
                <w:color w:val="000000"/>
                <w:kern w:val="0"/>
                <w:sz w:val="22"/>
                <w:szCs w:val="22"/>
                <w:u w:val="none"/>
                <w:lang w:val="en-US" w:eastAsia="zh-CN" w:bidi="ar"/>
              </w:rPr>
              <w:t>由项目所在地领导小组办公室推送具有监管权的国资部门。</w:t>
            </w:r>
          </w:p>
          <w:p w14:paraId="22152A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eastAsia" w:ascii="方正仿宋_GBK" w:hAnsi="方正仿宋_GBK" w:eastAsia="方正仿宋_GBK" w:cs="方正仿宋_GBK"/>
                <w:b/>
                <w:bCs/>
                <w:i w:val="0"/>
                <w:iCs w:val="0"/>
                <w:color w:val="000000"/>
                <w:kern w:val="0"/>
                <w:sz w:val="22"/>
                <w:szCs w:val="22"/>
                <w:u w:val="none"/>
                <w:lang w:val="en-US" w:eastAsia="zh-CN" w:bidi="ar"/>
              </w:rPr>
              <w:t>工程建设领域社会投资项目欠薪线索。</w:t>
            </w:r>
            <w:r>
              <w:rPr>
                <w:rFonts w:hint="eastAsia" w:ascii="方正仿宋_GBK" w:hAnsi="方正仿宋_GBK" w:eastAsia="方正仿宋_GBK" w:cs="方正仿宋_GBK"/>
                <w:i w:val="0"/>
                <w:iCs w:val="0"/>
                <w:color w:val="000000"/>
                <w:kern w:val="0"/>
                <w:sz w:val="22"/>
                <w:szCs w:val="22"/>
                <w:u w:val="none"/>
                <w:lang w:val="en-US" w:eastAsia="zh-CN" w:bidi="ar"/>
              </w:rPr>
              <w:t>由项目所在地领导小组办公室推送行业部门。</w:t>
            </w:r>
          </w:p>
          <w:p w14:paraId="30FDF2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eastAsia" w:ascii="方正仿宋_GBK" w:hAnsi="方正仿宋_GBK" w:eastAsia="方正仿宋_GBK" w:cs="方正仿宋_GBK"/>
                <w:b/>
                <w:bCs/>
                <w:i w:val="0"/>
                <w:iCs w:val="0"/>
                <w:color w:val="000000"/>
                <w:kern w:val="0"/>
                <w:sz w:val="22"/>
                <w:szCs w:val="22"/>
                <w:u w:val="none"/>
                <w:lang w:val="en-US" w:eastAsia="zh-CN" w:bidi="ar"/>
              </w:rPr>
              <w:t>非工程建设领域欠薪线索。</w:t>
            </w:r>
            <w:r>
              <w:rPr>
                <w:rFonts w:hint="eastAsia" w:ascii="方正仿宋_GBK" w:hAnsi="方正仿宋_GBK" w:eastAsia="方正仿宋_GBK" w:cs="方正仿宋_GBK"/>
                <w:i w:val="0"/>
                <w:iCs w:val="0"/>
                <w:color w:val="000000"/>
                <w:kern w:val="0"/>
                <w:sz w:val="22"/>
                <w:szCs w:val="22"/>
                <w:u w:val="none"/>
                <w:lang w:val="en-US" w:eastAsia="zh-CN" w:bidi="ar"/>
              </w:rPr>
              <w:t>由用人单位所在地人社部门会同相关部门处理。</w:t>
            </w:r>
          </w:p>
          <w:p w14:paraId="6A59DE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项目行业主管部门、国资部门、项目日监管责任单位统称为行业部门。</w:t>
            </w:r>
          </w:p>
          <w:p w14:paraId="0277D0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eastAsia" w:ascii="方正仿宋_GBK" w:hAnsi="方正仿宋_GBK" w:eastAsia="方正仿宋_GBK" w:cs="方正仿宋_GBK"/>
                <w:b/>
                <w:bCs/>
                <w:i w:val="0"/>
                <w:iCs w:val="0"/>
                <w:color w:val="000000"/>
                <w:kern w:val="0"/>
                <w:sz w:val="22"/>
                <w:szCs w:val="22"/>
                <w:u w:val="none"/>
                <w:lang w:val="en-US" w:eastAsia="zh-CN" w:bidi="ar"/>
              </w:rPr>
              <w:t>部门线索处置。</w:t>
            </w:r>
            <w:r>
              <w:rPr>
                <w:rFonts w:hint="eastAsia" w:ascii="方正仿宋_GBK" w:hAnsi="方正仿宋_GBK" w:eastAsia="方正仿宋_GBK" w:cs="方正仿宋_GBK"/>
                <w:i w:val="0"/>
                <w:iCs w:val="0"/>
                <w:color w:val="000000"/>
                <w:kern w:val="0"/>
                <w:sz w:val="22"/>
                <w:szCs w:val="22"/>
                <w:u w:val="none"/>
                <w:lang w:val="en-US" w:eastAsia="zh-CN" w:bidi="ar"/>
              </w:rPr>
              <w:t>行业部门督促建设单位查明有关情况，对项目欠薪情况进行深入调查，协调施工单位及时解决欠薪问题，与反映人联系确认工资到付情况，确保工资发放到位，并按处置时限要求在新薪通平台反馈办理结果。不属于欠薪问题的，记录有关情况并反馈反映人的实际诉求。</w:t>
            </w:r>
          </w:p>
          <w:p w14:paraId="79D46A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方正仿宋_GBK" w:hAnsi="方正仿宋_GBK" w:eastAsia="方正仿宋_GBK" w:cs="方正仿宋_GBK"/>
                <w:b/>
                <w:bCs/>
                <w:i w:val="0"/>
                <w:iCs w:val="0"/>
                <w:color w:val="000000"/>
                <w:kern w:val="0"/>
                <w:sz w:val="22"/>
                <w:szCs w:val="22"/>
                <w:u w:val="none"/>
                <w:lang w:val="en-US" w:eastAsia="zh-CN" w:bidi="ar"/>
              </w:rPr>
              <w:t>复核结果。</w:t>
            </w:r>
            <w:r>
              <w:rPr>
                <w:rFonts w:hint="eastAsia" w:ascii="方正仿宋_GBK" w:hAnsi="方正仿宋_GBK" w:eastAsia="方正仿宋_GBK" w:cs="方正仿宋_GBK"/>
                <w:i w:val="0"/>
                <w:iCs w:val="0"/>
                <w:color w:val="000000"/>
                <w:kern w:val="0"/>
                <w:sz w:val="22"/>
                <w:szCs w:val="22"/>
                <w:u w:val="none"/>
                <w:lang w:val="en-US" w:eastAsia="zh-CN" w:bidi="ar"/>
              </w:rPr>
              <w:t>人社部门复核行业部门反馈的办理情况。复核结果于行业部门办理情况不一致的，退回行业部门重新核处。</w:t>
            </w:r>
          </w:p>
          <w:p w14:paraId="478CD3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b w:val="0"/>
                <w:bCs/>
                <w:color w:val="000000"/>
                <w:sz w:val="21"/>
                <w:szCs w:val="22"/>
              </w:rPr>
            </w:pPr>
            <w:r>
              <w:rPr>
                <w:rFonts w:hint="default" w:ascii="Times New Roman" w:hAnsi="Times New Roman" w:eastAsia="宋体" w:cs="Times New Roman"/>
                <w:b/>
                <w:bCs/>
                <w:i w:val="0"/>
                <w:iCs w:val="0"/>
                <w:color w:val="000000"/>
                <w:kern w:val="0"/>
                <w:sz w:val="22"/>
                <w:szCs w:val="22"/>
                <w:u w:val="none"/>
                <w:lang w:val="en-US" w:eastAsia="zh-CN" w:bidi="ar"/>
              </w:rPr>
              <w:t>7.</w:t>
            </w:r>
            <w:r>
              <w:rPr>
                <w:rFonts w:hint="eastAsia" w:ascii="方正仿宋_GBK" w:hAnsi="方正仿宋_GBK" w:eastAsia="方正仿宋_GBK" w:cs="方正仿宋_GBK"/>
                <w:b/>
                <w:bCs/>
                <w:i w:val="0"/>
                <w:iCs w:val="0"/>
                <w:color w:val="000000"/>
                <w:kern w:val="0"/>
                <w:sz w:val="22"/>
                <w:szCs w:val="22"/>
                <w:u w:val="none"/>
                <w:lang w:val="en-US" w:eastAsia="zh-CN" w:bidi="ar"/>
              </w:rPr>
              <w:t>处置时限。</w:t>
            </w:r>
            <w:r>
              <w:rPr>
                <w:rFonts w:hint="eastAsia" w:ascii="方正仿宋_GBK" w:hAnsi="方正仿宋_GBK" w:eastAsia="方正仿宋_GBK" w:cs="方正仿宋_GBK"/>
                <w:i w:val="0"/>
                <w:iCs w:val="0"/>
                <w:color w:val="000000"/>
                <w:kern w:val="0"/>
                <w:sz w:val="22"/>
                <w:szCs w:val="22"/>
                <w:u w:val="none"/>
                <w:lang w:val="en-US" w:eastAsia="zh-CN" w:bidi="ar"/>
              </w:rPr>
              <w:t>各地领导小组办公室初核线索时限为</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个工作日。行业部门线索处置时限为</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个工作日，如遇复杂情况线索，处置时限可延长</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个工作日。人社部门符合线索处置时限为</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个工作日，复杂情况线索复核时限可延长</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个工作日。线索反映问题处置超出办理时限视为逾期，逾期</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方正仿宋_GBK" w:hAnsi="方正仿宋_GBK" w:eastAsia="方正仿宋_GBK" w:cs="方正仿宋_GBK"/>
                <w:i w:val="0"/>
                <w:iCs w:val="0"/>
                <w:color w:val="000000"/>
                <w:kern w:val="0"/>
                <w:sz w:val="22"/>
                <w:szCs w:val="22"/>
                <w:u w:val="none"/>
                <w:lang w:val="en-US" w:eastAsia="zh-CN" w:bidi="ar"/>
              </w:rPr>
              <w:t>个工作日视为线索久拖不决。</w:t>
            </w:r>
          </w:p>
        </w:tc>
      </w:tr>
    </w:tbl>
    <w:p w14:paraId="2DBCA199">
      <w:pPr>
        <w:pStyle w:val="2"/>
        <w:rPr>
          <w:rFonts w:hint="default"/>
          <w:lang w:val="en-US" w:eastAsia="zh-CN"/>
        </w:rPr>
      </w:pPr>
    </w:p>
    <w:p w14:paraId="4223DCE9">
      <w:pPr>
        <w:rPr>
          <w:rFonts w:hint="default"/>
          <w:lang w:val="en-US" w:eastAsia="zh-CN"/>
        </w:rPr>
      </w:pPr>
      <w:r>
        <w:rPr>
          <w:rFonts w:hint="default"/>
          <w:lang w:val="en-US" w:eastAsia="zh-CN"/>
        </w:rPr>
        <w:br w:type="page"/>
      </w:r>
    </w:p>
    <w:p w14:paraId="11039844">
      <w:pPr>
        <w:rPr>
          <w:rFonts w:hint="default"/>
          <w:lang w:val="en-US" w:eastAsia="zh-CN"/>
        </w:rPr>
      </w:pPr>
    </w:p>
    <w:p w14:paraId="77C4E1DC">
      <w:pPr>
        <w:rPr>
          <w:rFonts w:hint="default"/>
          <w:lang w:val="en-US" w:eastAsia="zh-CN"/>
        </w:rPr>
      </w:pPr>
    </w:p>
    <w:p w14:paraId="6551FCCA">
      <w:pPr>
        <w:rPr>
          <w:rFonts w:hint="default"/>
          <w:lang w:val="en-US" w:eastAsia="zh-CN"/>
        </w:rPr>
      </w:pPr>
    </w:p>
    <w:tbl>
      <w:tblPr>
        <w:tblStyle w:val="9"/>
        <w:tblW w:w="1609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3675"/>
        <w:gridCol w:w="1425"/>
        <w:gridCol w:w="10170"/>
      </w:tblGrid>
      <w:tr w14:paraId="6DCF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B5EED">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序号</w:t>
            </w:r>
          </w:p>
        </w:tc>
        <w:tc>
          <w:tcPr>
            <w:tcW w:w="3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EFB9C6">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内容</w:t>
            </w: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2C282">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依据</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3A032">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相关条款</w:t>
            </w:r>
          </w:p>
        </w:tc>
      </w:tr>
      <w:tr w14:paraId="094C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7"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27BDC">
            <w:pPr>
              <w:spacing w:beforeLines="0" w:afterLines="0"/>
              <w:jc w:val="center"/>
              <w:rPr>
                <w:rFonts w:hint="eastAsia" w:ascii="Times New Roman" w:hAnsi="Times New Roman" w:eastAsia="宋体"/>
                <w:color w:val="000000"/>
                <w:sz w:val="21"/>
                <w:szCs w:val="22"/>
                <w:lang w:eastAsia="zh-CN"/>
              </w:rPr>
            </w:pPr>
            <w:r>
              <w:rPr>
                <w:rFonts w:hint="eastAsia" w:ascii="Times New Roman" w:hAnsi="Times New Roman" w:eastAsia="宋体"/>
                <w:color w:val="000000"/>
                <w:sz w:val="21"/>
                <w:szCs w:val="22"/>
                <w:lang w:val="en-US" w:eastAsia="zh-CN"/>
              </w:rPr>
              <w:t>6</w:t>
            </w:r>
          </w:p>
        </w:tc>
        <w:tc>
          <w:tcPr>
            <w:tcW w:w="3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E97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b w:val="0"/>
                <w:bCs/>
                <w:color w:val="000000"/>
                <w:sz w:val="21"/>
                <w:szCs w:val="22"/>
              </w:rPr>
            </w:pPr>
            <w:r>
              <w:rPr>
                <w:rStyle w:val="12"/>
                <w:lang w:val="en-US" w:eastAsia="zh-CN" w:bidi="ar"/>
              </w:rPr>
              <w:t>实施联合惩戒。</w:t>
            </w:r>
            <w:r>
              <w:rPr>
                <w:rStyle w:val="13"/>
                <w:lang w:val="en-US" w:eastAsia="zh-CN" w:bidi="ar"/>
              </w:rPr>
              <w:t>人社部门为劳动保障诚信评价和失信惩戒牵头单位，负责动态分级评价企业劳动保障守法诚信等级，依法公布重大劳动保障违法行为，规范认定拖欠农民工工资失信联合惩戒对象名单。对建设单位未及时拨付人工费用、总包单位未履行监管责任或未按规定存储工资保证金导致欠薪的，由人社部门会同行业主管部门依法作出行政处罚（处理），并将处罚信息推送至</w:t>
            </w:r>
            <w:r>
              <w:rPr>
                <w:rStyle w:val="14"/>
                <w:rFonts w:eastAsia="方正仿宋_GBK"/>
                <w:lang w:val="en-US" w:eastAsia="zh-CN" w:bidi="ar"/>
              </w:rPr>
              <w:t>“</w:t>
            </w:r>
            <w:r>
              <w:rPr>
                <w:rStyle w:val="13"/>
                <w:lang w:val="en-US" w:eastAsia="zh-CN" w:bidi="ar"/>
              </w:rPr>
              <w:t>信用中国</w:t>
            </w:r>
            <w:r>
              <w:rPr>
                <w:rStyle w:val="14"/>
                <w:rFonts w:eastAsia="方正仿宋_GBK"/>
                <w:lang w:val="en-US" w:eastAsia="zh-CN" w:bidi="ar"/>
              </w:rPr>
              <w:t>”</w:t>
            </w:r>
            <w:r>
              <w:rPr>
                <w:rStyle w:val="13"/>
                <w:lang w:val="en-US" w:eastAsia="zh-CN" w:bidi="ar"/>
              </w:rPr>
              <w:t>网站，面向社会公示。发展改革、市场监督、住建、银行等相关部门依据失信名单实施联合惩戒，在招投标、市场准入、融资贷款等方面予以限制，实现</w:t>
            </w:r>
            <w:r>
              <w:rPr>
                <w:rStyle w:val="14"/>
                <w:rFonts w:eastAsia="方正仿宋_GBK"/>
                <w:lang w:val="en-US" w:eastAsia="zh-CN" w:bidi="ar"/>
              </w:rPr>
              <w:t>“</w:t>
            </w:r>
            <w:r>
              <w:rPr>
                <w:rStyle w:val="13"/>
                <w:lang w:val="en-US" w:eastAsia="zh-CN" w:bidi="ar"/>
              </w:rPr>
              <w:t>一处欠薪，处处受限</w:t>
            </w:r>
            <w:r>
              <w:rPr>
                <w:rStyle w:val="14"/>
                <w:rFonts w:eastAsia="方正仿宋_GBK"/>
                <w:lang w:val="en-US" w:eastAsia="zh-CN" w:bidi="ar"/>
              </w:rPr>
              <w:t>”</w:t>
            </w:r>
            <w:r>
              <w:rPr>
                <w:rStyle w:val="13"/>
                <w:lang w:val="en-US" w:eastAsia="zh-CN" w:bidi="ar"/>
              </w:rPr>
              <w:t>。</w:t>
            </w: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E77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Times New Roman"/>
                <w:b w:val="0"/>
                <w:bCs/>
                <w:color w:val="000000"/>
                <w:sz w:val="21"/>
                <w:szCs w:val="22"/>
              </w:rPr>
            </w:pPr>
            <w:r>
              <w:rPr>
                <w:rFonts w:hint="default" w:ascii="Times New Roman" w:hAnsi="Times New Roman" w:eastAsia="方正仿宋_GBK" w:cs="Times New Roman"/>
                <w:b w:val="0"/>
                <w:bCs/>
                <w:color w:val="000000"/>
                <w:sz w:val="21"/>
                <w:szCs w:val="22"/>
              </w:rPr>
              <w:t>《保障农民工工资支付条例》（国务院令第724号）</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3F2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3"/>
                <w:lang w:val="en-US" w:eastAsia="zh-CN" w:bidi="ar"/>
              </w:rPr>
            </w:pPr>
            <w:r>
              <w:rPr>
                <w:rStyle w:val="12"/>
                <w:lang w:val="en-US" w:eastAsia="zh-CN" w:bidi="ar"/>
              </w:rPr>
              <w:t>第四十八条</w:t>
            </w:r>
            <w:r>
              <w:rPr>
                <w:rStyle w:val="14"/>
                <w:rFonts w:eastAsia="方正仿宋_GBK"/>
                <w:lang w:val="en-US" w:eastAsia="zh-CN" w:bidi="ar"/>
              </w:rPr>
              <w:t xml:space="preserve"> </w:t>
            </w:r>
            <w:r>
              <w:rPr>
                <w:rStyle w:val="13"/>
                <w:lang w:val="en-US" w:eastAsia="zh-CN" w:bidi="ar"/>
              </w:rPr>
              <w:t>用人单位拖欠农民工工资，情节严重或者造成严重不良社会影响的，有关部门应当将该用人单位及其法定代表人或者主要负责人、直接负责的主管人员和其他直接责任人员列入拖欠农民工工资失信联合惩戒对象名单，在政府资金支持、政府采购、招投标、融资贷款、市场准入、税收优惠、评优评先、交通出行等方面依法依规予以限制。</w:t>
            </w:r>
          </w:p>
          <w:p w14:paraId="1FB3A9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3"/>
                <w:lang w:val="en-US" w:eastAsia="zh-CN" w:bidi="ar"/>
              </w:rPr>
            </w:pPr>
            <w:r>
              <w:rPr>
                <w:rStyle w:val="12"/>
                <w:lang w:val="en-US" w:eastAsia="zh-CN" w:bidi="ar"/>
              </w:rPr>
              <w:t>第五十五条</w:t>
            </w:r>
            <w:r>
              <w:rPr>
                <w:rStyle w:val="15"/>
                <w:rFonts w:eastAsia="方正仿宋_GBK"/>
                <w:lang w:val="en-US" w:eastAsia="zh-CN" w:bidi="ar"/>
              </w:rPr>
              <w:t xml:space="preserve"> </w:t>
            </w:r>
            <w:r>
              <w:rPr>
                <w:rStyle w:val="13"/>
                <w:lang w:val="en-US" w:eastAsia="zh-CN" w:bidi="ar"/>
              </w:rPr>
              <w:t>有下列情形之一的，由人力资源社会保障行政部门、相关行业工程建设主管部门按照职责责令限期改正；逾期不改正的，责令项目停工，并处</w:t>
            </w:r>
            <w:r>
              <w:rPr>
                <w:rStyle w:val="14"/>
                <w:rFonts w:eastAsia="方正仿宋_GBK"/>
                <w:lang w:val="en-US" w:eastAsia="zh-CN" w:bidi="ar"/>
              </w:rPr>
              <w:t>5</w:t>
            </w:r>
            <w:r>
              <w:rPr>
                <w:rStyle w:val="13"/>
                <w:lang w:val="en-US" w:eastAsia="zh-CN" w:bidi="ar"/>
              </w:rPr>
              <w:t>万元以上</w:t>
            </w:r>
            <w:r>
              <w:rPr>
                <w:rStyle w:val="14"/>
                <w:rFonts w:eastAsia="方正仿宋_GBK"/>
                <w:lang w:val="en-US" w:eastAsia="zh-CN" w:bidi="ar"/>
              </w:rPr>
              <w:t>10</w:t>
            </w:r>
            <w:r>
              <w:rPr>
                <w:rStyle w:val="13"/>
                <w:lang w:val="en-US" w:eastAsia="zh-CN" w:bidi="ar"/>
              </w:rPr>
              <w:t>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p w14:paraId="66E6D9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3"/>
                <w:lang w:val="en-US" w:eastAsia="zh-CN" w:bidi="ar"/>
              </w:rPr>
            </w:pPr>
            <w:r>
              <w:rPr>
                <w:rStyle w:val="12"/>
                <w:lang w:val="en-US" w:eastAsia="zh-CN" w:bidi="ar"/>
              </w:rPr>
              <w:t>第五十六条</w:t>
            </w:r>
            <w:r>
              <w:rPr>
                <w:rStyle w:val="15"/>
                <w:rFonts w:eastAsia="方正仿宋_GBK"/>
                <w:lang w:val="en-US" w:eastAsia="zh-CN" w:bidi="ar"/>
              </w:rPr>
              <w:t xml:space="preserve"> </w:t>
            </w:r>
            <w:r>
              <w:rPr>
                <w:rStyle w:val="13"/>
                <w:lang w:val="en-US" w:eastAsia="zh-CN" w:bidi="ar"/>
              </w:rPr>
              <w:t>有下列情形之一的，由人力资源社会保障行政部门、相关行业工程建设主管部门按照职责责令限期改正；逾期不改正的，处</w:t>
            </w:r>
            <w:r>
              <w:rPr>
                <w:rStyle w:val="14"/>
                <w:rFonts w:eastAsia="方正仿宋_GBK"/>
                <w:lang w:val="en-US" w:eastAsia="zh-CN" w:bidi="ar"/>
              </w:rPr>
              <w:t>5</w:t>
            </w:r>
            <w:r>
              <w:rPr>
                <w:rStyle w:val="13"/>
                <w:lang w:val="en-US" w:eastAsia="zh-CN" w:bidi="ar"/>
              </w:rPr>
              <w:t>万元以上</w:t>
            </w:r>
            <w:r>
              <w:rPr>
                <w:rStyle w:val="14"/>
                <w:rFonts w:eastAsia="方正仿宋_GBK"/>
                <w:lang w:val="en-US" w:eastAsia="zh-CN" w:bidi="ar"/>
              </w:rPr>
              <w:t>10</w:t>
            </w:r>
            <w:r>
              <w:rPr>
                <w:rStyle w:val="13"/>
                <w:lang w:val="en-US" w:eastAsia="zh-CN" w:bidi="ar"/>
              </w:rPr>
              <w:t>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信息公示制度。</w:t>
            </w:r>
          </w:p>
          <w:p w14:paraId="738EED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b w:val="0"/>
                <w:bCs/>
                <w:color w:val="000000"/>
                <w:sz w:val="21"/>
                <w:szCs w:val="22"/>
              </w:rPr>
            </w:pPr>
            <w:r>
              <w:rPr>
                <w:rStyle w:val="12"/>
                <w:lang w:val="en-US" w:eastAsia="zh-CN" w:bidi="ar"/>
              </w:rPr>
              <w:t>第五十七条</w:t>
            </w:r>
            <w:r>
              <w:rPr>
                <w:rStyle w:val="15"/>
                <w:rFonts w:eastAsia="方正仿宋_GBK"/>
                <w:lang w:val="en-US" w:eastAsia="zh-CN" w:bidi="ar"/>
              </w:rPr>
              <w:t xml:space="preserve"> </w:t>
            </w:r>
            <w:r>
              <w:rPr>
                <w:rStyle w:val="13"/>
                <w:lang w:val="en-US" w:eastAsia="zh-CN" w:bidi="ar"/>
              </w:rPr>
              <w:t>有下列情形之一的，由人力资源社会保障行政部门、相关行业工程建设主管部门按照职责责令限期改正；逾期不改正的，责令项目停工，并处</w:t>
            </w:r>
            <w:r>
              <w:rPr>
                <w:rStyle w:val="14"/>
                <w:rFonts w:eastAsia="方正仿宋_GBK"/>
                <w:lang w:val="en-US" w:eastAsia="zh-CN" w:bidi="ar"/>
              </w:rPr>
              <w:t>5</w:t>
            </w:r>
            <w:r>
              <w:rPr>
                <w:rStyle w:val="13"/>
                <w:lang w:val="en-US" w:eastAsia="zh-CN" w:bidi="ar"/>
              </w:rPr>
              <w:t>万元以上</w:t>
            </w:r>
            <w:r>
              <w:rPr>
                <w:rStyle w:val="14"/>
                <w:rFonts w:eastAsia="方正仿宋_GBK"/>
                <w:lang w:val="en-US" w:eastAsia="zh-CN" w:bidi="ar"/>
              </w:rPr>
              <w:t>10</w:t>
            </w:r>
            <w:r>
              <w:rPr>
                <w:rStyle w:val="13"/>
                <w:lang w:val="en-US" w:eastAsia="zh-CN" w:bidi="ar"/>
              </w:rPr>
              <w:t>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tc>
      </w:tr>
    </w:tbl>
    <w:p w14:paraId="1CBB8D47">
      <w:pPr>
        <w:pStyle w:val="2"/>
        <w:rPr>
          <w:rFonts w:hint="default"/>
          <w:lang w:val="en-US" w:eastAsia="zh-CN"/>
        </w:rPr>
      </w:pPr>
    </w:p>
    <w:p w14:paraId="03D5DE39">
      <w:pPr>
        <w:rPr>
          <w:rFonts w:hint="default"/>
          <w:lang w:val="en-US" w:eastAsia="zh-CN"/>
        </w:rPr>
      </w:pPr>
      <w:r>
        <w:rPr>
          <w:rFonts w:hint="default"/>
          <w:lang w:val="en-US" w:eastAsia="zh-CN"/>
        </w:rPr>
        <w:br w:type="page"/>
      </w:r>
    </w:p>
    <w:p w14:paraId="7D4F9AE1">
      <w:pPr>
        <w:rPr>
          <w:rFonts w:hint="default"/>
          <w:lang w:val="en-US" w:eastAsia="zh-CN"/>
        </w:rPr>
      </w:pPr>
    </w:p>
    <w:p w14:paraId="3BB2735D">
      <w:pPr>
        <w:rPr>
          <w:rFonts w:hint="default"/>
          <w:lang w:val="en-US" w:eastAsia="zh-CN"/>
        </w:rPr>
      </w:pPr>
    </w:p>
    <w:p w14:paraId="368EE622">
      <w:pPr>
        <w:rPr>
          <w:rFonts w:hint="default"/>
          <w:lang w:val="en-US" w:eastAsia="zh-CN"/>
        </w:rPr>
      </w:pPr>
    </w:p>
    <w:tbl>
      <w:tblPr>
        <w:tblStyle w:val="9"/>
        <w:tblW w:w="1609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3675"/>
        <w:gridCol w:w="1425"/>
        <w:gridCol w:w="10170"/>
      </w:tblGrid>
      <w:tr w14:paraId="66DA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8B840">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序号</w:t>
            </w:r>
          </w:p>
        </w:tc>
        <w:tc>
          <w:tcPr>
            <w:tcW w:w="3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5907FE">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内容</w:t>
            </w: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A3782">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依据</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D1A1B">
            <w:pPr>
              <w:spacing w:beforeLines="0" w:afterLines="0"/>
              <w:jc w:val="center"/>
              <w:rPr>
                <w:rFonts w:hint="eastAsia" w:ascii="方正黑体_GBK" w:hAnsi="方正黑体_GBK" w:eastAsia="方正黑体_GBK"/>
                <w:color w:val="000000"/>
                <w:sz w:val="28"/>
                <w:szCs w:val="24"/>
              </w:rPr>
            </w:pPr>
            <w:r>
              <w:rPr>
                <w:rFonts w:hint="eastAsia" w:ascii="方正黑体_GBK" w:hAnsi="方正黑体_GBK" w:eastAsia="方正黑体_GBK"/>
                <w:color w:val="000000"/>
                <w:sz w:val="28"/>
                <w:szCs w:val="24"/>
              </w:rPr>
              <w:t>相关条款</w:t>
            </w:r>
          </w:p>
        </w:tc>
      </w:tr>
      <w:tr w14:paraId="3A3E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7"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BEA89">
            <w:pPr>
              <w:spacing w:beforeLines="0" w:afterLines="0"/>
              <w:jc w:val="center"/>
              <w:rPr>
                <w:rFonts w:hint="eastAsia" w:ascii="Times New Roman" w:hAnsi="Times New Roman" w:eastAsia="Times New Roman"/>
                <w:color w:val="000000"/>
                <w:sz w:val="21"/>
                <w:szCs w:val="22"/>
              </w:rPr>
            </w:pPr>
            <w:r>
              <w:rPr>
                <w:rFonts w:hint="eastAsia" w:ascii="Times New Roman" w:hAnsi="Times New Roman" w:eastAsia="Times New Roman"/>
                <w:color w:val="000000"/>
                <w:sz w:val="21"/>
                <w:szCs w:val="22"/>
              </w:rPr>
              <w:t>7</w:t>
            </w:r>
          </w:p>
        </w:tc>
        <w:tc>
          <w:tcPr>
            <w:tcW w:w="36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9E01C">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方正仿宋_GBK" w:hAnsi="方正仿宋_GBK" w:eastAsia="方正仿宋_GBK"/>
                <w:b w:val="0"/>
                <w:bCs/>
                <w:color w:val="000000"/>
                <w:sz w:val="21"/>
                <w:szCs w:val="22"/>
              </w:rPr>
            </w:pPr>
            <w:r>
              <w:rPr>
                <w:rFonts w:hint="eastAsia" w:ascii="方正仿宋_GBK" w:hAnsi="方正仿宋_GBK" w:eastAsia="方正仿宋_GBK"/>
                <w:b/>
                <w:bCs w:val="0"/>
                <w:color w:val="000000"/>
                <w:sz w:val="21"/>
                <w:szCs w:val="22"/>
              </w:rPr>
              <w:t>严肃追责问责。</w:t>
            </w:r>
            <w:r>
              <w:rPr>
                <w:rFonts w:hint="eastAsia" w:ascii="方正仿宋_GBK" w:hAnsi="方正仿宋_GBK" w:eastAsia="方正仿宋_GBK"/>
                <w:b w:val="0"/>
                <w:bCs/>
                <w:color w:val="000000"/>
                <w:sz w:val="21"/>
                <w:szCs w:val="22"/>
              </w:rPr>
              <w:t>对政府、国企项目因投资资金不到位导致欠薪的：市级监管项目由人社部门报市政府批准，责令责任单位限期足额拨付，逾期未拨付的约谈直接责任部门和行业主管部门负责人；区（县）级监管项目责令属地限期足额拨付，市人社部门约谈区（县）政府负责人；情节严重的，移交纪检监察机关对行业主管部门负责人、直接责任人追责问责。对政府、国企项目因未批先建、擅自扩大建设规模、增加投资概算、未及时拨付工程款导致欠薪的，建设单位承担主体责任，人社部门会同行业主管部门约谈其负责人，相关情况作为业绩考核、薪酬分配、评优评先、职务晋升的重要依据。对社会投资项目因资金不到位或违法违规开工导致欠薪的，人社部门和行业主管部门按职责对建设单位及负责人依法处罚。住建、交通、水利等行业主管部门及人社、发改、财政等部门工作人员，在欠薪治理工作中滥用职权、玩忽职守、徇私舞弊、失职失责的，直接移交纪检监察机关追责问责。</w:t>
            </w: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75A5A">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Times New Roman" w:hAnsi="Times New Roman" w:eastAsia="Times New Roman"/>
                <w:b w:val="0"/>
                <w:bCs/>
                <w:color w:val="000000"/>
                <w:sz w:val="21"/>
                <w:szCs w:val="22"/>
              </w:rPr>
            </w:pPr>
            <w:r>
              <w:rPr>
                <w:rFonts w:hint="default" w:ascii="Times New Roman" w:hAnsi="Times New Roman" w:eastAsia="方正仿宋_GBK" w:cs="Times New Roman"/>
                <w:b w:val="0"/>
                <w:bCs/>
                <w:color w:val="000000"/>
                <w:sz w:val="21"/>
                <w:szCs w:val="22"/>
              </w:rPr>
              <w:t>《保障农民工工资支付条例》（国务院令第724号）</w:t>
            </w:r>
          </w:p>
        </w:tc>
        <w:tc>
          <w:tcPr>
            <w:tcW w:w="101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E0FE1">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方正仿宋_GBK" w:hAnsi="方正仿宋_GBK" w:eastAsia="方正仿宋_GBK"/>
                <w:b w:val="0"/>
                <w:bCs/>
                <w:color w:val="000000"/>
                <w:sz w:val="21"/>
                <w:szCs w:val="22"/>
              </w:rPr>
            </w:pPr>
            <w:r>
              <w:rPr>
                <w:rFonts w:hint="eastAsia" w:ascii="方正仿宋_GBK" w:hAnsi="方正仿宋_GBK" w:eastAsia="方正仿宋_GBK"/>
                <w:b/>
                <w:bCs w:val="0"/>
                <w:color w:val="000000"/>
                <w:sz w:val="21"/>
                <w:szCs w:val="22"/>
              </w:rPr>
              <w:t>第五十九条</w:t>
            </w:r>
            <w:r>
              <w:rPr>
                <w:rFonts w:hint="eastAsia" w:ascii="方正仿宋_GBK" w:hAnsi="方正仿宋_GBK" w:eastAsia="方正仿宋_GBK"/>
                <w:b w:val="0"/>
                <w:bCs/>
                <w:color w:val="000000"/>
                <w:sz w:val="21"/>
                <w:szCs w:val="22"/>
              </w:rPr>
              <w:t xml:space="preserve"> 政府投资项目政府投资资金不到位拖欠农民工工资的，由人力资源社会保障行政部门报本级人民政府批准，责令限期足额拨付所拖欠的资金；逾期不拨付的，由上一级人民政府人力资源社会保障行政部门约谈直接责任部门和相关监管部门负责人，必要时进行通报，约谈地方人民政府负责人。情节严重的，对地方人民政府及其有关部门负责人、直接负责的主管人员和其他直接责任人员依法依规给予处分。</w:t>
            </w:r>
          </w:p>
          <w:p w14:paraId="244DBC9C">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方正仿宋_GBK" w:hAnsi="方正仿宋_GBK" w:eastAsia="方正仿宋_GBK"/>
                <w:b w:val="0"/>
                <w:bCs/>
                <w:color w:val="000000"/>
                <w:sz w:val="21"/>
                <w:szCs w:val="22"/>
              </w:rPr>
            </w:pPr>
            <w:r>
              <w:rPr>
                <w:rFonts w:hint="eastAsia" w:ascii="方正仿宋_GBK" w:hAnsi="方正仿宋_GBK" w:eastAsia="方正仿宋_GBK"/>
                <w:b/>
                <w:bCs w:val="0"/>
                <w:color w:val="000000"/>
                <w:sz w:val="21"/>
                <w:szCs w:val="22"/>
              </w:rPr>
              <w:t>第六十条</w:t>
            </w:r>
            <w:r>
              <w:rPr>
                <w:rFonts w:hint="eastAsia" w:ascii="方正仿宋_GBK" w:hAnsi="方正仿宋_GBK" w:eastAsia="方正仿宋_GBK"/>
                <w:b w:val="0"/>
                <w:bCs/>
                <w:color w:val="000000"/>
                <w:sz w:val="21"/>
                <w:szCs w:val="22"/>
              </w:rPr>
              <w:t xml:space="preserve"> 政府投资项目建设单位未经批准立项建设、擅自扩大建设规模、擅自增加投资概算、未及时拨付工程款等导致拖欠农民工工资的，除依法承担责任外，由人力资源社会保障行政部门、其他有关部门按照职责约谈建设单位负责人，并作为其业绩考核、薪酬分配、评优评先、职务晋升等的重要依据。</w:t>
            </w:r>
          </w:p>
          <w:p w14:paraId="7A7F9272">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方正仿宋_GBK" w:hAnsi="方正仿宋_GBK" w:eastAsia="方正仿宋_GBK"/>
                <w:b w:val="0"/>
                <w:bCs/>
                <w:color w:val="000000"/>
                <w:sz w:val="21"/>
                <w:szCs w:val="22"/>
              </w:rPr>
            </w:pPr>
            <w:r>
              <w:rPr>
                <w:rFonts w:hint="eastAsia" w:ascii="方正仿宋_GBK" w:hAnsi="方正仿宋_GBK" w:eastAsia="方正仿宋_GBK"/>
                <w:b/>
                <w:bCs w:val="0"/>
                <w:color w:val="000000"/>
                <w:sz w:val="21"/>
                <w:szCs w:val="22"/>
              </w:rPr>
              <w:t>第六十一条</w:t>
            </w:r>
            <w:r>
              <w:rPr>
                <w:rFonts w:hint="eastAsia" w:ascii="方正仿宋_GBK" w:hAnsi="方正仿宋_GBK" w:eastAsia="方正仿宋_GBK"/>
                <w:b w:val="0"/>
                <w:bCs/>
                <w:color w:val="000000"/>
                <w:sz w:val="21"/>
                <w:szCs w:val="22"/>
              </w:rPr>
              <w:t xml:space="preserve"> 对于建设资金不到位、违法违规开工建设的社会投资工程建设项目拖欠农民工工资的，由人力资源社会保障行政部门、其他有关部门按照职责依法对建设单位进行处罚；对建设单位负责人依法依规给予处分。相关部门工作人员未依法履行职责的，由有关机关依法依规给予处分。</w:t>
            </w:r>
          </w:p>
          <w:p w14:paraId="1F1838CF">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eastAsia" w:ascii="方正仿宋_GBK" w:hAnsi="方正仿宋_GBK" w:eastAsia="方正仿宋_GBK"/>
                <w:b w:val="0"/>
                <w:bCs/>
                <w:color w:val="000000"/>
                <w:sz w:val="21"/>
                <w:szCs w:val="22"/>
              </w:rPr>
            </w:pPr>
            <w:r>
              <w:rPr>
                <w:rFonts w:hint="eastAsia" w:ascii="方正仿宋_GBK" w:hAnsi="方正仿宋_GBK" w:eastAsia="方正仿宋_GBK"/>
                <w:b/>
                <w:bCs w:val="0"/>
                <w:color w:val="000000"/>
                <w:sz w:val="21"/>
                <w:szCs w:val="22"/>
              </w:rPr>
              <w:t>第六十二条</w:t>
            </w:r>
            <w:r>
              <w:rPr>
                <w:rFonts w:hint="eastAsia" w:ascii="方正仿宋_GBK" w:hAnsi="方正仿宋_GBK" w:eastAsia="方正仿宋_GBK"/>
                <w:b w:val="0"/>
                <w:bCs/>
                <w:color w:val="000000"/>
                <w:sz w:val="21"/>
                <w:szCs w:val="22"/>
              </w:rPr>
              <w:t xml:space="preserve"> 县级以上地方人民政府人力资源社会保障、发展改革、财政、公安等部门和相关行业工程建设主管部门工作人员，在履行农民工工资支付监督管理职责过程中滥用职权、玩忽职守、徇私舞弊的，依法依规给予处分；构成犯罪的，依法追究刑事责任。</w:t>
            </w:r>
          </w:p>
        </w:tc>
      </w:tr>
    </w:tbl>
    <w:p w14:paraId="2D31AF55">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_GBK" w:hAnsi="方正仿宋_GBK" w:eastAsia="方正仿宋_GBK" w:cs="方正仿宋_GBK"/>
          <w:sz w:val="32"/>
          <w:szCs w:val="40"/>
          <w:lang w:val="en-US" w:eastAsia="zh-CN"/>
        </w:rPr>
      </w:pPr>
    </w:p>
    <w:p w14:paraId="45A77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sectPr>
      <w:footerReference r:id="rId4" w:type="default"/>
      <w:pgSz w:w="16838" w:h="11906" w:orient="landscape"/>
      <w:pgMar w:top="283" w:right="283" w:bottom="283" w:left="283" w:header="851" w:footer="850"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41B5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08881">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508881">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4152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AEDA7">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2AEDA7">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628D"/>
    <w:rsid w:val="004C49ED"/>
    <w:rsid w:val="008948DB"/>
    <w:rsid w:val="00F1579C"/>
    <w:rsid w:val="02935D40"/>
    <w:rsid w:val="03373831"/>
    <w:rsid w:val="04A610B0"/>
    <w:rsid w:val="05BB5375"/>
    <w:rsid w:val="093A4032"/>
    <w:rsid w:val="095C4521"/>
    <w:rsid w:val="098E0239"/>
    <w:rsid w:val="0BC1638D"/>
    <w:rsid w:val="0D485C03"/>
    <w:rsid w:val="10812E49"/>
    <w:rsid w:val="12EE26FD"/>
    <w:rsid w:val="136441CE"/>
    <w:rsid w:val="139B0D39"/>
    <w:rsid w:val="14B54C59"/>
    <w:rsid w:val="18BD6DA2"/>
    <w:rsid w:val="19801615"/>
    <w:rsid w:val="19CA5F06"/>
    <w:rsid w:val="1A0D4AD8"/>
    <w:rsid w:val="1AFE05D6"/>
    <w:rsid w:val="1BBB7A8F"/>
    <w:rsid w:val="1FFB5506"/>
    <w:rsid w:val="20BF6548"/>
    <w:rsid w:val="20C03FCA"/>
    <w:rsid w:val="20D24AD1"/>
    <w:rsid w:val="221768AF"/>
    <w:rsid w:val="2270048D"/>
    <w:rsid w:val="237038B3"/>
    <w:rsid w:val="269C1516"/>
    <w:rsid w:val="299946CD"/>
    <w:rsid w:val="2D5D60C3"/>
    <w:rsid w:val="2DB83119"/>
    <w:rsid w:val="2DDD43CD"/>
    <w:rsid w:val="2E452AF7"/>
    <w:rsid w:val="2E990003"/>
    <w:rsid w:val="2F1C4D59"/>
    <w:rsid w:val="31F84007"/>
    <w:rsid w:val="32C22CCC"/>
    <w:rsid w:val="331D4B4E"/>
    <w:rsid w:val="33365565"/>
    <w:rsid w:val="33D31514"/>
    <w:rsid w:val="33FD6769"/>
    <w:rsid w:val="34C752A4"/>
    <w:rsid w:val="35503F04"/>
    <w:rsid w:val="35787646"/>
    <w:rsid w:val="368A1800"/>
    <w:rsid w:val="36B934D6"/>
    <w:rsid w:val="38B82F9B"/>
    <w:rsid w:val="3B0D3470"/>
    <w:rsid w:val="3BA23236"/>
    <w:rsid w:val="3BF11FA1"/>
    <w:rsid w:val="3D176D48"/>
    <w:rsid w:val="4072273F"/>
    <w:rsid w:val="4073674A"/>
    <w:rsid w:val="41AD51CD"/>
    <w:rsid w:val="42F84106"/>
    <w:rsid w:val="43684499"/>
    <w:rsid w:val="442C5D93"/>
    <w:rsid w:val="44566810"/>
    <w:rsid w:val="466E7D19"/>
    <w:rsid w:val="46880A03"/>
    <w:rsid w:val="49624874"/>
    <w:rsid w:val="4BD54113"/>
    <w:rsid w:val="4C1D24EE"/>
    <w:rsid w:val="4E6A373F"/>
    <w:rsid w:val="4F205FDF"/>
    <w:rsid w:val="4FE373A1"/>
    <w:rsid w:val="50582653"/>
    <w:rsid w:val="51896B9F"/>
    <w:rsid w:val="52397FF8"/>
    <w:rsid w:val="52D2096E"/>
    <w:rsid w:val="53F70AD0"/>
    <w:rsid w:val="55E118F5"/>
    <w:rsid w:val="573801F2"/>
    <w:rsid w:val="57552B9B"/>
    <w:rsid w:val="57781A43"/>
    <w:rsid w:val="59E35308"/>
    <w:rsid w:val="5C366C9F"/>
    <w:rsid w:val="5F0A527B"/>
    <w:rsid w:val="5F775CBC"/>
    <w:rsid w:val="61204476"/>
    <w:rsid w:val="61FE4473"/>
    <w:rsid w:val="624A15EC"/>
    <w:rsid w:val="63266C26"/>
    <w:rsid w:val="64423289"/>
    <w:rsid w:val="64B435C8"/>
    <w:rsid w:val="6729654F"/>
    <w:rsid w:val="681450EA"/>
    <w:rsid w:val="6A6E5F0E"/>
    <w:rsid w:val="6BBC7DC4"/>
    <w:rsid w:val="6E8D131E"/>
    <w:rsid w:val="6EB41FBB"/>
    <w:rsid w:val="72194C13"/>
    <w:rsid w:val="722F4B1D"/>
    <w:rsid w:val="740D2C3B"/>
    <w:rsid w:val="74A215D5"/>
    <w:rsid w:val="75DE6974"/>
    <w:rsid w:val="767F74F6"/>
    <w:rsid w:val="77D8682E"/>
    <w:rsid w:val="792D0059"/>
    <w:rsid w:val="7AD110B1"/>
    <w:rsid w:val="7B484ED1"/>
    <w:rsid w:val="7B5C7987"/>
    <w:rsid w:val="7C8A6926"/>
    <w:rsid w:val="7DE8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line="560" w:lineRule="exact"/>
      <w:ind w:firstLine="200" w:firstLineChars="200"/>
      <w:outlineLvl w:val="2"/>
    </w:pPr>
    <w:rPr>
      <w:rFonts w:ascii="方正楷体_GBK" w:hAnsi="方正楷体_GBK" w:eastAsia="方正楷体_GBK" w:cs="仿宋"/>
      <w:color w:val="000000" w:themeColor="text1"/>
      <w:sz w:val="32"/>
      <w:szCs w:val="32"/>
      <w14:textFill>
        <w14:solidFill>
          <w14:schemeClr w14:val="tx1"/>
        </w14:solidFill>
      </w14:textFill>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next w:val="5"/>
    <w:qFormat/>
    <w:uiPriority w:val="0"/>
    <w:pPr>
      <w:jc w:val="center"/>
    </w:pPr>
    <w:rPr>
      <w:rFonts w:eastAsia="方正小标宋简体"/>
      <w:b/>
      <w:bCs/>
      <w:sz w:val="44"/>
    </w:r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8">
    <w:name w:val="Body Text First Indent"/>
    <w:basedOn w:val="4"/>
    <w:next w:val="5"/>
    <w:qFormat/>
    <w:uiPriority w:val="0"/>
    <w:pPr>
      <w:widowControl w:val="0"/>
      <w:suppressAutoHyphens/>
      <w:bidi w:val="0"/>
      <w:spacing w:after="120" w:afterLines="0" w:afterAutospacing="0"/>
      <w:ind w:firstLine="420" w:firstLineChars="100"/>
      <w:jc w:val="both"/>
    </w:pPr>
    <w:rPr>
      <w:rFonts w:ascii="Calibri" w:hAnsi="Calibri" w:eastAsia="宋体" w:cs="Times New Roman"/>
      <w:color w:val="auto"/>
      <w:kern w:val="2"/>
      <w:sz w:val="21"/>
      <w:szCs w:val="24"/>
      <w:lang w:val="en-US" w:eastAsia="zh-CN" w:bidi="ar-SA"/>
    </w:rPr>
  </w:style>
  <w:style w:type="character" w:customStyle="1" w:styleId="11">
    <w:name w:val="font51"/>
    <w:basedOn w:val="10"/>
    <w:qFormat/>
    <w:uiPriority w:val="0"/>
    <w:rPr>
      <w:rFonts w:ascii="方正楷体_GBK" w:hAnsi="方正楷体_GBK" w:eastAsia="方正楷体_GBK" w:cs="方正楷体_GBK"/>
      <w:b/>
      <w:bCs/>
      <w:color w:val="000000"/>
      <w:sz w:val="22"/>
      <w:szCs w:val="22"/>
      <w:u w:val="none"/>
    </w:rPr>
  </w:style>
  <w:style w:type="character" w:customStyle="1" w:styleId="12">
    <w:name w:val="font31"/>
    <w:basedOn w:val="10"/>
    <w:qFormat/>
    <w:uiPriority w:val="0"/>
    <w:rPr>
      <w:rFonts w:hint="eastAsia" w:ascii="方正仿宋_GBK" w:hAnsi="方正仿宋_GBK" w:eastAsia="方正仿宋_GBK" w:cs="方正仿宋_GBK"/>
      <w:b/>
      <w:bCs/>
      <w:color w:val="000000"/>
      <w:sz w:val="22"/>
      <w:szCs w:val="22"/>
      <w:u w:val="none"/>
    </w:rPr>
  </w:style>
  <w:style w:type="character" w:customStyle="1" w:styleId="13">
    <w:name w:val="font21"/>
    <w:basedOn w:val="10"/>
    <w:qFormat/>
    <w:uiPriority w:val="0"/>
    <w:rPr>
      <w:rFonts w:hint="eastAsia" w:ascii="方正仿宋_GBK" w:hAnsi="方正仿宋_GBK" w:eastAsia="方正仿宋_GBK" w:cs="方正仿宋_GBK"/>
      <w:color w:val="000000"/>
      <w:sz w:val="22"/>
      <w:szCs w:val="22"/>
      <w:u w:val="none"/>
    </w:rPr>
  </w:style>
  <w:style w:type="character" w:customStyle="1" w:styleId="14">
    <w:name w:val="font11"/>
    <w:basedOn w:val="10"/>
    <w:qFormat/>
    <w:uiPriority w:val="0"/>
    <w:rPr>
      <w:rFonts w:hint="default" w:ascii="Times New Roman" w:hAnsi="Times New Roman" w:cs="Times New Roman"/>
      <w:color w:val="000000"/>
      <w:sz w:val="22"/>
      <w:szCs w:val="22"/>
      <w:u w:val="none"/>
    </w:rPr>
  </w:style>
  <w:style w:type="character" w:customStyle="1" w:styleId="15">
    <w:name w:val="font41"/>
    <w:basedOn w:val="10"/>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11381</Words>
  <Characters>11570</Characters>
  <Lines>0</Lines>
  <Paragraphs>0</Paragraphs>
  <TotalTime>7</TotalTime>
  <ScaleCrop>false</ScaleCrop>
  <LinksUpToDate>false</LinksUpToDate>
  <CharactersWithSpaces>11629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2025-05-19T10:18:00Z</dcterms:created>
  <dc:creator>Lenovo</dc:creator>
  <cp:lastModifiedBy>佚名</cp:lastModifiedBy>
  <dcterms:modified xsi:type="dcterms:W3CDTF">2026-01-06T11:34:04Z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54739535604347319E7D096FFCFEF221_12</vt:lpwstr>
  </property>
  <property fmtid="{D5CDD505-2E9C-101B-9397-08002B2CF9AE}" pid="4" name="KSOTemplateDocerSaveRecord">
    <vt:lpwstr>eyJoZGlkIjoiMzhjYjQzNGI2Mzc2ZGMwYjdhYWQ3ZmVlYWQ2YWI0ZTgiLCJ1c2VySWQiOiIzMDY1NTM5NTgifQ==</vt:lpwstr>
  </property>
</Properties>
</file>