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val="en-US" w:eastAsia="zh-CN"/>
        </w:rPr>
        <w:t>乌鲁木齐市律师事务所信用分级分类管理办法</w:t>
      </w:r>
      <w:r>
        <w:rPr>
          <w:rFonts w:hint="eastAsia" w:ascii="方正小标宋_GBK" w:hAnsi="方正小标宋_GBK" w:eastAsia="方正小标宋_GBK" w:cs="方正小标宋_GBK"/>
          <w:sz w:val="44"/>
          <w:szCs w:val="44"/>
          <w:lang w:eastAsia="zh-CN"/>
        </w:rPr>
        <w:t>（</w:t>
      </w:r>
      <w:r>
        <w:rPr>
          <w:rFonts w:hint="eastAsia" w:ascii="方正小标宋_GBK" w:hAnsi="方正小标宋_GBK" w:eastAsia="方正小标宋_GBK" w:cs="方正小标宋_GBK"/>
          <w:sz w:val="44"/>
          <w:szCs w:val="44"/>
          <w:lang w:val="en-US" w:eastAsia="zh-CN"/>
        </w:rPr>
        <w:t>试行</w:t>
      </w:r>
      <w:r>
        <w:rPr>
          <w:rFonts w:hint="eastAsia" w:ascii="方正小标宋_GBK" w:hAnsi="方正小标宋_GBK" w:eastAsia="方正小标宋_GBK" w:cs="方正小标宋_GBK"/>
          <w:sz w:val="44"/>
          <w:szCs w:val="44"/>
          <w:lang w:eastAsia="zh-CN"/>
        </w:rPr>
        <w:t>）</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 w:val="44"/>
          <w:szCs w:val="44"/>
          <w:lang w:eastAsia="zh-CN"/>
        </w:rPr>
      </w:pPr>
      <w:r>
        <w:rPr>
          <w:rFonts w:hint="eastAsia" w:ascii="方正楷体_GBK" w:hAnsi="方正楷体_GBK" w:eastAsia="方正楷体_GBK" w:cs="方正楷体_GBK"/>
          <w:sz w:val="32"/>
          <w:szCs w:val="32"/>
          <w:lang w:eastAsia="zh-CN"/>
        </w:rPr>
        <w:t>（</w:t>
      </w:r>
      <w:r>
        <w:rPr>
          <w:rFonts w:hint="eastAsia" w:ascii="方正楷体_GBK" w:hAnsi="方正楷体_GBK" w:eastAsia="方正楷体_GBK" w:cs="方正楷体_GBK"/>
          <w:sz w:val="32"/>
          <w:szCs w:val="32"/>
          <w:lang w:val="en-US" w:eastAsia="zh-CN"/>
        </w:rPr>
        <w:t>征求意见稿</w:t>
      </w:r>
      <w:r>
        <w:rPr>
          <w:rFonts w:hint="eastAsia" w:ascii="方正楷体_GBK" w:hAnsi="方正楷体_GBK" w:eastAsia="方正楷体_GBK" w:cs="方正楷体_GBK"/>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黑体" w:hAnsi="黑体" w:eastAsia="黑体" w:cs="黑体"/>
          <w:sz w:val="32"/>
          <w:szCs w:val="32"/>
          <w:lang w:val="en-US" w:eastAsia="zh-CN"/>
        </w:rPr>
      </w:pPr>
      <w:r>
        <w:rPr>
          <w:rFonts w:hint="eastAsia" w:ascii="黑体" w:hAnsi="黑体" w:eastAsia="黑体" w:cs="黑体"/>
          <w:sz w:val="32"/>
          <w:szCs w:val="32"/>
        </w:rPr>
        <w:t>第</w:t>
      </w:r>
      <w:r>
        <w:rPr>
          <w:rFonts w:hint="eastAsia" w:ascii="黑体" w:hAnsi="黑体" w:eastAsia="黑体" w:cs="黑体"/>
          <w:sz w:val="32"/>
          <w:szCs w:val="32"/>
          <w:lang w:val="en-US" w:eastAsia="zh-CN"/>
        </w:rPr>
        <w:t>一章 总则</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rPr>
        <w:t>第一条</w:t>
      </w:r>
      <w:r>
        <w:rPr>
          <w:rFonts w:hint="eastAsia" w:ascii="方正仿宋_GBK" w:hAnsi="方正仿宋_GBK" w:eastAsia="方正仿宋_GBK" w:cs="方正仿宋_GBK"/>
          <w:b/>
          <w:bCs/>
          <w:color w:val="auto"/>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rPr>
        <w:t>为</w:t>
      </w:r>
      <w:r>
        <w:rPr>
          <w:rFonts w:hint="eastAsia" w:ascii="方正仿宋_GBK" w:hAnsi="方正仿宋_GBK" w:eastAsia="方正仿宋_GBK" w:cs="方正仿宋_GBK"/>
          <w:color w:val="auto"/>
          <w:sz w:val="32"/>
          <w:szCs w:val="32"/>
          <w:highlight w:val="none"/>
          <w:lang w:val="en-US" w:eastAsia="zh-CN"/>
        </w:rPr>
        <w:t>加快推进乌鲁木齐市</w:t>
      </w:r>
      <w:r>
        <w:rPr>
          <w:rFonts w:hint="eastAsia" w:ascii="方正仿宋_GBK" w:hAnsi="方正仿宋_GBK" w:eastAsia="方正仿宋_GBK" w:cs="方正仿宋_GBK"/>
          <w:color w:val="auto"/>
          <w:sz w:val="32"/>
          <w:szCs w:val="32"/>
          <w:highlight w:val="none"/>
        </w:rPr>
        <w:t>律师行业信用</w:t>
      </w:r>
      <w:r>
        <w:rPr>
          <w:rFonts w:hint="eastAsia" w:ascii="方正仿宋_GBK" w:hAnsi="方正仿宋_GBK" w:eastAsia="方正仿宋_GBK" w:cs="方正仿宋_GBK"/>
          <w:color w:val="auto"/>
          <w:sz w:val="32"/>
          <w:szCs w:val="32"/>
          <w:highlight w:val="none"/>
          <w:lang w:val="en-US" w:eastAsia="zh-CN"/>
        </w:rPr>
        <w:t>体系</w:t>
      </w:r>
      <w:r>
        <w:rPr>
          <w:rFonts w:hint="eastAsia" w:ascii="方正仿宋_GBK" w:hAnsi="方正仿宋_GBK" w:eastAsia="方正仿宋_GBK" w:cs="方正仿宋_GBK"/>
          <w:color w:val="auto"/>
          <w:sz w:val="32"/>
          <w:szCs w:val="32"/>
          <w:highlight w:val="none"/>
        </w:rPr>
        <w:t>建设，</w:t>
      </w:r>
      <w:r>
        <w:rPr>
          <w:rFonts w:hint="eastAsia" w:ascii="方正仿宋_GBK" w:hAnsi="方正仿宋_GBK" w:eastAsia="方正仿宋_GBK" w:cs="方正仿宋_GBK"/>
          <w:color w:val="auto"/>
          <w:sz w:val="32"/>
          <w:szCs w:val="32"/>
          <w:highlight w:val="none"/>
          <w:lang w:val="en-US" w:eastAsia="zh-CN"/>
        </w:rPr>
        <w:t>构建以信用为基础的新型监管机制，</w:t>
      </w:r>
      <w:r>
        <w:rPr>
          <w:rFonts w:hint="eastAsia" w:ascii="方正仿宋_GBK" w:hAnsi="方正仿宋_GBK" w:eastAsia="方正仿宋_GBK" w:cs="方正仿宋_GBK"/>
          <w:color w:val="auto"/>
          <w:sz w:val="32"/>
          <w:szCs w:val="32"/>
          <w:highlight w:val="none"/>
        </w:rPr>
        <w:t>进一步规范律师事务所</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执业</w:t>
      </w:r>
      <w:r>
        <w:rPr>
          <w:rFonts w:hint="eastAsia" w:ascii="方正仿宋_GBK" w:hAnsi="方正仿宋_GBK" w:eastAsia="方正仿宋_GBK" w:cs="方正仿宋_GBK"/>
          <w:color w:val="auto"/>
          <w:sz w:val="32"/>
          <w:szCs w:val="32"/>
          <w:highlight w:val="none"/>
        </w:rPr>
        <w:t>律师执业行为，提升律师行业公信力，根据《中华人民共和国律师法》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新疆维吾尔自治区社会信用条例</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律师事务所管理办法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信用修复管理办法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等法律法规</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部门规章以及国务院关于健全社会信用体系、推进信用分级分类监管相关规范性文件规定</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val="en-US" w:eastAsia="zh-CN"/>
        </w:rPr>
        <w:t>结合我市实际，</w:t>
      </w:r>
      <w:r>
        <w:rPr>
          <w:rFonts w:hint="eastAsia" w:ascii="方正仿宋_GBK" w:hAnsi="方正仿宋_GBK" w:eastAsia="方正仿宋_GBK" w:cs="方正仿宋_GBK"/>
          <w:color w:val="auto"/>
          <w:sz w:val="32"/>
          <w:szCs w:val="32"/>
          <w:highlight w:val="none"/>
        </w:rPr>
        <w:t>制定本办法。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bCs/>
          <w:color w:val="auto"/>
          <w:sz w:val="32"/>
          <w:szCs w:val="32"/>
          <w:highlight w:val="none"/>
        </w:rPr>
        <w:t>第二条</w:t>
      </w:r>
      <w:r>
        <w:rPr>
          <w:rFonts w:hint="eastAsia" w:ascii="方正仿宋_GBK" w:hAnsi="方正仿宋_GBK" w:eastAsia="方正仿宋_GBK" w:cs="方正仿宋_GBK"/>
          <w:color w:val="auto"/>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rPr>
        <w:t>本办法适用于</w:t>
      </w:r>
      <w:r>
        <w:rPr>
          <w:rFonts w:hint="eastAsia" w:ascii="方正仿宋_GBK" w:hAnsi="方正仿宋_GBK" w:eastAsia="方正仿宋_GBK" w:cs="方正仿宋_GBK"/>
          <w:color w:val="auto"/>
          <w:sz w:val="32"/>
          <w:szCs w:val="32"/>
          <w:highlight w:val="none"/>
          <w:lang w:val="en-US" w:eastAsia="zh-CN"/>
        </w:rPr>
        <w:t>乌鲁木齐市、区（县）两级司法局主管的</w:t>
      </w:r>
      <w:r>
        <w:rPr>
          <w:rFonts w:hint="eastAsia" w:ascii="方正仿宋_GBK" w:hAnsi="方正仿宋_GBK" w:eastAsia="方正仿宋_GBK" w:cs="方正仿宋_GBK"/>
          <w:color w:val="auto"/>
          <w:sz w:val="32"/>
          <w:szCs w:val="32"/>
          <w:highlight w:val="none"/>
        </w:rPr>
        <w:t>律师事务所信用分级分类评价和管理工作。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rPr>
        <w:t>第三条</w:t>
      </w:r>
      <w:r>
        <w:rPr>
          <w:rFonts w:hint="eastAsia" w:ascii="方正仿宋_GBK" w:hAnsi="方正仿宋_GBK" w:eastAsia="方正仿宋_GBK" w:cs="方正仿宋_GBK"/>
          <w:color w:val="auto"/>
          <w:sz w:val="32"/>
          <w:szCs w:val="32"/>
          <w:highlight w:val="none"/>
        </w:rPr>
        <w:t xml:space="preserve"> 按照“谁主管、谁负责”的原则，</w:t>
      </w:r>
      <w:r>
        <w:rPr>
          <w:rFonts w:hint="eastAsia" w:ascii="方正仿宋_GBK" w:hAnsi="方正仿宋_GBK" w:eastAsia="方正仿宋_GBK" w:cs="方正仿宋_GBK"/>
          <w:color w:val="auto"/>
          <w:sz w:val="32"/>
          <w:szCs w:val="32"/>
          <w:highlight w:val="none"/>
          <w:lang w:val="en-US" w:eastAsia="zh-CN"/>
        </w:rPr>
        <w:t>主管司法局对属地律师事务所开展</w:t>
      </w:r>
      <w:r>
        <w:rPr>
          <w:rFonts w:hint="eastAsia" w:ascii="方正仿宋_GBK" w:hAnsi="方正仿宋_GBK" w:eastAsia="方正仿宋_GBK" w:cs="方正仿宋_GBK"/>
          <w:color w:val="auto"/>
          <w:sz w:val="32"/>
          <w:szCs w:val="32"/>
          <w:highlight w:val="none"/>
        </w:rPr>
        <w:t>信用信息归集、信用等级</w:t>
      </w:r>
      <w:r>
        <w:rPr>
          <w:rFonts w:hint="eastAsia" w:ascii="方正仿宋_GBK" w:hAnsi="方正仿宋_GBK" w:eastAsia="方正仿宋_GBK" w:cs="方正仿宋_GBK"/>
          <w:color w:val="auto"/>
          <w:sz w:val="32"/>
          <w:szCs w:val="32"/>
          <w:highlight w:val="none"/>
          <w:lang w:val="en-US" w:eastAsia="zh-CN"/>
        </w:rPr>
        <w:t>初审</w:t>
      </w:r>
      <w:r>
        <w:rPr>
          <w:rFonts w:hint="eastAsia" w:ascii="方正仿宋_GBK" w:hAnsi="方正仿宋_GBK" w:eastAsia="方正仿宋_GBK" w:cs="方正仿宋_GBK"/>
          <w:color w:val="auto"/>
          <w:sz w:val="32"/>
          <w:szCs w:val="32"/>
          <w:highlight w:val="none"/>
        </w:rPr>
        <w:t>、信用分类管理、信用档案管理等工作。</w:t>
      </w:r>
      <w:r>
        <w:rPr>
          <w:rFonts w:hint="eastAsia" w:ascii="方正仿宋_GBK" w:hAnsi="方正仿宋_GBK" w:eastAsia="方正仿宋_GBK" w:cs="方正仿宋_GBK"/>
          <w:color w:val="auto"/>
          <w:sz w:val="32"/>
          <w:szCs w:val="32"/>
          <w:highlight w:val="none"/>
          <w:lang w:val="en-US" w:eastAsia="zh-CN"/>
        </w:rPr>
        <w:t>市</w:t>
      </w:r>
      <w:r>
        <w:rPr>
          <w:rFonts w:hint="eastAsia" w:ascii="方正仿宋_GBK" w:hAnsi="方正仿宋_GBK" w:eastAsia="方正仿宋_GBK" w:cs="方正仿宋_GBK"/>
          <w:color w:val="auto"/>
          <w:sz w:val="32"/>
          <w:szCs w:val="32"/>
          <w:highlight w:val="none"/>
        </w:rPr>
        <w:t>司法局负责</w:t>
      </w:r>
      <w:r>
        <w:rPr>
          <w:rFonts w:hint="eastAsia" w:ascii="方正仿宋_GBK" w:hAnsi="方正仿宋_GBK" w:eastAsia="方正仿宋_GBK" w:cs="方正仿宋_GBK"/>
          <w:color w:val="auto"/>
          <w:sz w:val="32"/>
          <w:szCs w:val="32"/>
          <w:highlight w:val="none"/>
          <w:lang w:val="en-US" w:eastAsia="zh-CN"/>
        </w:rPr>
        <w:t>全市律师事务所</w:t>
      </w:r>
      <w:r>
        <w:rPr>
          <w:rFonts w:hint="eastAsia" w:ascii="方正仿宋_GBK" w:hAnsi="方正仿宋_GBK" w:eastAsia="方正仿宋_GBK" w:cs="方正仿宋_GBK"/>
          <w:color w:val="auto"/>
          <w:sz w:val="32"/>
          <w:szCs w:val="32"/>
          <w:highlight w:val="none"/>
        </w:rPr>
        <w:t>行业信用等级评定工作。</w:t>
      </w:r>
      <w:r>
        <w:rPr>
          <w:rFonts w:hint="eastAsia" w:ascii="方正仿宋_GBK" w:hAnsi="方正仿宋_GBK" w:eastAsia="方正仿宋_GBK" w:cs="方正仿宋_GBK"/>
          <w:color w:val="auto"/>
          <w:sz w:val="32"/>
          <w:szCs w:val="32"/>
          <w:highlight w:val="none"/>
          <w:lang w:val="en-US" w:eastAsia="zh-CN"/>
        </w:rPr>
        <w:t>市律师协会负责对行业自律管理相关信息归集。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第四条</w:t>
      </w:r>
      <w:r>
        <w:rPr>
          <w:rFonts w:hint="eastAsia" w:ascii="方正仿宋_GBK" w:hAnsi="方正仿宋_GBK" w:eastAsia="方正仿宋_GBK" w:cs="方正仿宋_GBK"/>
          <w:color w:val="auto"/>
          <w:sz w:val="32"/>
          <w:szCs w:val="32"/>
          <w:highlight w:val="none"/>
          <w:lang w:val="en-US" w:eastAsia="zh-CN"/>
        </w:rPr>
        <w:t xml:space="preserve"> 律师事务所信用分级分类评价工作，应当遵循依法依规、客观公正、公开透明、鼓励修复的原则，按照统一的内容、标准、方法和程序进行。</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黑体" w:hAnsi="黑体" w:eastAsia="黑体" w:cs="黑体"/>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第二章 信用信息归集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第五条</w:t>
      </w:r>
      <w:r>
        <w:rPr>
          <w:rFonts w:hint="eastAsia" w:ascii="方正仿宋_GBK" w:hAnsi="方正仿宋_GBK" w:eastAsia="方正仿宋_GBK" w:cs="方正仿宋_GBK"/>
          <w:color w:val="auto"/>
          <w:sz w:val="32"/>
          <w:szCs w:val="32"/>
          <w:highlight w:val="none"/>
          <w:lang w:val="en-US" w:eastAsia="zh-CN"/>
        </w:rPr>
        <w:t xml:space="preserve"> 司法局对律师事务所进行信用分级分类，依据的信息包括：基本信息、抽查检查信息、年度检查考核信息、违法违规信息、荣誉表彰信息及其他信息。</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第六条</w:t>
      </w:r>
      <w:r>
        <w:rPr>
          <w:rFonts w:hint="eastAsia" w:ascii="方正仿宋_GBK" w:hAnsi="方正仿宋_GBK" w:eastAsia="方正仿宋_GBK" w:cs="方正仿宋_GBK"/>
          <w:color w:val="auto"/>
          <w:sz w:val="32"/>
          <w:szCs w:val="32"/>
          <w:highlight w:val="none"/>
          <w:lang w:val="en-US" w:eastAsia="zh-CN"/>
        </w:rPr>
        <w:t xml:space="preserve"> 律师事务所的基本信息包括：名称、统一社会信用代码、负责人姓名、住所等信息。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抽查检查信息包括：日常检查、专项检查、“双随机一公开”抽查、约谈和整改情况等信息。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年度检查考核信息包括：年度检查考核结果、暂缓年度检查考核信息和不予年度检查考核信息。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违法违规信息包括：因违反法律、法规、规章、行业规范、执业纪律、职业道德等被行政机关行政处罚或被律师协会惩戒、纪律处分的不良行为记录及移送司法机关处理记录。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荣誉表彰信息包括：国家机关、人民团体、行业协会等对律师事务所和律师的表彰奖励、典型示范等。</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黑体" w:hAnsi="黑体" w:eastAsia="黑体" w:cs="黑体"/>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第三章 信用分级分类管理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第七条</w:t>
      </w:r>
      <w:r>
        <w:rPr>
          <w:rFonts w:hint="eastAsia" w:ascii="方正仿宋_GBK" w:hAnsi="方正仿宋_GBK" w:eastAsia="方正仿宋_GBK" w:cs="方正仿宋_GBK"/>
          <w:color w:val="auto"/>
          <w:sz w:val="32"/>
          <w:szCs w:val="32"/>
          <w:highlight w:val="none"/>
          <w:lang w:val="en-US" w:eastAsia="zh-CN"/>
        </w:rPr>
        <w:t xml:space="preserve"> 司法局以自然年度为信用周期，对律师事务所进行信用动态评价。一个信用周期的基准分为</w:t>
      </w:r>
      <w:r>
        <w:rPr>
          <w:rFonts w:hint="eastAsia" w:ascii="Times New Roman" w:hAnsi="Times New Roman" w:eastAsia="方正仿宋_GBK" w:cs="Times New Roman"/>
          <w:color w:val="auto"/>
          <w:sz w:val="32"/>
          <w:szCs w:val="32"/>
          <w:highlight w:val="none"/>
          <w:lang w:val="en-US" w:eastAsia="zh-CN"/>
        </w:rPr>
        <w:t>80</w:t>
      </w:r>
      <w:r>
        <w:rPr>
          <w:rFonts w:hint="eastAsia" w:ascii="方正仿宋_GBK" w:hAnsi="方正仿宋_GBK" w:eastAsia="方正仿宋_GBK" w:cs="方正仿宋_GBK"/>
          <w:color w:val="auto"/>
          <w:sz w:val="32"/>
          <w:szCs w:val="32"/>
          <w:highlight w:val="none"/>
          <w:lang w:val="en-US" w:eastAsia="zh-CN"/>
        </w:rPr>
        <w:t>分，根据周期内的信用情况进行加（减）分。信用周期结束后恢复为基准分，进行下一周期信用评价。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记分周期是指加分或减分有效期限。表彰奖励或者行政处罚、行业处分等自决定作出之日起开始计算。公益法律服务于每年年度检查考核期间统一核定上一年度服务时长情况之日起开始计算。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具体评价指标、评分标准、记分周期按《乌鲁木齐市律师事务所行业信用评分标准（试行）》执行。</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 xml:space="preserve">第八条 </w:t>
      </w:r>
      <w:r>
        <w:rPr>
          <w:rFonts w:hint="eastAsia" w:ascii="方正仿宋_GBK" w:hAnsi="方正仿宋_GBK" w:eastAsia="方正仿宋_GBK" w:cs="方正仿宋_GBK"/>
          <w:color w:val="auto"/>
          <w:sz w:val="32"/>
          <w:szCs w:val="32"/>
          <w:highlight w:val="none"/>
          <w:lang w:val="en-US" w:eastAsia="zh-CN"/>
        </w:rPr>
        <w:t>律师事务所的信用等级分为三级：</w:t>
      </w:r>
      <w:r>
        <w:rPr>
          <w:rFonts w:hint="eastAsia" w:ascii="Times New Roman" w:hAnsi="Times New Roman" w:eastAsia="方正仿宋_GBK" w:cs="Times New Roman"/>
          <w:color w:val="auto"/>
          <w:sz w:val="32"/>
          <w:szCs w:val="32"/>
          <w:highlight w:val="none"/>
          <w:lang w:val="en-US" w:eastAsia="zh-CN"/>
        </w:rPr>
        <w:t>A</w:t>
      </w:r>
      <w:r>
        <w:rPr>
          <w:rFonts w:hint="eastAsia" w:ascii="方正仿宋_GBK" w:hAnsi="方正仿宋_GBK" w:eastAsia="方正仿宋_GBK" w:cs="方正仿宋_GBK"/>
          <w:color w:val="auto"/>
          <w:sz w:val="32"/>
          <w:szCs w:val="32"/>
          <w:highlight w:val="none"/>
          <w:lang w:val="en-US" w:eastAsia="zh-CN"/>
        </w:rPr>
        <w:t>级为优秀，信用评分</w:t>
      </w:r>
      <w:r>
        <w:rPr>
          <w:rFonts w:hint="eastAsia" w:ascii="Times New Roman" w:hAnsi="Times New Roman" w:eastAsia="方正仿宋_GBK" w:cs="Times New Roman"/>
          <w:color w:val="auto"/>
          <w:sz w:val="32"/>
          <w:szCs w:val="32"/>
          <w:highlight w:val="none"/>
          <w:lang w:val="en-US" w:eastAsia="zh-CN"/>
        </w:rPr>
        <w:t>90</w:t>
      </w:r>
      <w:r>
        <w:rPr>
          <w:rFonts w:hint="eastAsia" w:ascii="方正仿宋_GBK" w:hAnsi="方正仿宋_GBK" w:eastAsia="方正仿宋_GBK" w:cs="方正仿宋_GBK"/>
          <w:color w:val="auto"/>
          <w:sz w:val="32"/>
          <w:szCs w:val="32"/>
          <w:highlight w:val="none"/>
          <w:lang w:val="en-US" w:eastAsia="zh-CN"/>
        </w:rPr>
        <w:t>分（含）以上；</w:t>
      </w:r>
      <w:r>
        <w:rPr>
          <w:rFonts w:hint="eastAsia" w:ascii="Times New Roman" w:hAnsi="Times New Roman" w:eastAsia="方正仿宋_GBK" w:cs="Times New Roman"/>
          <w:color w:val="auto"/>
          <w:sz w:val="32"/>
          <w:szCs w:val="32"/>
          <w:highlight w:val="none"/>
          <w:lang w:val="en-US" w:eastAsia="zh-CN"/>
        </w:rPr>
        <w:t>B</w:t>
      </w:r>
      <w:r>
        <w:rPr>
          <w:rFonts w:hint="eastAsia" w:ascii="方正仿宋_GBK" w:hAnsi="方正仿宋_GBK" w:eastAsia="方正仿宋_GBK" w:cs="方正仿宋_GBK"/>
          <w:color w:val="auto"/>
          <w:sz w:val="32"/>
          <w:szCs w:val="32"/>
          <w:highlight w:val="none"/>
          <w:lang w:val="en-US" w:eastAsia="zh-CN"/>
        </w:rPr>
        <w:t>级为良好，信用评分</w:t>
      </w:r>
      <w:r>
        <w:rPr>
          <w:rFonts w:hint="eastAsia" w:ascii="Times New Roman" w:hAnsi="Times New Roman" w:eastAsia="方正仿宋_GBK" w:cs="Times New Roman"/>
          <w:color w:val="auto"/>
          <w:sz w:val="32"/>
          <w:szCs w:val="32"/>
          <w:highlight w:val="none"/>
          <w:lang w:val="en-US" w:eastAsia="zh-CN"/>
        </w:rPr>
        <w:t>80-89</w:t>
      </w:r>
      <w:r>
        <w:rPr>
          <w:rFonts w:hint="eastAsia" w:ascii="方正仿宋_GBK" w:hAnsi="方正仿宋_GBK" w:eastAsia="方正仿宋_GBK" w:cs="方正仿宋_GBK"/>
          <w:color w:val="auto"/>
          <w:sz w:val="32"/>
          <w:szCs w:val="32"/>
          <w:highlight w:val="none"/>
          <w:lang w:val="en-US" w:eastAsia="zh-CN"/>
        </w:rPr>
        <w:t>分；</w:t>
      </w:r>
      <w:r>
        <w:rPr>
          <w:rFonts w:hint="default" w:ascii="Times New Roman" w:hAnsi="Times New Roman" w:eastAsia="方正仿宋_GBK" w:cs="Times New Roman"/>
          <w:color w:val="auto"/>
          <w:sz w:val="32"/>
          <w:szCs w:val="32"/>
          <w:highlight w:val="none"/>
          <w:lang w:val="en-US" w:eastAsia="zh-CN"/>
        </w:rPr>
        <w:t>C</w:t>
      </w:r>
      <w:r>
        <w:rPr>
          <w:rFonts w:hint="eastAsia" w:ascii="方正仿宋_GBK" w:hAnsi="方正仿宋_GBK" w:eastAsia="方正仿宋_GBK" w:cs="方正仿宋_GBK"/>
          <w:color w:val="auto"/>
          <w:sz w:val="32"/>
          <w:szCs w:val="32"/>
          <w:highlight w:val="none"/>
          <w:lang w:val="en-US" w:eastAsia="zh-CN"/>
        </w:rPr>
        <w:t>级为中等，信用评分低于</w:t>
      </w:r>
      <w:r>
        <w:rPr>
          <w:rFonts w:hint="default" w:ascii="Times New Roman" w:hAnsi="Times New Roman" w:eastAsia="方正仿宋_GBK" w:cs="Times New Roman"/>
          <w:color w:val="auto"/>
          <w:sz w:val="32"/>
          <w:szCs w:val="32"/>
          <w:highlight w:val="none"/>
          <w:lang w:val="en-US" w:eastAsia="zh-CN"/>
        </w:rPr>
        <w:t>80</w:t>
      </w:r>
      <w:r>
        <w:rPr>
          <w:rFonts w:hint="eastAsia" w:ascii="方正仿宋_GBK" w:hAnsi="方正仿宋_GBK" w:eastAsia="方正仿宋_GBK" w:cs="方正仿宋_GBK"/>
          <w:color w:val="auto"/>
          <w:sz w:val="32"/>
          <w:szCs w:val="32"/>
          <w:highlight w:val="none"/>
          <w:lang w:val="en-US" w:eastAsia="zh-CN"/>
        </w:rPr>
        <w:t>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司法局依据信用等级评定结果对律师事务所进行分类管理。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第九条</w:t>
      </w:r>
      <w:r>
        <w:rPr>
          <w:rFonts w:hint="eastAsia" w:ascii="方正仿宋_GBK" w:hAnsi="方正仿宋_GBK" w:eastAsia="方正仿宋_GBK" w:cs="方正仿宋_GBK"/>
          <w:color w:val="auto"/>
          <w:sz w:val="32"/>
          <w:szCs w:val="32"/>
          <w:highlight w:val="none"/>
          <w:lang w:val="en-US" w:eastAsia="zh-CN"/>
        </w:rPr>
        <w:t xml:space="preserve"> 信用等级评定为</w:t>
      </w:r>
      <w:r>
        <w:rPr>
          <w:rFonts w:hint="default" w:ascii="Times New Roman" w:hAnsi="Times New Roman" w:eastAsia="方正仿宋_GBK" w:cs="Times New Roman"/>
          <w:color w:val="auto"/>
          <w:sz w:val="32"/>
          <w:szCs w:val="32"/>
          <w:highlight w:val="none"/>
          <w:lang w:val="en-US" w:eastAsia="zh-CN"/>
        </w:rPr>
        <w:t>A</w:t>
      </w:r>
      <w:r>
        <w:rPr>
          <w:rFonts w:hint="eastAsia" w:ascii="方正仿宋_GBK" w:hAnsi="方正仿宋_GBK" w:eastAsia="方正仿宋_GBK" w:cs="方正仿宋_GBK"/>
          <w:color w:val="auto"/>
          <w:sz w:val="32"/>
          <w:szCs w:val="32"/>
          <w:highlight w:val="none"/>
          <w:lang w:val="en-US" w:eastAsia="zh-CN"/>
        </w:rPr>
        <w:t>级的律师事务所，列入法律服务行业“红名单”，在下</w:t>
      </w:r>
      <w:r>
        <w:rPr>
          <w:rFonts w:hint="eastAsia" w:ascii="Times New Roman" w:hAnsi="Times New Roman" w:eastAsia="方正仿宋_GBK" w:cs="Times New Roman"/>
          <w:color w:val="auto"/>
          <w:sz w:val="32"/>
          <w:szCs w:val="32"/>
          <w:highlight w:val="none"/>
          <w:lang w:val="en-US" w:eastAsia="zh-CN"/>
        </w:rPr>
        <w:t>一</w:t>
      </w:r>
      <w:r>
        <w:rPr>
          <w:rFonts w:hint="eastAsia" w:ascii="方正仿宋_GBK" w:hAnsi="方正仿宋_GBK" w:eastAsia="方正仿宋_GBK" w:cs="方正仿宋_GBK"/>
          <w:color w:val="auto"/>
          <w:sz w:val="32"/>
          <w:szCs w:val="32"/>
          <w:highlight w:val="none"/>
          <w:lang w:val="en-US" w:eastAsia="zh-CN"/>
        </w:rPr>
        <w:t>个信用周期内，采取以下激励措施：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（一）在年度检查考核过程中适用信用承诺制，原则上免于实地检查，法律、法规、规章另有规定的从其规定；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（二）在日常执法检查和“双随机、一公开”抽查时，可减少检查频次；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（三）在司法行政系统开展的评优评先活动中，同等条件下予以优先推荐；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（四）该所及所内律师在市委、市政府、司法机关组建相关智库、人才库、专家库、专业机构库时，同等条件下予以优先推荐；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（五）法律法规规定的其他激励措施。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律师事务所在下一个信用周期的激励期内，发生失信行为的，不再享受上述激励措施。</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第十条</w:t>
      </w:r>
      <w:r>
        <w:rPr>
          <w:rFonts w:hint="eastAsia" w:ascii="方正仿宋_GBK" w:hAnsi="方正仿宋_GBK" w:eastAsia="方正仿宋_GBK" w:cs="方正仿宋_GBK"/>
          <w:color w:val="auto"/>
          <w:sz w:val="32"/>
          <w:szCs w:val="32"/>
          <w:highlight w:val="none"/>
          <w:lang w:val="en-US" w:eastAsia="zh-CN"/>
        </w:rPr>
        <w:t xml:space="preserve"> 对信用等级评定为</w:t>
      </w:r>
      <w:r>
        <w:rPr>
          <w:rFonts w:hint="default" w:ascii="Times New Roman" w:hAnsi="Times New Roman" w:eastAsia="方正仿宋_GBK" w:cs="Times New Roman"/>
          <w:color w:val="auto"/>
          <w:sz w:val="32"/>
          <w:szCs w:val="32"/>
          <w:highlight w:val="none"/>
          <w:lang w:val="en-US" w:eastAsia="zh-CN"/>
        </w:rPr>
        <w:t>B</w:t>
      </w:r>
      <w:r>
        <w:rPr>
          <w:rFonts w:hint="eastAsia" w:ascii="方正仿宋_GBK" w:hAnsi="方正仿宋_GBK" w:eastAsia="方正仿宋_GBK" w:cs="方正仿宋_GBK"/>
          <w:color w:val="auto"/>
          <w:sz w:val="32"/>
          <w:szCs w:val="32"/>
          <w:highlight w:val="none"/>
          <w:lang w:val="en-US" w:eastAsia="zh-CN"/>
        </w:rPr>
        <w:t>级的律师事务所，在下</w:t>
      </w:r>
      <w:r>
        <w:rPr>
          <w:rFonts w:hint="eastAsia" w:ascii="Times New Roman" w:hAnsi="Times New Roman" w:eastAsia="方正仿宋_GBK" w:cs="Times New Roman"/>
          <w:color w:val="auto"/>
          <w:sz w:val="32"/>
          <w:szCs w:val="32"/>
          <w:highlight w:val="none"/>
          <w:lang w:val="en-US" w:eastAsia="zh-CN"/>
        </w:rPr>
        <w:t>一</w:t>
      </w:r>
      <w:r>
        <w:rPr>
          <w:rFonts w:hint="eastAsia" w:ascii="方正仿宋_GBK" w:hAnsi="方正仿宋_GBK" w:eastAsia="方正仿宋_GBK" w:cs="方正仿宋_GBK"/>
          <w:color w:val="auto"/>
          <w:sz w:val="32"/>
          <w:szCs w:val="32"/>
          <w:highlight w:val="none"/>
          <w:lang w:val="en-US" w:eastAsia="zh-CN"/>
        </w:rPr>
        <w:t>个信用周期内，按常规频次开展日常抽查检查，督促其依法诚信执业。</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第十一条</w:t>
      </w:r>
      <w:r>
        <w:rPr>
          <w:rFonts w:hint="eastAsia" w:ascii="方正仿宋_GBK" w:hAnsi="方正仿宋_GBK" w:eastAsia="方正仿宋_GBK" w:cs="方正仿宋_GBK"/>
          <w:color w:val="auto"/>
          <w:sz w:val="32"/>
          <w:szCs w:val="32"/>
          <w:highlight w:val="none"/>
          <w:lang w:val="en-US" w:eastAsia="zh-CN"/>
        </w:rPr>
        <w:t xml:space="preserve"> 对信用等级评定为</w:t>
      </w:r>
      <w:r>
        <w:rPr>
          <w:rFonts w:hint="default" w:ascii="Times New Roman" w:hAnsi="Times New Roman" w:eastAsia="方正仿宋_GBK" w:cs="Times New Roman"/>
          <w:color w:val="auto"/>
          <w:sz w:val="32"/>
          <w:szCs w:val="32"/>
          <w:highlight w:val="none"/>
          <w:lang w:val="en-US" w:eastAsia="zh-CN"/>
        </w:rPr>
        <w:t>C</w:t>
      </w:r>
      <w:r>
        <w:rPr>
          <w:rFonts w:hint="eastAsia" w:ascii="方正仿宋_GBK" w:hAnsi="方正仿宋_GBK" w:eastAsia="方正仿宋_GBK" w:cs="方正仿宋_GBK"/>
          <w:color w:val="auto"/>
          <w:sz w:val="32"/>
          <w:szCs w:val="32"/>
          <w:highlight w:val="none"/>
          <w:lang w:val="en-US" w:eastAsia="zh-CN"/>
        </w:rPr>
        <w:t>级的律师事务所，在下</w:t>
      </w:r>
      <w:r>
        <w:rPr>
          <w:rFonts w:hint="eastAsia" w:ascii="Times New Roman" w:hAnsi="Times New Roman" w:eastAsia="方正仿宋_GBK" w:cs="Times New Roman"/>
          <w:color w:val="auto"/>
          <w:sz w:val="32"/>
          <w:szCs w:val="32"/>
          <w:highlight w:val="none"/>
          <w:lang w:val="en-US" w:eastAsia="zh-CN"/>
        </w:rPr>
        <w:t>一</w:t>
      </w:r>
      <w:r>
        <w:rPr>
          <w:rFonts w:hint="eastAsia" w:ascii="方正仿宋_GBK" w:hAnsi="方正仿宋_GBK" w:eastAsia="方正仿宋_GBK" w:cs="方正仿宋_GBK"/>
          <w:color w:val="auto"/>
          <w:sz w:val="32"/>
          <w:szCs w:val="32"/>
          <w:highlight w:val="none"/>
          <w:lang w:val="en-US" w:eastAsia="zh-CN"/>
        </w:rPr>
        <w:t>个信用周期内，采取以下约束措施：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（一）约谈律师事务所负责人，下达整改要求，督促其限期内规范律师事务所内部管理；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（二）列为重点监管对象，加大抽查检查力度和频次；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（三）该所及所内律师不作为各类评先评优申报主体，该所不纳入各类智库、行业人才库、专家库、专业机构库推荐单位。</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黑体" w:hAnsi="黑体" w:eastAsia="黑体" w:cs="黑体"/>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第四章 信用等级评定及修复</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bCs/>
          <w:color w:val="auto"/>
          <w:sz w:val="32"/>
          <w:szCs w:val="32"/>
          <w:highlight w:val="none"/>
          <w:lang w:val="en-US" w:eastAsia="zh-CN"/>
        </w:rPr>
        <w:t>第十二条</w:t>
      </w:r>
      <w:r>
        <w:rPr>
          <w:rFonts w:hint="eastAsia" w:ascii="方正仿宋_GBK" w:hAnsi="方正仿宋_GBK" w:eastAsia="方正仿宋_GBK" w:cs="方正仿宋_GBK"/>
          <w:color w:val="auto"/>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rPr>
        <w:t>律师行业信用等级评定工作每年</w:t>
      </w:r>
      <w:r>
        <w:rPr>
          <w:rFonts w:hint="default" w:ascii="Times New Roman" w:hAnsi="Times New Roman" w:eastAsia="方正仿宋_GBK" w:cs="Times New Roman"/>
          <w:color w:val="auto"/>
          <w:sz w:val="32"/>
          <w:szCs w:val="32"/>
          <w:highlight w:val="none"/>
        </w:rPr>
        <w:t>5月至7月</w:t>
      </w:r>
      <w:r>
        <w:rPr>
          <w:rFonts w:hint="eastAsia" w:ascii="方正仿宋_GBK" w:hAnsi="方正仿宋_GBK" w:eastAsia="方正仿宋_GBK" w:cs="方正仿宋_GBK"/>
          <w:color w:val="auto"/>
          <w:sz w:val="32"/>
          <w:szCs w:val="32"/>
          <w:highlight w:val="none"/>
        </w:rPr>
        <w:t>进行。</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bCs/>
          <w:color w:val="auto"/>
          <w:sz w:val="32"/>
          <w:szCs w:val="32"/>
          <w:highlight w:val="none"/>
        </w:rPr>
        <w:t>第</w:t>
      </w:r>
      <w:r>
        <w:rPr>
          <w:rFonts w:hint="eastAsia" w:ascii="方正仿宋_GBK" w:hAnsi="方正仿宋_GBK" w:eastAsia="方正仿宋_GBK" w:cs="方正仿宋_GBK"/>
          <w:b/>
          <w:bCs/>
          <w:color w:val="auto"/>
          <w:sz w:val="32"/>
          <w:szCs w:val="32"/>
          <w:highlight w:val="none"/>
          <w:lang w:val="en-US" w:eastAsia="zh-CN"/>
        </w:rPr>
        <w:t>十三</w:t>
      </w:r>
      <w:r>
        <w:rPr>
          <w:rFonts w:hint="eastAsia" w:ascii="方正仿宋_GBK" w:hAnsi="方正仿宋_GBK" w:eastAsia="方正仿宋_GBK" w:cs="方正仿宋_GBK"/>
          <w:b/>
          <w:bCs/>
          <w:color w:val="auto"/>
          <w:sz w:val="32"/>
          <w:szCs w:val="32"/>
          <w:highlight w:val="none"/>
        </w:rPr>
        <w:t>条</w:t>
      </w:r>
      <w:r>
        <w:rPr>
          <w:rFonts w:hint="eastAsia" w:ascii="方正仿宋_GBK" w:hAnsi="方正仿宋_GBK" w:eastAsia="方正仿宋_GBK" w:cs="方正仿宋_GBK"/>
          <w:color w:val="auto"/>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rPr>
        <w:t>律师事务所信用等级评定程序：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（一）申报。由各律师事务所根据年度执业情况，结合年度</w:t>
      </w:r>
      <w:r>
        <w:rPr>
          <w:rFonts w:hint="eastAsia" w:ascii="方正仿宋_GBK" w:hAnsi="方正仿宋_GBK" w:eastAsia="方正仿宋_GBK" w:cs="方正仿宋_GBK"/>
          <w:color w:val="auto"/>
          <w:sz w:val="32"/>
          <w:szCs w:val="32"/>
          <w:highlight w:val="none"/>
          <w:lang w:val="en-US" w:eastAsia="zh-CN"/>
        </w:rPr>
        <w:t>检查</w:t>
      </w:r>
      <w:r>
        <w:rPr>
          <w:rFonts w:hint="eastAsia" w:ascii="方正仿宋_GBK" w:hAnsi="方正仿宋_GBK" w:eastAsia="方正仿宋_GBK" w:cs="方正仿宋_GBK"/>
          <w:color w:val="auto"/>
          <w:sz w:val="32"/>
          <w:szCs w:val="32"/>
          <w:highlight w:val="none"/>
        </w:rPr>
        <w:t>考核</w:t>
      </w:r>
      <w:r>
        <w:rPr>
          <w:rFonts w:hint="eastAsia" w:ascii="方正仿宋_GBK" w:hAnsi="方正仿宋_GBK" w:eastAsia="方正仿宋_GBK" w:cs="方正仿宋_GBK"/>
          <w:color w:val="auto"/>
          <w:sz w:val="32"/>
          <w:szCs w:val="32"/>
          <w:highlight w:val="none"/>
          <w:lang w:val="en-US" w:eastAsia="zh-CN"/>
        </w:rPr>
        <w:t>结果向其主管司法局</w:t>
      </w:r>
      <w:r>
        <w:rPr>
          <w:rFonts w:hint="eastAsia" w:ascii="方正仿宋_GBK" w:hAnsi="方正仿宋_GBK" w:eastAsia="方正仿宋_GBK" w:cs="方正仿宋_GBK"/>
          <w:color w:val="auto"/>
          <w:sz w:val="32"/>
          <w:szCs w:val="32"/>
          <w:highlight w:val="none"/>
        </w:rPr>
        <w:t>进行律师事务所信用等级</w:t>
      </w:r>
      <w:r>
        <w:rPr>
          <w:rFonts w:hint="eastAsia" w:ascii="方正仿宋_GBK" w:hAnsi="方正仿宋_GBK" w:eastAsia="方正仿宋_GBK" w:cs="方正仿宋_GBK"/>
          <w:color w:val="auto"/>
          <w:sz w:val="32"/>
          <w:szCs w:val="32"/>
          <w:highlight w:val="none"/>
          <w:lang w:val="en-US" w:eastAsia="zh-CN"/>
        </w:rPr>
        <w:t>自评申报。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rPr>
        <w:t>（二）审核。</w:t>
      </w:r>
      <w:r>
        <w:rPr>
          <w:rFonts w:hint="eastAsia" w:ascii="方正仿宋_GBK" w:hAnsi="方正仿宋_GBK" w:eastAsia="方正仿宋_GBK" w:cs="方正仿宋_GBK"/>
          <w:color w:val="auto"/>
          <w:sz w:val="32"/>
          <w:szCs w:val="32"/>
          <w:highlight w:val="none"/>
          <w:lang w:val="en-US" w:eastAsia="zh-CN"/>
        </w:rPr>
        <w:t>由主管司法局对律师事务所进行初评</w:t>
      </w:r>
      <w:r>
        <w:rPr>
          <w:rFonts w:hint="eastAsia" w:ascii="方正仿宋_GBK" w:hAnsi="方正仿宋_GBK" w:eastAsia="方正仿宋_GBK" w:cs="方正仿宋_GBK"/>
          <w:color w:val="auto"/>
          <w:sz w:val="32"/>
          <w:szCs w:val="32"/>
          <w:highlight w:val="none"/>
        </w:rPr>
        <w:t>认定</w:t>
      </w:r>
      <w:r>
        <w:rPr>
          <w:rFonts w:hint="eastAsia" w:ascii="方正仿宋_GBK" w:hAnsi="方正仿宋_GBK" w:eastAsia="方正仿宋_GBK" w:cs="方正仿宋_GBK"/>
          <w:color w:val="auto"/>
          <w:sz w:val="32"/>
          <w:szCs w:val="32"/>
          <w:highlight w:val="none"/>
          <w:lang w:val="en-US" w:eastAsia="zh-CN"/>
        </w:rPr>
        <w:t>后上报市司法局，报市司法局研究审定。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val="en-US" w:eastAsia="zh-CN"/>
        </w:rPr>
        <w:t>三</w:t>
      </w:r>
      <w:r>
        <w:rPr>
          <w:rFonts w:hint="eastAsia" w:ascii="方正仿宋_GBK" w:hAnsi="方正仿宋_GBK" w:eastAsia="方正仿宋_GBK" w:cs="方正仿宋_GBK"/>
          <w:color w:val="auto"/>
          <w:sz w:val="32"/>
          <w:szCs w:val="32"/>
          <w:highlight w:val="none"/>
        </w:rPr>
        <w:t>）公示。</w:t>
      </w:r>
      <w:r>
        <w:rPr>
          <w:rFonts w:hint="eastAsia" w:ascii="方正仿宋_GBK" w:hAnsi="方正仿宋_GBK" w:eastAsia="方正仿宋_GBK" w:cs="方正仿宋_GBK"/>
          <w:color w:val="auto"/>
          <w:sz w:val="32"/>
          <w:szCs w:val="32"/>
          <w:highlight w:val="none"/>
          <w:lang w:val="en-US" w:eastAsia="zh-CN"/>
        </w:rPr>
        <w:t>律师事务所的信用等级评定结果，应于评定结果确定后</w:t>
      </w:r>
      <w:r>
        <w:rPr>
          <w:rFonts w:hint="default" w:ascii="Times New Roman" w:hAnsi="Times New Roman" w:eastAsia="方正仿宋_GBK" w:cs="Times New Roman"/>
          <w:color w:val="auto"/>
          <w:sz w:val="32"/>
          <w:szCs w:val="32"/>
          <w:highlight w:val="none"/>
          <w:lang w:val="en-US" w:eastAsia="zh-CN"/>
        </w:rPr>
        <w:t>15</w:t>
      </w:r>
      <w:r>
        <w:rPr>
          <w:rFonts w:hint="eastAsia" w:ascii="方正仿宋_GBK" w:hAnsi="方正仿宋_GBK" w:eastAsia="方正仿宋_GBK" w:cs="方正仿宋_GBK"/>
          <w:color w:val="auto"/>
          <w:sz w:val="32"/>
          <w:szCs w:val="32"/>
          <w:highlight w:val="none"/>
          <w:lang w:val="en-US" w:eastAsia="zh-CN"/>
        </w:rPr>
        <w:t>日内，通过市司法局门户网站、微信公众号等平台向社会</w:t>
      </w:r>
      <w:r>
        <w:rPr>
          <w:rFonts w:hint="eastAsia" w:ascii="方正仿宋_GBK" w:hAnsi="方正仿宋_GBK" w:eastAsia="方正仿宋_GBK" w:cs="方正仿宋_GBK"/>
          <w:color w:val="auto"/>
          <w:sz w:val="32"/>
          <w:szCs w:val="32"/>
          <w:highlight w:val="none"/>
        </w:rPr>
        <w:t>进行公示</w:t>
      </w:r>
      <w:r>
        <w:rPr>
          <w:rFonts w:hint="eastAsia" w:ascii="方正仿宋_GBK" w:hAnsi="方正仿宋_GBK" w:eastAsia="方正仿宋_GBK" w:cs="方正仿宋_GBK"/>
          <w:color w:val="auto"/>
          <w:sz w:val="32"/>
          <w:szCs w:val="32"/>
          <w:highlight w:val="none"/>
          <w:lang w:val="en-US" w:eastAsia="zh-CN"/>
        </w:rPr>
        <w:t>，公示期为</w:t>
      </w:r>
      <w:r>
        <w:rPr>
          <w:rFonts w:hint="default" w:ascii="Times New Roman" w:hAnsi="Times New Roman" w:eastAsia="方正仿宋_GBK" w:cs="Times New Roman"/>
          <w:color w:val="auto"/>
          <w:sz w:val="32"/>
          <w:szCs w:val="32"/>
          <w:highlight w:val="none"/>
          <w:lang w:val="en-US" w:eastAsia="zh-CN"/>
        </w:rPr>
        <w:t>5</w:t>
      </w:r>
      <w:r>
        <w:rPr>
          <w:rFonts w:hint="eastAsia" w:ascii="方正仿宋_GBK" w:hAnsi="方正仿宋_GBK" w:eastAsia="方正仿宋_GBK" w:cs="方正仿宋_GBK"/>
          <w:color w:val="auto"/>
          <w:sz w:val="32"/>
          <w:szCs w:val="32"/>
          <w:highlight w:val="none"/>
          <w:lang w:val="en-US" w:eastAsia="zh-CN"/>
        </w:rPr>
        <w:t>个工作日。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val="en-US" w:eastAsia="zh-CN"/>
        </w:rPr>
        <w:t>四</w:t>
      </w:r>
      <w:r>
        <w:rPr>
          <w:rFonts w:hint="eastAsia" w:ascii="方正仿宋_GBK" w:hAnsi="方正仿宋_GBK" w:eastAsia="方正仿宋_GBK" w:cs="方正仿宋_GBK"/>
          <w:color w:val="auto"/>
          <w:sz w:val="32"/>
          <w:szCs w:val="32"/>
          <w:highlight w:val="none"/>
        </w:rPr>
        <w:t>）异议和复核。</w:t>
      </w:r>
      <w:r>
        <w:rPr>
          <w:rFonts w:hint="eastAsia" w:ascii="方正仿宋_GBK" w:hAnsi="方正仿宋_GBK" w:eastAsia="方正仿宋_GBK" w:cs="方正仿宋_GBK"/>
          <w:color w:val="auto"/>
          <w:sz w:val="32"/>
          <w:szCs w:val="32"/>
          <w:highlight w:val="none"/>
          <w:lang w:val="en-US" w:eastAsia="zh-CN"/>
        </w:rPr>
        <w:t>律师事务所对评定结果有异议的，应当在公示期内向作出市司法局</w:t>
      </w:r>
      <w:r>
        <w:rPr>
          <w:rFonts w:hint="eastAsia" w:ascii="方正仿宋_GBK" w:hAnsi="方正仿宋_GBK" w:eastAsia="方正仿宋_GBK" w:cs="方正仿宋_GBK"/>
          <w:color w:val="auto"/>
          <w:sz w:val="32"/>
          <w:szCs w:val="32"/>
          <w:highlight w:val="none"/>
        </w:rPr>
        <w:t>提出书面复查申请</w:t>
      </w:r>
      <w:r>
        <w:rPr>
          <w:rFonts w:hint="eastAsia" w:ascii="方正仿宋_GBK" w:hAnsi="方正仿宋_GBK" w:eastAsia="方正仿宋_GBK" w:cs="方正仿宋_GBK"/>
          <w:color w:val="auto"/>
          <w:sz w:val="32"/>
          <w:szCs w:val="32"/>
          <w:highlight w:val="none"/>
          <w:lang w:val="en-US" w:eastAsia="zh-CN"/>
        </w:rPr>
        <w:t>，并提交相关佐证材料。市司法局应在</w:t>
      </w:r>
      <w:r>
        <w:rPr>
          <w:rFonts w:hint="eastAsia" w:ascii="Times New Roman" w:hAnsi="Times New Roman" w:eastAsia="方正仿宋_GBK" w:cs="Times New Roman"/>
          <w:color w:val="auto"/>
          <w:sz w:val="32"/>
          <w:szCs w:val="32"/>
          <w:highlight w:val="none"/>
          <w:lang w:val="en-US" w:eastAsia="zh-CN"/>
        </w:rPr>
        <w:t>7</w:t>
      </w:r>
      <w:r>
        <w:rPr>
          <w:rFonts w:hint="eastAsia" w:ascii="方正仿宋_GBK" w:hAnsi="方正仿宋_GBK" w:eastAsia="方正仿宋_GBK" w:cs="方正仿宋_GBK"/>
          <w:color w:val="auto"/>
          <w:sz w:val="32"/>
          <w:szCs w:val="32"/>
          <w:highlight w:val="none"/>
          <w:lang w:val="en-US" w:eastAsia="zh-CN"/>
        </w:rPr>
        <w:t>个工作日内进行核实，核查属实确需调整等级的，应予以调整并重新公示。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val="en-US" w:eastAsia="zh-CN"/>
        </w:rPr>
        <w:t>五</w:t>
      </w:r>
      <w:r>
        <w:rPr>
          <w:rFonts w:hint="eastAsia" w:ascii="方正仿宋_GBK" w:hAnsi="方正仿宋_GBK" w:eastAsia="方正仿宋_GBK" w:cs="方正仿宋_GBK"/>
          <w:color w:val="auto"/>
          <w:sz w:val="32"/>
          <w:szCs w:val="32"/>
          <w:highlight w:val="none"/>
        </w:rPr>
        <w:t>）公告。律师事务所信用等级评定结果，在</w:t>
      </w:r>
      <w:r>
        <w:rPr>
          <w:rFonts w:hint="eastAsia" w:ascii="方正仿宋_GBK" w:hAnsi="方正仿宋_GBK" w:eastAsia="方正仿宋_GBK" w:cs="方正仿宋_GBK"/>
          <w:color w:val="auto"/>
          <w:sz w:val="32"/>
          <w:szCs w:val="32"/>
          <w:highlight w:val="none"/>
          <w:lang w:val="en-US" w:eastAsia="zh-CN"/>
        </w:rPr>
        <w:t>市司法局门户网站</w:t>
      </w:r>
      <w:r>
        <w:rPr>
          <w:rFonts w:hint="eastAsia" w:ascii="方正仿宋_GBK" w:hAnsi="方正仿宋_GBK" w:eastAsia="方正仿宋_GBK" w:cs="方正仿宋_GBK"/>
          <w:color w:val="auto"/>
          <w:sz w:val="32"/>
          <w:szCs w:val="32"/>
          <w:highlight w:val="none"/>
        </w:rPr>
        <w:t>、微信公众号上发布，接受社会监督。</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rPr>
        <w:t>第</w:t>
      </w:r>
      <w:r>
        <w:rPr>
          <w:rFonts w:hint="eastAsia" w:ascii="方正仿宋_GBK" w:hAnsi="方正仿宋_GBK" w:eastAsia="方正仿宋_GBK" w:cs="方正仿宋_GBK"/>
          <w:b/>
          <w:bCs/>
          <w:color w:val="auto"/>
          <w:sz w:val="32"/>
          <w:szCs w:val="32"/>
          <w:highlight w:val="none"/>
          <w:lang w:val="en-US" w:eastAsia="zh-CN"/>
        </w:rPr>
        <w:t>十四</w:t>
      </w:r>
      <w:r>
        <w:rPr>
          <w:rFonts w:hint="eastAsia" w:ascii="方正仿宋_GBK" w:hAnsi="方正仿宋_GBK" w:eastAsia="方正仿宋_GBK" w:cs="方正仿宋_GBK"/>
          <w:b/>
          <w:bCs/>
          <w:color w:val="auto"/>
          <w:sz w:val="32"/>
          <w:szCs w:val="32"/>
          <w:highlight w:val="none"/>
        </w:rPr>
        <w:t>条</w:t>
      </w:r>
      <w:r>
        <w:rPr>
          <w:rFonts w:hint="eastAsia" w:ascii="方正仿宋_GBK" w:hAnsi="方正仿宋_GBK" w:eastAsia="方正仿宋_GBK" w:cs="方正仿宋_GBK"/>
          <w:color w:val="auto"/>
          <w:sz w:val="32"/>
          <w:szCs w:val="32"/>
          <w:highlight w:val="none"/>
          <w:lang w:val="en-US" w:eastAsia="zh-CN"/>
        </w:rPr>
        <w:t xml:space="preserve"> </w:t>
      </w:r>
      <w:r>
        <w:rPr>
          <w:rFonts w:hint="eastAsia" w:ascii="方正仿宋_GBK" w:hAnsi="方正仿宋_GBK" w:eastAsia="方正仿宋_GBK" w:cs="方正仿宋_GBK"/>
          <w:b w:val="0"/>
          <w:bCs w:val="0"/>
          <w:color w:val="auto"/>
          <w:sz w:val="32"/>
          <w:szCs w:val="32"/>
          <w:highlight w:val="none"/>
          <w:lang w:val="en-US" w:eastAsia="zh-CN"/>
        </w:rPr>
        <w:t>信用等级评定为</w:t>
      </w:r>
      <w:r>
        <w:rPr>
          <w:rFonts w:hint="default" w:ascii="Times New Roman" w:hAnsi="Times New Roman" w:eastAsia="方正仿宋_GBK" w:cs="Times New Roman"/>
          <w:b w:val="0"/>
          <w:bCs w:val="0"/>
          <w:color w:val="auto"/>
          <w:sz w:val="32"/>
          <w:szCs w:val="32"/>
          <w:highlight w:val="none"/>
          <w:lang w:val="en-US" w:eastAsia="zh-CN"/>
        </w:rPr>
        <w:t>C</w:t>
      </w:r>
      <w:r>
        <w:rPr>
          <w:rFonts w:hint="eastAsia" w:ascii="方正仿宋_GBK" w:hAnsi="方正仿宋_GBK" w:eastAsia="方正仿宋_GBK" w:cs="方正仿宋_GBK"/>
          <w:b w:val="0"/>
          <w:bCs w:val="0"/>
          <w:color w:val="auto"/>
          <w:sz w:val="32"/>
          <w:szCs w:val="32"/>
          <w:highlight w:val="none"/>
          <w:lang w:val="en-US" w:eastAsia="zh-CN"/>
        </w:rPr>
        <w:t>级的律师事务所，约束期为</w:t>
      </w:r>
      <w:r>
        <w:rPr>
          <w:rFonts w:hint="default" w:ascii="Times New Roman" w:hAnsi="Times New Roman" w:eastAsia="方正仿宋_GBK" w:cs="Times New Roman"/>
          <w:b w:val="0"/>
          <w:bCs w:val="0"/>
          <w:color w:val="auto"/>
          <w:sz w:val="32"/>
          <w:szCs w:val="32"/>
          <w:highlight w:val="none"/>
          <w:lang w:val="en-US" w:eastAsia="zh-CN"/>
        </w:rPr>
        <w:t>1</w:t>
      </w:r>
      <w:r>
        <w:rPr>
          <w:rFonts w:hint="eastAsia" w:ascii="方正仿宋_GBK" w:hAnsi="方正仿宋_GBK" w:eastAsia="方正仿宋_GBK" w:cs="方正仿宋_GBK"/>
          <w:b w:val="0"/>
          <w:bCs w:val="0"/>
          <w:color w:val="auto"/>
          <w:sz w:val="32"/>
          <w:szCs w:val="32"/>
          <w:highlight w:val="none"/>
          <w:lang w:val="en-US" w:eastAsia="zh-CN"/>
        </w:rPr>
        <w:t>年，约束期满且全部法定义务履行完毕的，约束措施可自动解除。</w:t>
      </w:r>
      <w:r>
        <w:rPr>
          <w:rFonts w:hint="eastAsia" w:ascii="Times New Roman" w:hAnsi="Times New Roman" w:eastAsia="方正仿宋_GBK" w:cs="Times New Roman"/>
          <w:color w:val="auto"/>
          <w:sz w:val="32"/>
          <w:szCs w:val="32"/>
          <w:highlight w:val="none"/>
          <w:lang w:val="en-US" w:eastAsia="zh-CN"/>
        </w:rPr>
        <w:t>C</w:t>
      </w:r>
      <w:r>
        <w:rPr>
          <w:rFonts w:hint="eastAsia" w:ascii="方正仿宋_GBK" w:hAnsi="方正仿宋_GBK" w:eastAsia="方正仿宋_GBK" w:cs="方正仿宋_GBK"/>
          <w:color w:val="auto"/>
          <w:sz w:val="32"/>
          <w:szCs w:val="32"/>
          <w:highlight w:val="none"/>
          <w:lang w:val="en-US" w:eastAsia="zh-CN"/>
        </w:rPr>
        <w:t>级的律师事务所在行政处罚、行业处分期满，完成全部整改义务满</w:t>
      </w:r>
      <w:r>
        <w:rPr>
          <w:rFonts w:hint="eastAsia" w:ascii="Times New Roman" w:hAnsi="Times New Roman" w:eastAsia="方正仿宋_GBK" w:cs="Times New Roman"/>
          <w:color w:val="auto"/>
          <w:sz w:val="32"/>
          <w:szCs w:val="32"/>
          <w:highlight w:val="none"/>
          <w:lang w:val="en-US" w:eastAsia="zh-CN"/>
        </w:rPr>
        <w:t>3个月</w:t>
      </w:r>
      <w:r>
        <w:rPr>
          <w:rFonts w:hint="eastAsia" w:ascii="方正仿宋_GBK" w:hAnsi="方正仿宋_GBK" w:eastAsia="方正仿宋_GBK" w:cs="方正仿宋_GBK"/>
          <w:color w:val="auto"/>
          <w:sz w:val="32"/>
          <w:szCs w:val="32"/>
          <w:highlight w:val="none"/>
          <w:lang w:val="en-US" w:eastAsia="zh-CN"/>
        </w:rPr>
        <w:t>，且在约束期内无新增失信记录的，可向主管司法局提交信用修复承诺书、相关整改文件以及受表彰奖励情况等材料申请解除约束的，经审核确认整改到位、信用风险消除的，可提前终止差异化约束措施。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黑体" w:hAnsi="黑体" w:eastAsia="黑体" w:cs="黑体"/>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第五章  附则</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 xml:space="preserve">第十五条 </w:t>
      </w:r>
      <w:r>
        <w:rPr>
          <w:rFonts w:hint="eastAsia" w:ascii="方正仿宋_GBK" w:hAnsi="方正仿宋_GBK" w:eastAsia="方正仿宋_GBK" w:cs="方正仿宋_GBK"/>
          <w:color w:val="auto"/>
          <w:sz w:val="32"/>
          <w:szCs w:val="32"/>
          <w:highlight w:val="none"/>
          <w:lang w:val="en-US" w:eastAsia="zh-CN"/>
        </w:rPr>
        <w:t>市、区（县）两级司法局和律师协会要在日常管理、抽查检查、年度检查考核、投诉处理、违法违规执业活动查处等工作中，积极开展执业活动相关的法律法规、行业规范、执业纪律、职业道德宣传，积极利用门户网站、微博、微信公众号等平台将信用宣传常态化，营造诚信执业氛围，提升律师事务所和律师的诚信意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第十六条</w:t>
      </w:r>
      <w:r>
        <w:rPr>
          <w:rFonts w:hint="eastAsia" w:ascii="方正仿宋_GBK" w:hAnsi="方正仿宋_GBK" w:eastAsia="方正仿宋_GBK" w:cs="方正仿宋_GBK"/>
          <w:color w:val="auto"/>
          <w:sz w:val="32"/>
          <w:szCs w:val="32"/>
          <w:highlight w:val="none"/>
          <w:lang w:val="en-US" w:eastAsia="zh-CN"/>
        </w:rPr>
        <w:t xml:space="preserve"> 本办法由乌鲁木齐市司法局负责解释。</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第十七条</w:t>
      </w:r>
      <w:r>
        <w:rPr>
          <w:rFonts w:hint="eastAsia" w:ascii="方正仿宋_GBK" w:hAnsi="方正仿宋_GBK" w:eastAsia="方正仿宋_GBK" w:cs="方正仿宋_GBK"/>
          <w:color w:val="auto"/>
          <w:sz w:val="32"/>
          <w:szCs w:val="32"/>
          <w:highlight w:val="none"/>
          <w:lang w:val="en-US" w:eastAsia="zh-CN"/>
        </w:rPr>
        <w:t xml:space="preserve"> 本办法自</w:t>
      </w:r>
      <w:r>
        <w:rPr>
          <w:rFonts w:hint="default" w:ascii="Times New Roman" w:hAnsi="Times New Roman" w:eastAsia="方正仿宋_GBK" w:cs="Times New Roman"/>
          <w:color w:val="auto"/>
          <w:sz w:val="32"/>
          <w:szCs w:val="32"/>
          <w:highlight w:val="none"/>
          <w:lang w:val="en-US" w:eastAsia="zh-CN"/>
        </w:rPr>
        <w:t>2026年X月X日</w:t>
      </w:r>
      <w:r>
        <w:rPr>
          <w:rFonts w:hint="eastAsia" w:ascii="方正仿宋_GBK" w:hAnsi="方正仿宋_GBK" w:eastAsia="方正仿宋_GBK" w:cs="方正仿宋_GBK"/>
          <w:color w:val="auto"/>
          <w:sz w:val="32"/>
          <w:szCs w:val="32"/>
          <w:highlight w:val="none"/>
          <w:lang w:val="en-US" w:eastAsia="zh-CN"/>
        </w:rPr>
        <w:t>起施行，试行期</w:t>
      </w:r>
      <w:r>
        <w:rPr>
          <w:rFonts w:hint="default" w:ascii="Times New Roman" w:hAnsi="Times New Roman" w:eastAsia="方正仿宋_GBK" w:cs="Times New Roman"/>
          <w:color w:val="auto"/>
          <w:sz w:val="32"/>
          <w:szCs w:val="32"/>
          <w:highlight w:val="none"/>
          <w:lang w:val="en-US" w:eastAsia="zh-CN"/>
        </w:rPr>
        <w:t>2</w:t>
      </w:r>
      <w:r>
        <w:rPr>
          <w:rFonts w:hint="eastAsia" w:ascii="方正仿宋_GBK" w:hAnsi="方正仿宋_GBK" w:eastAsia="方正仿宋_GBK" w:cs="方正仿宋_GBK"/>
          <w:color w:val="auto"/>
          <w:sz w:val="32"/>
          <w:szCs w:val="32"/>
          <w:highlight w:val="none"/>
          <w:lang w:val="en-US" w:eastAsia="zh-CN"/>
        </w:rPr>
        <w:t>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pPr>
      <w:r>
        <w:rPr>
          <w:rFonts w:hint="eastAsia" w:ascii="方正仿宋_GBK" w:hAnsi="方正仿宋_GBK" w:eastAsia="方正仿宋_GBK" w:cs="方正仿宋_GBK"/>
          <w:color w:val="auto"/>
          <w:sz w:val="32"/>
          <w:szCs w:val="32"/>
          <w:highlight w:val="none"/>
          <w:lang w:val="en-US" w:eastAsia="zh-CN"/>
        </w:rPr>
        <w:t>附件：乌鲁木齐市律</w:t>
      </w:r>
      <w:r>
        <w:rPr>
          <w:rFonts w:hint="eastAsia" w:ascii="方正仿宋_GBK" w:hAnsi="方正仿宋_GBK" w:eastAsia="方正仿宋_GBK" w:cs="方正仿宋_GBK"/>
          <w:sz w:val="32"/>
          <w:szCs w:val="32"/>
          <w:lang w:val="en-US" w:eastAsia="zh-CN"/>
        </w:rPr>
        <w:t>师事务所信用评分标准（试行）</w:t>
      </w:r>
    </w:p>
    <w:sectPr>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AC5760"/>
    <w:rsid w:val="04200464"/>
    <w:rsid w:val="07BA5640"/>
    <w:rsid w:val="08C007C3"/>
    <w:rsid w:val="0A5B5352"/>
    <w:rsid w:val="0C56369B"/>
    <w:rsid w:val="10430537"/>
    <w:rsid w:val="13771470"/>
    <w:rsid w:val="13B32894"/>
    <w:rsid w:val="13B5195D"/>
    <w:rsid w:val="18EB26B3"/>
    <w:rsid w:val="1CB849DD"/>
    <w:rsid w:val="1E9A093C"/>
    <w:rsid w:val="1F9D723E"/>
    <w:rsid w:val="20956930"/>
    <w:rsid w:val="20A44DC7"/>
    <w:rsid w:val="221779FA"/>
    <w:rsid w:val="23215BDF"/>
    <w:rsid w:val="23BF2528"/>
    <w:rsid w:val="2A1E647E"/>
    <w:rsid w:val="2B9700ED"/>
    <w:rsid w:val="2D067144"/>
    <w:rsid w:val="2FE17B26"/>
    <w:rsid w:val="31475399"/>
    <w:rsid w:val="31B40CDF"/>
    <w:rsid w:val="31D15FFB"/>
    <w:rsid w:val="33F8582A"/>
    <w:rsid w:val="35221ACE"/>
    <w:rsid w:val="3BDA47F1"/>
    <w:rsid w:val="3D6500CB"/>
    <w:rsid w:val="42AB42E1"/>
    <w:rsid w:val="43917683"/>
    <w:rsid w:val="46940DF9"/>
    <w:rsid w:val="46AC5760"/>
    <w:rsid w:val="49891711"/>
    <w:rsid w:val="4AD126CD"/>
    <w:rsid w:val="4AEA5DC9"/>
    <w:rsid w:val="4D8512EC"/>
    <w:rsid w:val="507C6C2F"/>
    <w:rsid w:val="50C90A9E"/>
    <w:rsid w:val="53FC7E96"/>
    <w:rsid w:val="56474E35"/>
    <w:rsid w:val="579A3B7B"/>
    <w:rsid w:val="591C48FD"/>
    <w:rsid w:val="5A1C3E94"/>
    <w:rsid w:val="5AE75AA6"/>
    <w:rsid w:val="5DC04218"/>
    <w:rsid w:val="5F485C31"/>
    <w:rsid w:val="610D00A5"/>
    <w:rsid w:val="63496538"/>
    <w:rsid w:val="64EC08D9"/>
    <w:rsid w:val="6A0F130A"/>
    <w:rsid w:val="6B745D88"/>
    <w:rsid w:val="725828BF"/>
    <w:rsid w:val="72A21196"/>
    <w:rsid w:val="73F065B5"/>
    <w:rsid w:val="74961F26"/>
    <w:rsid w:val="75F22DE5"/>
    <w:rsid w:val="77B238CD"/>
    <w:rsid w:val="77E4199D"/>
    <w:rsid w:val="787966CA"/>
    <w:rsid w:val="7916500F"/>
    <w:rsid w:val="7FFB33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Arial" w:cs="Arial"/>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112</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2026-02-28T08:49:00Z</dcterms:created>
  <dc:creator>admin</dc:creator>
  <cp:lastModifiedBy>admin</cp:lastModifiedBy>
  <cp:lastPrinted>2026-10-08T10:49:47Z</cp:lastPrinted>
  <dcterms:modified xsi:type="dcterms:W3CDTF">2026-10-08T10:52:15Z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